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Calibri" w:hAnsi="Calibri"/>
          <w:color w:val="000000"/>
        </w:rPr>
        <w:t>My APC notes</w:t>
      </w:r>
    </w:p>
    <w:p>
      <w:pPr>
        <w:spacing w:after="100"/>
      </w:pPr>
      <w:r>
        <w:rPr>
          <w:rFonts w:ascii="Calibri" w:hAnsi="Calibri"/>
          <w:b w:val="0"/>
          <w:i w:val="0"/>
          <w:color w:val="000000"/>
          <w:sz w:val="21"/>
        </w:rPr>
        <w:t>Everything I need to remember, written for me. Four parts: how I do the research, the Axion case specifically, what to do when the information on the day lands, and how to actually write the answers.</w:t>
      </w:r>
    </w:p>
    <w:p>
      <w:pPr>
        <w:spacing w:before="80" w:after="80"/>
        <w:pBdr>
          <w:bottom w:val="single" w:sz="6" w:color="BFBFBF" w:space="1"/>
        </w:pBdr>
      </w:pPr>
    </w:p>
    <w:p>
      <w:pPr>
        <w:pStyle w:val="Heading1"/>
      </w:pPr>
      <w:r/>
      <w:r>
        <w:rPr>
          <w:rFonts w:ascii="Calibri" w:hAnsi="Calibri"/>
          <w:color w:val="000000"/>
        </w:rPr>
        <w:t>PART 1 — How I do the research</w:t>
      </w:r>
    </w:p>
    <w:p>
      <w:pPr>
        <w:pStyle w:val="Heading2"/>
      </w:pPr>
      <w:r/>
      <w:r>
        <w:rPr>
          <w:rFonts w:ascii="Calibri" w:hAnsi="Calibri"/>
          <w:color w:val="000000"/>
        </w:rPr>
        <w:t>Why the pre-release exists (and what it is not for)</w:t>
      </w:r>
    </w:p>
    <w:p>
      <w:pPr>
        <w:spacing w:after="100"/>
      </w:pPr>
      <w:r>
        <w:rPr>
          <w:rFonts w:ascii="Calibri" w:hAnsi="Calibri"/>
          <w:b w:val="0"/>
          <w:i w:val="0"/>
          <w:color w:val="000000"/>
          <w:sz w:val="21"/>
        </w:rPr>
        <w:t xml:space="preserve">The pre-release is there to give me a </w:t>
      </w:r>
      <w:r>
        <w:rPr>
          <w:rFonts w:ascii="Calibri" w:hAnsi="Calibri"/>
          <w:b/>
          <w:i w:val="0"/>
          <w:color w:val="000000"/>
          <w:sz w:val="21"/>
        </w:rPr>
        <w:t>holistic view of the business</w:t>
      </w:r>
      <w:r>
        <w:rPr>
          <w:rFonts w:ascii="Calibri" w:hAnsi="Calibri"/>
          <w:b w:val="0"/>
          <w:i w:val="0"/>
          <w:color w:val="000000"/>
          <w:sz w:val="21"/>
        </w:rPr>
        <w:t xml:space="preserve"> and a </w:t>
      </w:r>
      <w:r>
        <w:rPr>
          <w:rFonts w:ascii="Calibri" w:hAnsi="Calibri"/>
          <w:b/>
          <w:i w:val="0"/>
          <w:color w:val="000000"/>
          <w:sz w:val="21"/>
        </w:rPr>
        <w:t>list of technical areas to research</w:t>
      </w:r>
      <w:r>
        <w:rPr>
          <w:rFonts w:ascii="Calibri" w:hAnsi="Calibri"/>
          <w:b w:val="0"/>
          <w:i w:val="0"/>
          <w:color w:val="000000"/>
          <w:sz w:val="21"/>
        </w:rPr>
        <w:t>. That is all. It is not there so I can pre-draft answers.</w:t>
      </w:r>
    </w:p>
    <w:p>
      <w:pPr>
        <w:spacing w:after="100"/>
      </w:pPr>
      <w:r>
        <w:rPr>
          <w:rFonts w:ascii="Calibri" w:hAnsi="Calibri"/>
          <w:b w:val="0"/>
          <w:i w:val="0"/>
          <w:color w:val="000000"/>
          <w:sz w:val="21"/>
        </w:rPr>
        <w:t>I cannot answer a single past APC task from the pre-release alone. Every task depends on instructions that only arrive on the day. The people who fail are the ones who walk in with pre-written answers and spend the day trying to make them fit. I must not be that person.</w:t>
      </w:r>
    </w:p>
    <w:p>
      <w:pPr>
        <w:spacing w:after="100"/>
      </w:pPr>
      <w:r>
        <w:rPr>
          <w:rFonts w:ascii="Calibri" w:hAnsi="Calibri"/>
          <w:b w:val="0"/>
          <w:i w:val="0"/>
          <w:color w:val="000000"/>
          <w:sz w:val="21"/>
        </w:rPr>
        <w:t xml:space="preserve">So the goal of the five days is: </w:t>
      </w:r>
      <w:r>
        <w:rPr>
          <w:rFonts w:ascii="Calibri" w:hAnsi="Calibri"/>
          <w:b/>
          <w:i w:val="0"/>
          <w:color w:val="000000"/>
          <w:sz w:val="21"/>
        </w:rPr>
        <w:t>know the business cold, and know the technical areas cold.</w:t>
      </w:r>
      <w:r>
        <w:rPr>
          <w:rFonts w:ascii="Calibri" w:hAnsi="Calibri"/>
          <w:b w:val="0"/>
          <w:i w:val="0"/>
          <w:color w:val="000000"/>
          <w:sz w:val="21"/>
        </w:rPr>
        <w:t xml:space="preserve"> Not "predict the questions".</w:t>
      </w:r>
    </w:p>
    <w:p>
      <w:pPr>
        <w:pStyle w:val="Heading2"/>
      </w:pPr>
      <w:r/>
      <w:r>
        <w:rPr>
          <w:rFonts w:ascii="Calibri" w:hAnsi="Calibri"/>
          <w:color w:val="000000"/>
        </w:rPr>
        <w:t>Step 1 — Understand the business properly</w:t>
      </w:r>
    </w:p>
    <w:p>
      <w:pPr>
        <w:spacing w:after="100"/>
      </w:pPr>
      <w:r>
        <w:rPr>
          <w:rFonts w:ascii="Calibri" w:hAnsi="Calibri"/>
          <w:b w:val="0"/>
          <w:i w:val="0"/>
          <w:color w:val="000000"/>
          <w:sz w:val="21"/>
        </w:rPr>
        <w:t>Read the whole pack once or twice just to understand it. Every word, every attachment, every hyperlink. If they put a link to a real company or a SARS guide in there, they did it deliberately — go and read it.</w:t>
      </w:r>
    </w:p>
    <w:p>
      <w:pPr>
        <w:spacing w:after="100"/>
      </w:pPr>
      <w:r>
        <w:rPr>
          <w:rFonts w:ascii="Calibri" w:hAnsi="Calibri"/>
          <w:b w:val="0"/>
          <w:i w:val="0"/>
          <w:color w:val="000000"/>
          <w:sz w:val="21"/>
        </w:rPr>
        <w:t>Then answer these, in writing:</w:t>
      </w:r>
    </w:p>
    <w:p>
      <w:pPr>
        <w:pStyle w:val="ListBullet"/>
        <w:spacing w:after="60"/>
        <w:ind w:left="425"/>
      </w:pPr>
      <w:r/>
      <w:r>
        <w:rPr>
          <w:rFonts w:ascii="Calibri" w:hAnsi="Calibri"/>
          <w:b w:val="0"/>
          <w:i w:val="0"/>
          <w:color w:val="000000"/>
          <w:sz w:val="21"/>
        </w:rPr>
        <w:t>What is unique about this company? What strategy does it follow? What is the business model, and what are the income streams? Which segment does it target?</w:t>
      </w:r>
    </w:p>
    <w:p>
      <w:pPr>
        <w:pStyle w:val="ListBullet"/>
        <w:spacing w:after="60"/>
        <w:ind w:left="425"/>
      </w:pPr>
      <w:r/>
      <w:r>
        <w:rPr>
          <w:rFonts w:ascii="Calibri" w:hAnsi="Calibri"/>
          <w:b w:val="0"/>
          <w:i w:val="0"/>
          <w:color w:val="000000"/>
          <w:sz w:val="21"/>
        </w:rPr>
        <w:t xml:space="preserve">How is it doing financially? Run the ratios. Look for </w:t>
      </w:r>
      <w:r>
        <w:rPr>
          <w:rFonts w:ascii="Calibri" w:hAnsi="Calibri"/>
          <w:b/>
          <w:i w:val="0"/>
          <w:color w:val="000000"/>
          <w:sz w:val="21"/>
        </w:rPr>
        <w:t>significant movements</w:t>
      </w:r>
      <w:r>
        <w:rPr>
          <w:rFonts w:ascii="Calibri" w:hAnsi="Calibri"/>
          <w:b w:val="0"/>
          <w:i w:val="0"/>
          <w:color w:val="000000"/>
          <w:sz w:val="21"/>
        </w:rPr>
        <w:t xml:space="preserve"> and differences against industry norms — not every line item.</w:t>
      </w:r>
    </w:p>
    <w:p>
      <w:pPr>
        <w:pStyle w:val="ListBullet"/>
        <w:spacing w:after="60"/>
        <w:ind w:left="425"/>
      </w:pPr>
      <w:r/>
      <w:r>
        <w:rPr>
          <w:rFonts w:ascii="Calibri" w:hAnsi="Calibri"/>
          <w:b w:val="0"/>
          <w:i w:val="0"/>
          <w:color w:val="000000"/>
          <w:sz w:val="21"/>
        </w:rPr>
        <w:t>Where is it in the life cycle — start-up, expanding, cash cow, declining, distressed? Every stage has its own risks and its own sensible decisions. My recommendations have to fit the stage. Do not propose a cash bonus to a company with no cash.</w:t>
      </w:r>
    </w:p>
    <w:p>
      <w:pPr>
        <w:pStyle w:val="ListBullet"/>
        <w:spacing w:after="60"/>
        <w:ind w:left="425"/>
      </w:pPr>
      <w:r/>
      <w:r>
        <w:rPr>
          <w:rFonts w:ascii="Calibri" w:hAnsi="Calibri"/>
          <w:b w:val="0"/>
          <w:i w:val="0"/>
          <w:color w:val="000000"/>
          <w:sz w:val="21"/>
        </w:rPr>
        <w:t xml:space="preserve">Who are the people? Names, roles, qualifications, who reports to whom. I will be writing </w:t>
      </w:r>
      <w:r>
        <w:rPr>
          <w:rFonts w:ascii="Calibri" w:hAnsi="Calibri"/>
          <w:b/>
          <w:i w:val="0"/>
          <w:color w:val="000000"/>
          <w:sz w:val="21"/>
        </w:rPr>
        <w:t>to</w:t>
      </w:r>
      <w:r>
        <w:rPr>
          <w:rFonts w:ascii="Calibri" w:hAnsi="Calibri"/>
          <w:b w:val="0"/>
          <w:i w:val="0"/>
          <w:color w:val="000000"/>
          <w:sz w:val="21"/>
        </w:rPr>
        <w:t xml:space="preserve"> these people.</w:t>
      </w:r>
    </w:p>
    <w:p>
      <w:pPr>
        <w:pStyle w:val="ListBullet"/>
        <w:spacing w:after="60"/>
        <w:ind w:left="425"/>
      </w:pPr>
      <w:r/>
      <w:r>
        <w:rPr>
          <w:rFonts w:ascii="Calibri" w:hAnsi="Calibri"/>
          <w:b w:val="0"/>
          <w:i w:val="0"/>
          <w:color w:val="000000"/>
          <w:sz w:val="21"/>
        </w:rPr>
        <w:t>What governance structures exist? Board composition, committees, independence.</w:t>
      </w:r>
    </w:p>
    <w:p>
      <w:pPr>
        <w:pStyle w:val="ListBullet"/>
        <w:spacing w:after="60"/>
        <w:ind w:left="425"/>
      </w:pPr>
      <w:r/>
      <w:r>
        <w:rPr>
          <w:rFonts w:ascii="Calibri" w:hAnsi="Calibri"/>
          <w:b w:val="0"/>
          <w:i w:val="0"/>
          <w:color w:val="000000"/>
          <w:sz w:val="21"/>
        </w:rPr>
        <w:t>Who are the stakeholders — customers, suppliers, funders, regulators — and is the company dependent on any one of them?</w:t>
      </w:r>
    </w:p>
    <w:p>
      <w:pPr>
        <w:pStyle w:val="ListBullet"/>
        <w:spacing w:after="60"/>
        <w:ind w:left="425"/>
      </w:pPr>
      <w:r/>
      <w:r>
        <w:rPr>
          <w:rFonts w:ascii="Calibri" w:hAnsi="Calibri"/>
          <w:b w:val="0"/>
          <w:i w:val="0"/>
          <w:color w:val="000000"/>
          <w:sz w:val="21"/>
        </w:rPr>
        <w:t>What decisions does this company have to make inside the timeframe of the case?</w:t>
      </w:r>
    </w:p>
    <w:p>
      <w:pPr>
        <w:spacing w:after="100"/>
      </w:pPr>
      <w:r>
        <w:rPr>
          <w:rFonts w:ascii="Calibri" w:hAnsi="Calibri"/>
          <w:b w:val="0"/>
          <w:i w:val="0"/>
          <w:color w:val="000000"/>
          <w:sz w:val="21"/>
        </w:rPr>
        <w:t xml:space="preserve">Supplement it: industry reading, YouTube, and the integrated reports of comparable JSE-listed companies. Chairman's report for the external environment and governance; CEO's report for operations. I am trying to understand the </w:t>
      </w:r>
      <w:r>
        <w:rPr>
          <w:rFonts w:ascii="Calibri" w:hAnsi="Calibri"/>
          <w:b/>
          <w:i w:val="0"/>
          <w:color w:val="000000"/>
          <w:sz w:val="21"/>
        </w:rPr>
        <w:t>forces acting on a business in this industry and how it responds</w:t>
      </w:r>
      <w:r>
        <w:rPr>
          <w:rFonts w:ascii="Calibri" w:hAnsi="Calibri"/>
          <w:b w:val="0"/>
          <w:i w:val="0"/>
          <w:color w:val="000000"/>
          <w:sz w:val="21"/>
        </w:rPr>
        <w:t xml:space="preserve"> — not to become an expert.</w:t>
      </w:r>
    </w:p>
    <w:p>
      <w:pPr>
        <w:spacing w:after="100"/>
      </w:pPr>
      <w:r>
        <w:rPr>
          <w:rFonts w:ascii="Calibri" w:hAnsi="Calibri"/>
          <w:b w:val="0"/>
          <w:i w:val="0"/>
          <w:color w:val="000000"/>
          <w:sz w:val="21"/>
        </w:rPr>
        <w:t>Finish with a SWOT or Porter's Five Forces so it is on one page.</w:t>
      </w:r>
    </w:p>
    <w:p>
      <w:pPr>
        <w:pStyle w:val="Heading2"/>
      </w:pPr>
      <w:r/>
      <w:r>
        <w:rPr>
          <w:rFonts w:ascii="Calibri" w:hAnsi="Calibri"/>
          <w:color w:val="000000"/>
        </w:rPr>
        <w:t>Step 2 — Find the triggers</w:t>
      </w:r>
    </w:p>
    <w:p>
      <w:pPr>
        <w:spacing w:after="100"/>
      </w:pPr>
      <w:r>
        <w:rPr>
          <w:rFonts w:ascii="Calibri" w:hAnsi="Calibri"/>
          <w:b w:val="0"/>
          <w:i w:val="0"/>
          <w:color w:val="000000"/>
          <w:sz w:val="21"/>
        </w:rPr>
        <w:t xml:space="preserve">A trigger is an event, transaction, circumstance or issue that needs professional consideration. Triggers tell me what to </w:t>
      </w:r>
      <w:r>
        <w:rPr>
          <w:rFonts w:ascii="Calibri" w:hAnsi="Calibri"/>
          <w:b/>
          <w:i w:val="0"/>
          <w:color w:val="000000"/>
          <w:sz w:val="21"/>
        </w:rPr>
        <w:t>prepare</w:t>
      </w:r>
      <w:r>
        <w:rPr>
          <w:rFonts w:ascii="Calibri" w:hAnsi="Calibri"/>
          <w:b w:val="0"/>
          <w:i w:val="0"/>
          <w:color w:val="000000"/>
          <w:sz w:val="21"/>
        </w:rPr>
        <w:t xml:space="preserve">, not what will be </w:t>
      </w:r>
      <w:r>
        <w:rPr>
          <w:rFonts w:ascii="Calibri" w:hAnsi="Calibri"/>
          <w:b/>
          <w:i w:val="0"/>
          <w:color w:val="000000"/>
          <w:sz w:val="21"/>
        </w:rPr>
        <w:t>asked</w:t>
      </w:r>
      <w:r>
        <w:rPr>
          <w:rFonts w:ascii="Calibri" w:hAnsi="Calibri"/>
          <w:b w:val="0"/>
          <w:i w:val="0"/>
          <w:color w:val="000000"/>
          <w:sz w:val="21"/>
        </w:rPr>
        <w:t>.</w:t>
      </w:r>
    </w:p>
    <w:p>
      <w:pPr>
        <w:spacing w:after="100"/>
      </w:pPr>
      <w:r>
        <w:rPr>
          <w:rFonts w:ascii="Calibri" w:hAnsi="Calibri"/>
          <w:b w:val="0"/>
          <w:i w:val="0"/>
          <w:color w:val="000000"/>
          <w:sz w:val="21"/>
        </w:rPr>
        <w:t>Where they hide:</w:t>
      </w:r>
    </w:p>
    <w:p>
      <w:pPr>
        <w:pStyle w:val="ListBullet"/>
        <w:spacing w:after="60"/>
        <w:ind w:left="425"/>
      </w:pPr>
      <w:r/>
      <w:r>
        <w:rPr>
          <w:rFonts w:ascii="Calibri" w:hAnsi="Calibri"/>
          <w:b/>
          <w:i w:val="0"/>
          <w:color w:val="000000"/>
          <w:sz w:val="21"/>
        </w:rPr>
        <w:t>Content triggers</w:t>
      </w:r>
      <w:r>
        <w:rPr>
          <w:rFonts w:ascii="Calibri" w:hAnsi="Calibri"/>
          <w:b w:val="0"/>
          <w:i w:val="0"/>
          <w:color w:val="000000"/>
          <w:sz w:val="21"/>
        </w:rPr>
        <w:t xml:space="preserve"> — any reference to a section of legislation, an accounting standard, an auditing standard. Always a strong trigger.</w:t>
      </w:r>
    </w:p>
    <w:p>
      <w:pPr>
        <w:pStyle w:val="ListBullet"/>
        <w:spacing w:after="60"/>
        <w:ind w:left="425"/>
      </w:pPr>
      <w:r/>
      <w:r>
        <w:rPr>
          <w:rFonts w:ascii="Calibri" w:hAnsi="Calibri"/>
          <w:b/>
          <w:i w:val="0"/>
          <w:color w:val="000000"/>
          <w:sz w:val="21"/>
        </w:rPr>
        <w:t>Scoping sentences</w:t>
      </w:r>
      <w:r>
        <w:rPr>
          <w:rFonts w:ascii="Calibri" w:hAnsi="Calibri"/>
          <w:b w:val="0"/>
          <w:i w:val="0"/>
          <w:color w:val="000000"/>
          <w:sz w:val="21"/>
        </w:rPr>
        <w:t xml:space="preserve"> — "I am only interested in the financial reporting consequences" narrows what I research. Silence means consider every discipline.</w:t>
      </w:r>
    </w:p>
    <w:p>
      <w:pPr>
        <w:pStyle w:val="ListBullet"/>
        <w:spacing w:after="60"/>
        <w:ind w:left="425"/>
      </w:pPr>
      <w:r/>
      <w:r>
        <w:rPr>
          <w:rFonts w:ascii="Calibri" w:hAnsi="Calibri"/>
          <w:b/>
          <w:i w:val="0"/>
          <w:color w:val="000000"/>
          <w:sz w:val="21"/>
        </w:rPr>
        <w:t>Specific events</w:t>
      </w:r>
      <w:r>
        <w:rPr>
          <w:rFonts w:ascii="Calibri" w:hAnsi="Calibri"/>
          <w:b w:val="0"/>
          <w:i w:val="0"/>
          <w:color w:val="000000"/>
          <w:sz w:val="21"/>
        </w:rPr>
        <w:t xml:space="preserve"> — an upcoming board meeting, an audit, a review, a decision, a deadline.</w:t>
      </w:r>
    </w:p>
    <w:p>
      <w:pPr>
        <w:pStyle w:val="ListBullet"/>
        <w:spacing w:after="60"/>
        <w:ind w:left="425"/>
      </w:pPr>
      <w:r/>
      <w:r>
        <w:rPr>
          <w:rFonts w:ascii="Calibri" w:hAnsi="Calibri"/>
          <w:b/>
          <w:i w:val="0"/>
          <w:color w:val="000000"/>
          <w:sz w:val="21"/>
        </w:rPr>
        <w:t>Anything I do not understand.</w:t>
      </w:r>
      <w:r>
        <w:rPr>
          <w:rFonts w:ascii="Calibri" w:hAnsi="Calibri"/>
          <w:b w:val="0"/>
          <w:i w:val="0"/>
          <w:color w:val="000000"/>
          <w:sz w:val="21"/>
        </w:rPr>
        <w:t xml:space="preserve"> I have five days. There is no excuse for still being confused on the day.</w:t>
      </w:r>
    </w:p>
    <w:p>
      <w:pPr>
        <w:pStyle w:val="ListBullet"/>
        <w:spacing w:after="60"/>
        <w:ind w:left="425"/>
      </w:pPr>
      <w:r/>
      <w:r>
        <w:rPr>
          <w:rFonts w:ascii="Calibri" w:hAnsi="Calibri"/>
          <w:b/>
          <w:i w:val="0"/>
          <w:color w:val="000000"/>
          <w:sz w:val="21"/>
        </w:rPr>
        <w:t>Uncertainty</w:t>
      </w:r>
      <w:r>
        <w:rPr>
          <w:rFonts w:ascii="Calibri" w:hAnsi="Calibri"/>
          <w:b w:val="0"/>
          <w:i w:val="0"/>
          <w:color w:val="000000"/>
          <w:sz w:val="21"/>
        </w:rPr>
        <w:t xml:space="preserve"> — anything phrased as a question, or where someone says they are concerned, or weighing options. Competence gets demonstrated on hard problems, so that is where they put the marks.</w:t>
      </w:r>
    </w:p>
    <w:p>
      <w:pPr>
        <w:pStyle w:val="ListBullet"/>
        <w:spacing w:after="60"/>
        <w:ind w:left="425"/>
      </w:pPr>
      <w:r/>
      <w:r>
        <w:rPr>
          <w:rFonts w:ascii="Calibri" w:hAnsi="Calibri"/>
          <w:b/>
          <w:i w:val="0"/>
          <w:color w:val="000000"/>
          <w:sz w:val="21"/>
        </w:rPr>
        <w:t>Anything my ratio analysis flags.</w:t>
      </w:r>
    </w:p>
    <w:p>
      <w:pPr>
        <w:pStyle w:val="ListBullet"/>
        <w:spacing w:after="60"/>
        <w:ind w:left="425"/>
      </w:pPr>
      <w:r/>
      <w:r>
        <w:rPr>
          <w:rFonts w:ascii="Calibri" w:hAnsi="Calibri"/>
          <w:b/>
          <w:i w:val="0"/>
          <w:color w:val="000000"/>
          <w:sz w:val="21"/>
        </w:rPr>
        <w:t>Industry-specific standards that always matter</w:t>
      </w:r>
      <w:r>
        <w:rPr>
          <w:rFonts w:ascii="Calibri" w:hAnsi="Calibri"/>
          <w:b w:val="0"/>
          <w:i w:val="0"/>
          <w:color w:val="000000"/>
          <w:sz w:val="21"/>
        </w:rPr>
        <w:t>, whether mentioned or not. IAS 41 for a farm, IFRS 16 for an airline, IAS 40 for a property group, IFRS 6 and rehabilitation provisions for a miner.</w:t>
      </w:r>
    </w:p>
    <w:p>
      <w:pPr>
        <w:spacing w:after="100"/>
      </w:pPr>
      <w:r>
        <w:rPr>
          <w:rFonts w:ascii="Calibri" w:hAnsi="Calibri"/>
          <w:b w:val="0"/>
          <w:i w:val="0"/>
          <w:color w:val="000000"/>
          <w:sz w:val="21"/>
        </w:rPr>
        <w:t xml:space="preserve">Then </w:t>
      </w:r>
      <w:r>
        <w:rPr>
          <w:rFonts w:ascii="Calibri" w:hAnsi="Calibri"/>
          <w:b/>
          <w:i w:val="0"/>
          <w:color w:val="000000"/>
          <w:sz w:val="21"/>
        </w:rPr>
        <w:t>rank them</w:t>
      </w:r>
      <w:r>
        <w:rPr>
          <w:rFonts w:ascii="Calibri" w:hAnsi="Calibri"/>
          <w:b w:val="0"/>
          <w:i w:val="0"/>
          <w:color w:val="000000"/>
          <w:sz w:val="21"/>
        </w:rPr>
        <w:t>: how clear is the trigger, and how many separate pieces of information point at it? Spend my time in that order.</w:t>
      </w:r>
    </w:p>
    <w:p>
      <w:pPr>
        <w:pStyle w:val="Heading2"/>
      </w:pPr>
      <w:r/>
      <w:r>
        <w:rPr>
          <w:rFonts w:ascii="Calibri" w:hAnsi="Calibri"/>
          <w:color w:val="000000"/>
        </w:rPr>
        <w:t>Step 3 — Unpack every trigger across every discipline</w:t>
      </w:r>
    </w:p>
    <w:p>
      <w:pPr>
        <w:spacing w:after="100"/>
      </w:pPr>
      <w:r>
        <w:rPr>
          <w:rFonts w:ascii="Calibri" w:hAnsi="Calibri"/>
          <w:b w:val="0"/>
          <w:i w:val="0"/>
          <w:color w:val="000000"/>
          <w:sz w:val="21"/>
        </w:rPr>
        <w:t xml:space="preserve">This is where my preparation usually falls short. A trigger is an </w:t>
      </w:r>
      <w:r>
        <w:rPr>
          <w:rFonts w:ascii="Calibri" w:hAnsi="Calibri"/>
          <w:b/>
          <w:i w:val="0"/>
          <w:color w:val="000000"/>
          <w:sz w:val="21"/>
        </w:rPr>
        <w:t>issue</w:t>
      </w:r>
      <w:r>
        <w:rPr>
          <w:rFonts w:ascii="Calibri" w:hAnsi="Calibri"/>
          <w:b w:val="0"/>
          <w:i w:val="0"/>
          <w:color w:val="000000"/>
          <w:sz w:val="21"/>
        </w:rPr>
        <w:t>, not a discipline. Before I research anything, I run it through every lens:</w:t>
      </w:r>
    </w:p>
    <w:tbl>
      <w:tblPr>
        <w:tblStyle w:val="TableGrid"/>
        <w:tblW w:type="auto" w:w="0"/>
        <w:tblLayout w:type="fixed"/>
        <w:tblLook w:firstColumn="1" w:firstRow="1" w:lastColumn="0" w:lastRow="0" w:noHBand="0" w:noVBand="1" w:val="04A0"/>
        <w:tblLayout w:type="fixed"/>
        <w:tblW w:w="5000" w:type="pct"/>
      </w:tblPr>
      <w:tblGrid>
        <w:gridCol w:w="1928"/>
        <w:gridCol w:w="7710"/>
      </w:tblGrid>
      <w:tr>
        <w:tc>
          <w:tcPr>
            <w:tcW w:type="dxa" w:w="1928"/>
            <w:shd w:val="clear" w:fill="F2F2F2"/>
          </w:tcPr>
          <w:p>
            <w:pPr>
              <w:spacing w:after="20"/>
            </w:pPr>
            <w:r/>
            <w:r>
              <w:rPr>
                <w:rFonts w:ascii="Calibri" w:hAnsi="Calibri"/>
                <w:b/>
                <w:color w:val="000000"/>
                <w:sz w:val="19"/>
              </w:rPr>
              <w:t>Lens</w:t>
            </w:r>
          </w:p>
        </w:tc>
        <w:tc>
          <w:tcPr>
            <w:tcW w:type="dxa" w:w="7710"/>
            <w:shd w:val="clear" w:fill="F2F2F2"/>
          </w:tcPr>
          <w:p>
            <w:pPr>
              <w:spacing w:after="20"/>
            </w:pPr>
            <w:r/>
            <w:r>
              <w:rPr>
                <w:rFonts w:ascii="Calibri" w:hAnsi="Calibri"/>
                <w:b/>
                <w:color w:val="000000"/>
                <w:sz w:val="19"/>
              </w:rPr>
              <w:t>What I ask</w:t>
            </w:r>
          </w:p>
        </w:tc>
      </w:tr>
      <w:tr>
        <w:tc>
          <w:tcPr>
            <w:tcW w:type="dxa" w:w="1928"/>
          </w:tcPr>
          <w:p>
            <w:pPr>
              <w:spacing w:after="20" w:before="0"/>
            </w:pPr>
            <w:r/>
            <w:r>
              <w:rPr>
                <w:rFonts w:ascii="Calibri" w:hAnsi="Calibri"/>
                <w:b w:val="0"/>
                <w:i w:val="0"/>
                <w:color w:val="000000"/>
                <w:sz w:val="19"/>
              </w:rPr>
              <w:t>Financial reporting</w:t>
            </w:r>
          </w:p>
        </w:tc>
        <w:tc>
          <w:tcPr>
            <w:tcW w:type="dxa" w:w="7710"/>
          </w:tcPr>
          <w:p>
            <w:pPr>
              <w:spacing w:after="20" w:before="0"/>
            </w:pPr>
            <w:r/>
            <w:r>
              <w:rPr>
                <w:rFonts w:ascii="Calibri" w:hAnsi="Calibri"/>
                <w:b w:val="0"/>
                <w:i w:val="0"/>
                <w:color w:val="000000"/>
                <w:sz w:val="19"/>
              </w:rPr>
              <w:t>Which standard? Initial recognition, subsequent measurement, presentation, disclosure. What else does this transaction touch?</w:t>
            </w:r>
          </w:p>
        </w:tc>
      </w:tr>
      <w:tr>
        <w:tc>
          <w:tcPr>
            <w:tcW w:type="dxa" w:w="1928"/>
          </w:tcPr>
          <w:p>
            <w:pPr>
              <w:spacing w:after="20" w:before="0"/>
            </w:pPr>
            <w:r/>
            <w:r>
              <w:rPr>
                <w:rFonts w:ascii="Calibri" w:hAnsi="Calibri"/>
                <w:b w:val="0"/>
                <w:i w:val="0"/>
                <w:color w:val="000000"/>
                <w:sz w:val="19"/>
              </w:rPr>
              <w:t>Tax</w:t>
            </w:r>
          </w:p>
        </w:tc>
        <w:tc>
          <w:tcPr>
            <w:tcW w:type="dxa" w:w="7710"/>
          </w:tcPr>
          <w:p>
            <w:pPr>
              <w:spacing w:after="20" w:before="0"/>
            </w:pPr>
            <w:r/>
            <w:r>
              <w:rPr>
                <w:rFonts w:ascii="Calibri" w:hAnsi="Calibri"/>
                <w:b w:val="0"/>
                <w:i w:val="0"/>
                <w:color w:val="000000"/>
                <w:sz w:val="19"/>
              </w:rPr>
              <w:t>Not just "which section". The requirements for application, the exceptions, the exclusions, the limitations, and the effect of applying it or not. Income tax, CGT, VAT, dividends tax, employees tax.</w:t>
            </w:r>
          </w:p>
        </w:tc>
      </w:tr>
      <w:tr>
        <w:tc>
          <w:tcPr>
            <w:tcW w:type="dxa" w:w="1928"/>
          </w:tcPr>
          <w:p>
            <w:pPr>
              <w:spacing w:after="20" w:before="0"/>
            </w:pPr>
            <w:r/>
            <w:r>
              <w:rPr>
                <w:rFonts w:ascii="Calibri" w:hAnsi="Calibri"/>
                <w:b w:val="0"/>
                <w:i w:val="0"/>
                <w:color w:val="000000"/>
                <w:sz w:val="19"/>
              </w:rPr>
              <w:t>Audit and assurance</w:t>
            </w:r>
          </w:p>
        </w:tc>
        <w:tc>
          <w:tcPr>
            <w:tcW w:type="dxa" w:w="7710"/>
          </w:tcPr>
          <w:p>
            <w:pPr>
              <w:spacing w:after="20" w:before="0"/>
            </w:pPr>
            <w:r/>
            <w:r>
              <w:rPr>
                <w:rFonts w:ascii="Calibri" w:hAnsi="Calibri"/>
                <w:b w:val="0"/>
                <w:i w:val="0"/>
                <w:color w:val="000000"/>
                <w:sz w:val="19"/>
              </w:rPr>
              <w:t>The whole cycle — planning, materiality, risk of material misstatement, responses, evidence, reporting. Plus the ethical dimension.</w:t>
            </w:r>
          </w:p>
        </w:tc>
      </w:tr>
      <w:tr>
        <w:tc>
          <w:tcPr>
            <w:tcW w:type="dxa" w:w="1928"/>
          </w:tcPr>
          <w:p>
            <w:pPr>
              <w:spacing w:after="20" w:before="0"/>
            </w:pPr>
            <w:r/>
            <w:r>
              <w:rPr>
                <w:rFonts w:ascii="Calibri" w:hAnsi="Calibri"/>
                <w:b w:val="0"/>
                <w:i w:val="0"/>
                <w:color w:val="000000"/>
                <w:sz w:val="19"/>
              </w:rPr>
              <w:t>Financial management</w:t>
            </w:r>
          </w:p>
        </w:tc>
        <w:tc>
          <w:tcPr>
            <w:tcW w:type="dxa" w:w="7710"/>
          </w:tcPr>
          <w:p>
            <w:pPr>
              <w:spacing w:after="20" w:before="0"/>
            </w:pPr>
            <w:r/>
            <w:r>
              <w:rPr>
                <w:rFonts w:ascii="Calibri" w:hAnsi="Calibri"/>
                <w:b w:val="0"/>
                <w:i w:val="0"/>
                <w:color w:val="000000"/>
                <w:sz w:val="19"/>
              </w:rPr>
              <w:t>Valuation, financing, cost of capital, cash flow.</w:t>
            </w:r>
          </w:p>
        </w:tc>
      </w:tr>
      <w:tr>
        <w:tc>
          <w:tcPr>
            <w:tcW w:type="dxa" w:w="1928"/>
          </w:tcPr>
          <w:p>
            <w:pPr>
              <w:spacing w:after="20" w:before="0"/>
            </w:pPr>
            <w:r/>
            <w:r>
              <w:rPr>
                <w:rFonts w:ascii="Calibri" w:hAnsi="Calibri"/>
                <w:b w:val="0"/>
                <w:i w:val="0"/>
                <w:color w:val="000000"/>
                <w:sz w:val="19"/>
              </w:rPr>
              <w:t>MDMC</w:t>
            </w:r>
          </w:p>
        </w:tc>
        <w:tc>
          <w:tcPr>
            <w:tcW w:type="dxa" w:w="7710"/>
          </w:tcPr>
          <w:p>
            <w:pPr>
              <w:spacing w:after="20" w:before="0"/>
            </w:pPr>
            <w:r/>
            <w:r>
              <w:rPr>
                <w:rFonts w:ascii="Calibri" w:hAnsi="Calibri"/>
                <w:b w:val="0"/>
                <w:i w:val="0"/>
                <w:color w:val="000000"/>
                <w:sz w:val="19"/>
              </w:rPr>
              <w:t>Relevant costing, limiting factors, break-even, KPIs, budgeting, internal controls.</w:t>
            </w:r>
          </w:p>
        </w:tc>
      </w:tr>
      <w:tr>
        <w:tc>
          <w:tcPr>
            <w:tcW w:type="dxa" w:w="1928"/>
          </w:tcPr>
          <w:p>
            <w:pPr>
              <w:spacing w:after="20" w:before="0"/>
            </w:pPr>
            <w:r/>
            <w:r>
              <w:rPr>
                <w:rFonts w:ascii="Calibri" w:hAnsi="Calibri"/>
                <w:b w:val="0"/>
                <w:i w:val="0"/>
                <w:color w:val="000000"/>
                <w:sz w:val="19"/>
              </w:rPr>
              <w:t>Strategy, risk, governance</w:t>
            </w:r>
          </w:p>
        </w:tc>
        <w:tc>
          <w:tcPr>
            <w:tcW w:type="dxa" w:w="7710"/>
          </w:tcPr>
          <w:p>
            <w:pPr>
              <w:spacing w:after="20" w:before="0"/>
            </w:pPr>
            <w:r/>
            <w:r>
              <w:rPr>
                <w:rFonts w:ascii="Calibri" w:hAnsi="Calibri"/>
                <w:b w:val="0"/>
                <w:i w:val="0"/>
                <w:color w:val="000000"/>
                <w:sz w:val="19"/>
              </w:rPr>
              <w:t>Strategic fit, risk exposure, King V, Companies Act, stakeholders, the six capitals.</w:t>
            </w:r>
          </w:p>
        </w:tc>
      </w:tr>
      <w:tr>
        <w:tc>
          <w:tcPr>
            <w:tcW w:type="dxa" w:w="1928"/>
          </w:tcPr>
          <w:p>
            <w:pPr>
              <w:spacing w:after="20" w:before="0"/>
            </w:pPr>
            <w:r/>
            <w:r>
              <w:rPr>
                <w:rFonts w:ascii="Calibri" w:hAnsi="Calibri"/>
                <w:b w:val="0"/>
                <w:i w:val="0"/>
                <w:color w:val="000000"/>
                <w:sz w:val="19"/>
              </w:rPr>
              <w:t>Ethics</w:t>
            </w:r>
          </w:p>
        </w:tc>
        <w:tc>
          <w:tcPr>
            <w:tcW w:type="dxa" w:w="7710"/>
          </w:tcPr>
          <w:p>
            <w:pPr>
              <w:spacing w:after="20" w:before="0"/>
            </w:pPr>
            <w:r/>
            <w:r>
              <w:rPr>
                <w:rFonts w:ascii="Calibri" w:hAnsi="Calibri"/>
                <w:b w:val="0"/>
                <w:i w:val="0"/>
                <w:color w:val="000000"/>
                <w:sz w:val="19"/>
              </w:rPr>
              <w:t>Could anyone's conduct here be tested?</w:t>
            </w:r>
          </w:p>
        </w:tc>
      </w:tr>
    </w:tbl>
    <w:p>
      <w:pPr>
        <w:spacing w:after="40"/>
      </w:pPr>
    </w:p>
    <w:p>
      <w:pPr>
        <w:spacing w:after="100"/>
      </w:pPr>
      <w:r>
        <w:rPr>
          <w:rFonts w:ascii="Calibri" w:hAnsi="Calibri"/>
          <w:b w:val="0"/>
          <w:i w:val="0"/>
          <w:color w:val="000000"/>
          <w:sz w:val="21"/>
        </w:rPr>
        <w:t>A mind map per trigger. It keeps me honest about breadth and stops me chasing the one answer I have decided is coming.</w:t>
      </w:r>
    </w:p>
    <w:p>
      <w:pPr>
        <w:pStyle w:val="Heading2"/>
      </w:pPr>
      <w:r/>
      <w:r>
        <w:rPr>
          <w:rFonts w:ascii="Calibri" w:hAnsi="Calibri"/>
          <w:color w:val="000000"/>
        </w:rPr>
        <w:t>Step 4 — Research the area, not the question</w:t>
      </w:r>
    </w:p>
    <w:p>
      <w:pPr>
        <w:spacing w:after="100"/>
      </w:pPr>
      <w:r>
        <w:rPr>
          <w:rFonts w:ascii="Calibri" w:hAnsi="Calibri"/>
          <w:b w:val="0"/>
          <w:i w:val="0"/>
          <w:color w:val="000000"/>
          <w:sz w:val="21"/>
        </w:rPr>
        <w:t>Revise the whole technical area first, then apply it to the case. Keep the relevant page of the pre-release open next to the technical material so I keep seeing the trigger in context.</w:t>
      </w:r>
    </w:p>
    <w:p>
      <w:pPr>
        <w:spacing w:after="100"/>
      </w:pPr>
      <w:r>
        <w:rPr>
          <w:rFonts w:ascii="Calibri" w:hAnsi="Calibri"/>
          <w:b w:val="0"/>
          <w:i w:val="0"/>
          <w:color w:val="000000"/>
          <w:sz w:val="21"/>
        </w:rPr>
        <w:t>While I research, keep asking:</w:t>
      </w:r>
    </w:p>
    <w:p>
      <w:pPr>
        <w:pStyle w:val="ListBullet"/>
        <w:spacing w:after="60"/>
        <w:ind w:left="425"/>
      </w:pPr>
      <w:r/>
      <w:r>
        <w:rPr>
          <w:rFonts w:ascii="Calibri" w:hAnsi="Calibri"/>
          <w:b w:val="0"/>
          <w:i w:val="0"/>
          <w:color w:val="000000"/>
          <w:sz w:val="21"/>
        </w:rPr>
        <w:t>Which requirements appear to be met? Which are uncertain?</w:t>
      </w:r>
    </w:p>
    <w:p>
      <w:pPr>
        <w:pStyle w:val="ListBullet"/>
        <w:spacing w:after="60"/>
        <w:ind w:left="425"/>
      </w:pPr>
      <w:r/>
      <w:r>
        <w:rPr>
          <w:rFonts w:ascii="Calibri" w:hAnsi="Calibri"/>
          <w:b w:val="0"/>
          <w:i w:val="0"/>
          <w:color w:val="000000"/>
          <w:sz w:val="21"/>
        </w:rPr>
        <w:t>What assumptions am I making?</w:t>
      </w:r>
    </w:p>
    <w:p>
      <w:pPr>
        <w:pStyle w:val="ListBullet"/>
        <w:spacing w:after="60"/>
        <w:ind w:left="425"/>
      </w:pPr>
      <w:r/>
      <w:r>
        <w:rPr>
          <w:rFonts w:ascii="Calibri" w:hAnsi="Calibri"/>
          <w:b w:val="0"/>
          <w:i w:val="0"/>
          <w:color w:val="000000"/>
          <w:sz w:val="21"/>
        </w:rPr>
        <w:t>What additional information would I want before I could conclude?</w:t>
      </w:r>
    </w:p>
    <w:p>
      <w:pPr>
        <w:spacing w:after="100"/>
      </w:pPr>
      <w:r>
        <w:rPr>
          <w:rFonts w:ascii="Calibri" w:hAnsi="Calibri"/>
          <w:b w:val="0"/>
          <w:i w:val="0"/>
          <w:color w:val="000000"/>
          <w:sz w:val="21"/>
        </w:rPr>
        <w:t>That last one is gold. Every answer I write should end with what I still need to know. It is free marks and it is what a real CA would say.</w:t>
      </w:r>
    </w:p>
    <w:p>
      <w:pPr>
        <w:spacing w:after="100"/>
      </w:pPr>
      <w:r>
        <w:rPr>
          <w:rFonts w:ascii="Calibri" w:hAnsi="Calibri"/>
          <w:b w:val="0"/>
          <w:i w:val="0"/>
          <w:color w:val="000000"/>
          <w:sz w:val="21"/>
        </w:rPr>
        <w:t xml:space="preserve">Work </w:t>
      </w:r>
      <w:r>
        <w:rPr>
          <w:rFonts w:ascii="Calibri" w:hAnsi="Calibri"/>
          <w:b/>
          <w:i w:val="0"/>
          <w:color w:val="000000"/>
          <w:sz w:val="21"/>
        </w:rPr>
        <w:t>one trigger at a time</w:t>
      </w:r>
      <w:r>
        <w:rPr>
          <w:rFonts w:ascii="Calibri" w:hAnsi="Calibri"/>
          <w:b w:val="0"/>
          <w:i w:val="0"/>
          <w:color w:val="000000"/>
          <w:sz w:val="21"/>
        </w:rPr>
        <w:t xml:space="preserve">. If something occurs to me about another trigger, note it on a separate page and carry on. Spend the most time on the highest-ranked triggers and on the content I am </w:t>
      </w:r>
      <w:r>
        <w:rPr>
          <w:rFonts w:ascii="Calibri" w:hAnsi="Calibri"/>
          <w:b/>
          <w:i w:val="0"/>
          <w:color w:val="000000"/>
          <w:sz w:val="21"/>
        </w:rPr>
        <w:t>least</w:t>
      </w:r>
      <w:r>
        <w:rPr>
          <w:rFonts w:ascii="Calibri" w:hAnsi="Calibri"/>
          <w:b w:val="0"/>
          <w:i w:val="0"/>
          <w:color w:val="000000"/>
          <w:sz w:val="21"/>
        </w:rPr>
        <w:t xml:space="preserve"> comfortable with — not on the subjects I enjoy. I always drift to the stuff I like. Stop it.</w:t>
      </w:r>
    </w:p>
    <w:p>
      <w:pPr>
        <w:pStyle w:val="Heading2"/>
      </w:pPr>
      <w:r/>
      <w:r>
        <w:rPr>
          <w:rFonts w:ascii="Calibri" w:hAnsi="Calibri"/>
          <w:color w:val="000000"/>
        </w:rPr>
        <w:t>Step 5 — The "what if" pass (the highest-return thing I do)</w:t>
      </w:r>
    </w:p>
    <w:p>
      <w:pPr>
        <w:spacing w:after="100"/>
      </w:pPr>
      <w:r>
        <w:rPr>
          <w:rFonts w:ascii="Calibri" w:hAnsi="Calibri"/>
          <w:b w:val="0"/>
          <w:i w:val="0"/>
          <w:color w:val="000000"/>
          <w:sz w:val="21"/>
        </w:rPr>
        <w:t>For each trigger: what if a fact changed? What if an exception applied? What if the day adds information?</w:t>
      </w:r>
    </w:p>
    <w:p>
      <w:pPr>
        <w:spacing w:after="100"/>
      </w:pPr>
      <w:r>
        <w:rPr>
          <w:rFonts w:ascii="Calibri" w:hAnsi="Calibri"/>
          <w:b w:val="0"/>
          <w:i w:val="0"/>
          <w:color w:val="000000"/>
          <w:sz w:val="21"/>
        </w:rPr>
        <w:t xml:space="preserve">Work through the alternative treatments and be able to journalise or calculate </w:t>
      </w:r>
      <w:r>
        <w:rPr>
          <w:rFonts w:ascii="Calibri" w:hAnsi="Calibri"/>
          <w:b/>
          <w:i w:val="0"/>
          <w:color w:val="000000"/>
          <w:sz w:val="21"/>
        </w:rPr>
        <w:t>each one</w:t>
      </w:r>
      <w:r>
        <w:rPr>
          <w:rFonts w:ascii="Calibri" w:hAnsi="Calibri"/>
          <w:b w:val="0"/>
          <w:i w:val="0"/>
          <w:color w:val="000000"/>
          <w:sz w:val="21"/>
        </w:rPr>
        <w:t>. The day almost always changes something. If my what-if comes up, I have already thought it through. If it does not, I understand the area far better anyway. There is no downside.</w:t>
      </w:r>
    </w:p>
    <w:p>
      <w:pPr>
        <w:spacing w:after="100"/>
      </w:pPr>
      <w:r>
        <w:rPr>
          <w:rFonts w:ascii="Calibri" w:hAnsi="Calibri"/>
          <w:b w:val="0"/>
          <w:i w:val="0"/>
          <w:color w:val="000000"/>
          <w:sz w:val="21"/>
        </w:rPr>
        <w:t>Practically: for every trigger I should be able to say "if they tell me X, I do A; if they tell me Y, I do B".</w:t>
      </w:r>
    </w:p>
    <w:p>
      <w:pPr>
        <w:pStyle w:val="Heading2"/>
      </w:pPr>
      <w:r/>
      <w:r>
        <w:rPr>
          <w:rFonts w:ascii="Calibri" w:hAnsi="Calibri"/>
          <w:color w:val="000000"/>
        </w:rPr>
        <w:t>Step 6 — Build the file</w:t>
      </w:r>
    </w:p>
    <w:p>
      <w:pPr>
        <w:spacing w:after="100"/>
      </w:pPr>
      <w:r>
        <w:rPr>
          <w:rFonts w:ascii="Calibri" w:hAnsi="Calibri"/>
          <w:b w:val="0"/>
          <w:i w:val="0"/>
          <w:color w:val="000000"/>
          <w:sz w:val="21"/>
        </w:rPr>
        <w:t xml:space="preserve">Lever-arch, up to 8cm, plus the SAICA handbooks. </w:t>
      </w:r>
      <w:r>
        <w:rPr>
          <w:rFonts w:ascii="Calibri" w:hAnsi="Calibri"/>
          <w:b/>
          <w:i w:val="0"/>
          <w:color w:val="000000"/>
          <w:sz w:val="21"/>
        </w:rPr>
        <w:t>The file is not a substitute for knowing the material.</w:t>
      </w:r>
      <w:r>
        <w:rPr>
          <w:rFonts w:ascii="Calibri" w:hAnsi="Calibri"/>
          <w:b w:val="0"/>
          <w:i w:val="0"/>
          <w:color w:val="000000"/>
          <w:sz w:val="21"/>
        </w:rPr>
        <w:t xml:space="preserve"> Exam time is for engaging with new information, not for learning what I should already know.</w:t>
      </w:r>
    </w:p>
    <w:p>
      <w:pPr>
        <w:pStyle w:val="ListBullet"/>
        <w:spacing w:after="60"/>
        <w:ind w:left="425"/>
      </w:pPr>
      <w:r/>
      <w:r>
        <w:rPr>
          <w:rFonts w:ascii="Calibri" w:hAnsi="Calibri"/>
          <w:b w:val="0"/>
          <w:i w:val="0"/>
          <w:color w:val="000000"/>
          <w:sz w:val="21"/>
        </w:rPr>
        <w:t>The pre-release itself.</w:t>
      </w:r>
    </w:p>
    <w:p>
      <w:pPr>
        <w:pStyle w:val="ListBullet"/>
        <w:spacing w:after="60"/>
        <w:ind w:left="425"/>
      </w:pPr>
      <w:r/>
      <w:r>
        <w:rPr>
          <w:rFonts w:ascii="Calibri" w:hAnsi="Calibri"/>
          <w:b w:val="0"/>
          <w:i w:val="0"/>
          <w:color w:val="000000"/>
          <w:sz w:val="21"/>
        </w:rPr>
        <w:t>A one-page summary per trigger, plus the supporting detail behind it.</w:t>
      </w:r>
    </w:p>
    <w:p>
      <w:pPr>
        <w:pStyle w:val="ListBullet"/>
        <w:spacing w:after="60"/>
        <w:ind w:left="425"/>
      </w:pPr>
      <w:r/>
      <w:r>
        <w:rPr>
          <w:rFonts w:ascii="Calibri" w:hAnsi="Calibri"/>
          <w:b w:val="0"/>
          <w:i w:val="0"/>
          <w:color w:val="000000"/>
          <w:sz w:val="21"/>
        </w:rPr>
        <w:t>My SWOT and ratio analysis.</w:t>
      </w:r>
    </w:p>
    <w:p>
      <w:pPr>
        <w:pStyle w:val="ListBullet"/>
        <w:spacing w:after="60"/>
        <w:ind w:left="425"/>
      </w:pPr>
      <w:r/>
      <w:r>
        <w:rPr>
          <w:rFonts w:ascii="Calibri" w:hAnsi="Calibri"/>
          <w:b w:val="0"/>
          <w:i w:val="0"/>
          <w:color w:val="000000"/>
          <w:sz w:val="21"/>
        </w:rPr>
        <w:t>Articles explaining anything I found unfamiliar.</w:t>
      </w:r>
    </w:p>
    <w:p>
      <w:pPr>
        <w:pStyle w:val="ListBullet"/>
        <w:spacing w:after="60"/>
        <w:ind w:left="425"/>
      </w:pPr>
      <w:r/>
      <w:r>
        <w:rPr>
          <w:rFonts w:ascii="Calibri" w:hAnsi="Calibri"/>
          <w:b w:val="0"/>
          <w:i w:val="0"/>
          <w:color w:val="000000"/>
          <w:sz w:val="21"/>
        </w:rPr>
        <w:t>Industry analysis.</w:t>
      </w:r>
    </w:p>
    <w:p>
      <w:pPr>
        <w:pStyle w:val="ListBullet"/>
        <w:spacing w:after="60"/>
        <w:ind w:left="425"/>
      </w:pPr>
      <w:r/>
      <w:r>
        <w:rPr>
          <w:rFonts w:ascii="Calibri" w:hAnsi="Calibri"/>
          <w:b w:val="0"/>
          <w:i w:val="0"/>
          <w:color w:val="000000"/>
          <w:sz w:val="21"/>
        </w:rPr>
        <w:t>Discipline checklists.</w:t>
      </w:r>
    </w:p>
    <w:p>
      <w:pPr>
        <w:pStyle w:val="ListBullet"/>
        <w:spacing w:after="60"/>
        <w:ind w:left="425"/>
      </w:pPr>
      <w:r/>
      <w:r>
        <w:rPr>
          <w:rFonts w:ascii="Calibri" w:hAnsi="Calibri"/>
          <w:b w:val="0"/>
          <w:i w:val="0"/>
          <w:color w:val="000000"/>
          <w:sz w:val="21"/>
        </w:rPr>
        <w:t>Time management plans — one for seven tasks, one for eight, one for nine.</w:t>
      </w:r>
    </w:p>
    <w:p>
      <w:pPr>
        <w:pStyle w:val="ListBullet"/>
        <w:spacing w:after="60"/>
        <w:ind w:left="425"/>
      </w:pPr>
      <w:r/>
      <w:r>
        <w:rPr>
          <w:rFonts w:ascii="Calibri" w:hAnsi="Calibri"/>
          <w:b w:val="0"/>
          <w:i w:val="0"/>
          <w:color w:val="000000"/>
          <w:sz w:val="21"/>
        </w:rPr>
        <w:t>A reminders page of the things I personally keep forgetting.</w:t>
      </w:r>
    </w:p>
    <w:p>
      <w:pPr>
        <w:pStyle w:val="ListBullet"/>
        <w:spacing w:after="60"/>
        <w:ind w:left="425"/>
      </w:pPr>
      <w:r/>
      <w:r>
        <w:rPr>
          <w:rFonts w:ascii="Calibri" w:hAnsi="Calibri"/>
          <w:b w:val="0"/>
          <w:i w:val="0"/>
          <w:color w:val="000000"/>
          <w:sz w:val="21"/>
        </w:rPr>
        <w:t>Spare paper.</w:t>
      </w:r>
    </w:p>
    <w:p>
      <w:pPr>
        <w:spacing w:after="100"/>
      </w:pPr>
      <w:r>
        <w:rPr>
          <w:rFonts w:ascii="Calibri" w:hAnsi="Calibri"/>
          <w:b w:val="0"/>
          <w:i w:val="0"/>
          <w:color w:val="000000"/>
          <w:sz w:val="21"/>
        </w:rPr>
        <w:t>Index it. Flag it by colour. Do not pad it with material I have not actually read — if I have not read it, I will not find it under pressure.</w:t>
      </w:r>
    </w:p>
    <w:p>
      <w:pPr>
        <w:spacing w:after="100"/>
      </w:pPr>
      <w:r>
        <w:rPr>
          <w:rFonts w:ascii="Calibri" w:hAnsi="Calibri"/>
          <w:b w:val="0"/>
          <w:i w:val="0"/>
          <w:color w:val="000000"/>
          <w:sz w:val="21"/>
        </w:rPr>
        <w:t xml:space="preserve">Last thing: read the pre-release one final time </w:t>
      </w:r>
      <w:r>
        <w:rPr>
          <w:rFonts w:ascii="Calibri" w:hAnsi="Calibri"/>
          <w:b/>
          <w:i w:val="0"/>
          <w:color w:val="000000"/>
          <w:sz w:val="21"/>
        </w:rPr>
        <w:t>without</w:t>
      </w:r>
      <w:r>
        <w:rPr>
          <w:rFonts w:ascii="Calibri" w:hAnsi="Calibri"/>
          <w:b w:val="0"/>
          <w:i w:val="0"/>
          <w:color w:val="000000"/>
          <w:sz w:val="21"/>
        </w:rPr>
        <w:t xml:space="preserve"> my research next to me, to get the big picture back. Then rest.</w:t>
      </w:r>
    </w:p>
    <w:p>
      <w:pPr>
        <w:pStyle w:val="Heading2"/>
      </w:pPr>
      <w:r/>
      <w:r>
        <w:rPr>
          <w:rFonts w:ascii="Calibri" w:hAnsi="Calibri"/>
          <w:color w:val="000000"/>
        </w:rPr>
        <w:t>What I keep getting wrong in the research phase</w:t>
      </w:r>
    </w:p>
    <w:p>
      <w:pPr>
        <w:pStyle w:val="ListBullet"/>
        <w:spacing w:after="60"/>
        <w:ind w:left="425"/>
      </w:pPr>
      <w:r/>
      <w:r>
        <w:rPr>
          <w:rFonts w:ascii="Calibri" w:hAnsi="Calibri"/>
          <w:b w:val="0"/>
          <w:i w:val="0"/>
          <w:color w:val="000000"/>
          <w:sz w:val="21"/>
        </w:rPr>
        <w:t>Researching the question I think is coming instead of the technical area.</w:t>
      </w:r>
    </w:p>
    <w:p>
      <w:pPr>
        <w:pStyle w:val="ListBullet"/>
        <w:spacing w:after="60"/>
        <w:ind w:left="425"/>
      </w:pPr>
      <w:r/>
      <w:r>
        <w:rPr>
          <w:rFonts w:ascii="Calibri" w:hAnsi="Calibri"/>
          <w:b w:val="0"/>
          <w:i w:val="0"/>
          <w:color w:val="000000"/>
          <w:sz w:val="21"/>
        </w:rPr>
        <w:t>Going deep on the triggers I find interesting and leaving the ones I find hard.</w:t>
      </w:r>
    </w:p>
    <w:p>
      <w:pPr>
        <w:pStyle w:val="ListBullet"/>
        <w:spacing w:after="60"/>
        <w:ind w:left="425"/>
      </w:pPr>
      <w:r/>
      <w:r>
        <w:rPr>
          <w:rFonts w:ascii="Calibri" w:hAnsi="Calibri"/>
          <w:b w:val="0"/>
          <w:i w:val="0"/>
          <w:color w:val="000000"/>
          <w:sz w:val="21"/>
        </w:rPr>
        <w:t>Not doing the what-if pass because I ran out of time — and then the day changes a fact and I freeze.</w:t>
      </w:r>
    </w:p>
    <w:p>
      <w:pPr>
        <w:pStyle w:val="ListBullet"/>
        <w:spacing w:after="60"/>
        <w:ind w:left="425"/>
      </w:pPr>
      <w:r/>
      <w:r>
        <w:rPr>
          <w:rFonts w:ascii="Calibri" w:hAnsi="Calibri"/>
          <w:b w:val="0"/>
          <w:i w:val="0"/>
          <w:color w:val="000000"/>
          <w:sz w:val="21"/>
        </w:rPr>
        <w:t>Building a file I have not read.</w:t>
      </w:r>
    </w:p>
    <w:p>
      <w:pPr>
        <w:pStyle w:val="ListBullet"/>
        <w:spacing w:after="60"/>
        <w:ind w:left="425"/>
      </w:pPr>
      <w:r/>
      <w:r>
        <w:rPr>
          <w:rFonts w:ascii="Calibri" w:hAnsi="Calibri"/>
          <w:b w:val="0"/>
          <w:i w:val="0"/>
          <w:color w:val="000000"/>
          <w:sz w:val="21"/>
        </w:rPr>
        <w:t>Forgetting to write down what information I would still need. That is a real answer component and I routinely leave it out.</w:t>
      </w:r>
    </w:p>
    <w:p>
      <w:pPr>
        <w:spacing w:before="80" w:after="80"/>
        <w:pBdr>
          <w:bottom w:val="single" w:sz="6" w:color="BFBFBF" w:space="1"/>
        </w:pBdr>
      </w:pPr>
    </w:p>
    <w:p>
      <w:pPr>
        <w:pStyle w:val="Heading1"/>
      </w:pPr>
      <w:r/>
      <w:r>
        <w:rPr>
          <w:rFonts w:ascii="Calibri" w:hAnsi="Calibri"/>
          <w:color w:val="000000"/>
        </w:rPr>
        <w:t>PART 2 — Axion, specifically</w:t>
      </w:r>
    </w:p>
    <w:p>
      <w:pPr>
        <w:spacing w:after="100"/>
      </w:pPr>
      <w:r>
        <w:rPr>
          <w:rFonts w:ascii="Calibri" w:hAnsi="Calibri"/>
          <w:b w:val="0"/>
          <w:i w:val="0"/>
          <w:color w:val="000000"/>
          <w:sz w:val="21"/>
        </w:rPr>
        <w:t>Axion Digital Infrastructure (Pty) Ltd. I am the Financial Analyst reporting to the CFO, Sarah Naidoo CA(SA). Pre-release issued 18 September 2026, seven documents over twenty pages.</w:t>
      </w:r>
    </w:p>
    <w:p>
      <w:pPr>
        <w:pStyle w:val="Heading2"/>
      </w:pPr>
      <w:r/>
      <w:r>
        <w:rPr>
          <w:rFonts w:ascii="Calibri" w:hAnsi="Calibri"/>
          <w:color w:val="000000"/>
        </w:rPr>
        <w:t>The business in my own words</w:t>
      </w:r>
    </w:p>
    <w:p>
      <w:pPr>
        <w:spacing w:after="100"/>
      </w:pPr>
      <w:r>
        <w:rPr>
          <w:rFonts w:ascii="Calibri" w:hAnsi="Calibri"/>
          <w:b w:val="0"/>
          <w:i w:val="0"/>
          <w:color w:val="000000"/>
          <w:sz w:val="21"/>
        </w:rPr>
        <w:t xml:space="preserve">Axion builds and runs data centres. Customers bring their </w:t>
      </w:r>
      <w:r>
        <w:rPr>
          <w:rFonts w:ascii="Calibri" w:hAnsi="Calibri"/>
          <w:b/>
          <w:i w:val="0"/>
          <w:color w:val="000000"/>
          <w:sz w:val="21"/>
        </w:rPr>
        <w:t>own</w:t>
      </w:r>
      <w:r>
        <w:rPr>
          <w:rFonts w:ascii="Calibri" w:hAnsi="Calibri"/>
          <w:b w:val="0"/>
          <w:i w:val="0"/>
          <w:color w:val="000000"/>
          <w:sz w:val="21"/>
        </w:rPr>
        <w:t xml:space="preserve"> servers and put them in Axion's buildings. Axion sells the environment around that equipment — secure space, continuous power, cooling, physical security, resilience, on-site support — and then connects those customers to each other and to cloud providers. So what Axion actually sells is </w:t>
      </w:r>
      <w:r>
        <w:rPr>
          <w:rFonts w:ascii="Calibri" w:hAnsi="Calibri"/>
          <w:b/>
          <w:i w:val="0"/>
          <w:color w:val="000000"/>
          <w:sz w:val="21"/>
        </w:rPr>
        <w:t>reliable megawatts and uptime</w:t>
      </w:r>
      <w:r>
        <w:rPr>
          <w:rFonts w:ascii="Calibri" w:hAnsi="Calibri"/>
          <w:b w:val="0"/>
          <w:i w:val="0"/>
          <w:color w:val="000000"/>
          <w:sz w:val="21"/>
        </w:rPr>
        <w:t>, not computing.</w:t>
      </w:r>
    </w:p>
    <w:p>
      <w:pPr>
        <w:spacing w:after="100"/>
      </w:pPr>
      <w:r>
        <w:rPr>
          <w:rFonts w:ascii="Calibri" w:hAnsi="Calibri"/>
          <w:b w:val="0"/>
          <w:i w:val="0"/>
          <w:color w:val="000000"/>
          <w:sz w:val="21"/>
        </w:rPr>
        <w:t>Founded 2011 in Johannesburg by Kabelo Moleke (electrical engineer) and David Low (tech entrepreneur). Five facilities: Johannesburg 2, Cape Town 2, Durban 1. Year end 30 June. Auditors KZL Inc. Private company. Revenue is roughly 85% data centre services, 15% interconnection.</w:t>
      </w:r>
    </w:p>
    <w:p>
      <w:pPr>
        <w:pStyle w:val="Heading2"/>
      </w:pPr>
      <w:r/>
      <w:r>
        <w:rPr>
          <w:rFonts w:ascii="Calibri" w:hAnsi="Calibri"/>
          <w:color w:val="000000"/>
        </w:rPr>
        <w:t>The ten business points I must be able to use</w:t>
      </w:r>
    </w:p>
    <w:p>
      <w:pPr>
        <w:pStyle w:val="ListNumber"/>
        <w:spacing w:after="60"/>
        <w:ind w:left="425"/>
      </w:pPr>
      <w:r/>
      <w:r>
        <w:rPr>
          <w:rFonts w:ascii="Calibri" w:hAnsi="Calibri"/>
          <w:b/>
          <w:i w:val="0"/>
          <w:color w:val="000000"/>
          <w:sz w:val="21"/>
        </w:rPr>
        <w:t>Axion sells reliable megawatts, not computing.</w:t>
      </w:r>
      <w:r>
        <w:rPr>
          <w:rFonts w:ascii="Calibri" w:hAnsi="Calibri"/>
          <w:b w:val="0"/>
          <w:i w:val="0"/>
          <w:color w:val="000000"/>
          <w:sz w:val="21"/>
        </w:rPr>
        <w:t xml:space="preserve"> The product is guaranteed power and uptime. Revenue scales with MW contracted, not with what customers compute.</w:t>
      </w:r>
    </w:p>
    <w:p>
      <w:pPr>
        <w:pStyle w:val="ListNumber"/>
        <w:spacing w:after="60"/>
        <w:ind w:left="425"/>
      </w:pPr>
      <w:r/>
      <w:r>
        <w:rPr>
          <w:rFonts w:ascii="Calibri" w:hAnsi="Calibri"/>
          <w:b/>
          <w:i w:val="0"/>
          <w:color w:val="000000"/>
          <w:sz w:val="21"/>
        </w:rPr>
        <w:t>MW is the currency of every decision.</w:t>
      </w:r>
      <w:r>
        <w:rPr>
          <w:rFonts w:ascii="Calibri" w:hAnsi="Calibri"/>
          <w:b w:val="0"/>
          <w:i w:val="0"/>
          <w:color w:val="000000"/>
          <w:sz w:val="21"/>
        </w:rPr>
        <w:t xml:space="preserve"> Revenue per MW, capital cost per MW, contribution per MW. Three separate MW numbers are tracked: installed 45, contracted 40, utilised 35.</w:t>
      </w:r>
    </w:p>
    <w:p>
      <w:pPr>
        <w:pStyle w:val="ListNumber"/>
        <w:spacing w:after="60"/>
        <w:ind w:left="425"/>
      </w:pPr>
      <w:r/>
      <w:r>
        <w:rPr>
          <w:rFonts w:ascii="Calibri" w:hAnsi="Calibri"/>
          <w:b/>
          <w:i w:val="0"/>
          <w:color w:val="000000"/>
          <w:sz w:val="21"/>
        </w:rPr>
        <w:t>Axion gets paid for availability, not consumption.</w:t>
      </w:r>
      <w:r>
        <w:rPr>
          <w:rFonts w:ascii="Calibri" w:hAnsi="Calibri"/>
          <w:b w:val="0"/>
          <w:i w:val="0"/>
          <w:color w:val="000000"/>
          <w:sz w:val="21"/>
        </w:rPr>
        <w:t xml:space="preserve"> Contracted capacity drives revenue; utilisation drives cost. The customer buys the right to draw X MW. That is why 40 is contracted but only 35 used, and why revenue on the gap is still earned.</w:t>
      </w:r>
    </w:p>
    <w:p>
      <w:pPr>
        <w:pStyle w:val="ListNumber"/>
        <w:spacing w:after="60"/>
        <w:ind w:left="425"/>
      </w:pPr>
      <w:r/>
      <w:r>
        <w:rPr>
          <w:rFonts w:ascii="Calibri" w:hAnsi="Calibri"/>
          <w:b/>
          <w:i w:val="0"/>
          <w:color w:val="000000"/>
          <w:sz w:val="21"/>
        </w:rPr>
        <w:t>Capacity is nearly sold out — only 5 MW left.</w:t>
      </w:r>
      <w:r>
        <w:rPr>
          <w:rFonts w:ascii="Calibri" w:hAnsi="Calibri"/>
          <w:b w:val="0"/>
          <w:i w:val="0"/>
          <w:color w:val="000000"/>
          <w:sz w:val="21"/>
        </w:rPr>
        <w:t xml:space="preserve"> 89% contracted. The business problem has flipped from "find customers" to "allocate scarce capacity and build more".</w:t>
      </w:r>
    </w:p>
    <w:p>
      <w:pPr>
        <w:pStyle w:val="ListNumber"/>
        <w:spacing w:after="60"/>
        <w:ind w:left="425"/>
      </w:pPr>
      <w:r/>
      <w:r>
        <w:rPr>
          <w:rFonts w:ascii="Calibri" w:hAnsi="Calibri"/>
          <w:b/>
          <w:i w:val="0"/>
          <w:color w:val="000000"/>
          <w:sz w:val="21"/>
        </w:rPr>
        <w:t>It is a J-curve business.</w:t>
      </w:r>
      <w:r>
        <w:rPr>
          <w:rFonts w:ascii="Calibri" w:hAnsi="Calibri"/>
          <w:b w:val="0"/>
          <w:i w:val="0"/>
          <w:color w:val="000000"/>
          <w:sz w:val="21"/>
        </w:rPr>
        <w:t xml:space="preserve"> Capital first, revenue later. Capex ran at about 1.8 times EBITDA. JHB4 is being built now and comes into service </w:t>
      </w:r>
      <w:r>
        <w:rPr>
          <w:rFonts w:ascii="Calibri" w:hAnsi="Calibri"/>
          <w:b/>
          <w:i w:val="0"/>
          <w:color w:val="000000"/>
          <w:sz w:val="21"/>
        </w:rPr>
        <w:t>in phases</w:t>
      </w:r>
      <w:r>
        <w:rPr>
          <w:rFonts w:ascii="Calibri" w:hAnsi="Calibri"/>
          <w:b w:val="0"/>
          <w:i w:val="0"/>
          <w:color w:val="000000"/>
          <w:sz w:val="21"/>
        </w:rPr>
        <w:t>. This is why timing and funding dominate.</w:t>
      </w:r>
    </w:p>
    <w:p>
      <w:pPr>
        <w:pStyle w:val="ListNumber"/>
        <w:spacing w:after="60"/>
        <w:ind w:left="425"/>
      </w:pPr>
      <w:r/>
      <w:r>
        <w:rPr>
          <w:rFonts w:ascii="Calibri" w:hAnsi="Calibri"/>
          <w:b/>
          <w:i w:val="0"/>
          <w:color w:val="000000"/>
          <w:sz w:val="21"/>
        </w:rPr>
        <w:t>The balance sheet is the binding constraint, not demand.</w:t>
      </w:r>
      <w:r>
        <w:rPr>
          <w:rFonts w:ascii="Calibri" w:hAnsi="Calibri"/>
          <w:b w:val="0"/>
          <w:i w:val="0"/>
          <w:color w:val="000000"/>
          <w:sz w:val="21"/>
        </w:rPr>
        <w:t xml:space="preserve"> Interest cover falling every year; gearing 47%; borrowings 4.35 times EBITDA — already roughly where lenders set covenants, before R3–5bn of new capital.</w:t>
      </w:r>
    </w:p>
    <w:p>
      <w:pPr>
        <w:pStyle w:val="ListNumber"/>
        <w:spacing w:after="60"/>
        <w:ind w:left="425"/>
      </w:pPr>
      <w:r/>
      <w:r>
        <w:rPr>
          <w:rFonts w:ascii="Calibri" w:hAnsi="Calibri"/>
          <w:b/>
          <w:i w:val="0"/>
          <w:color w:val="000000"/>
          <w:sz w:val="21"/>
        </w:rPr>
        <w:t>Electricity is the biggest cost, a pass-through, and the growth constraint all at once.</w:t>
      </w:r>
      <w:r>
        <w:rPr>
          <w:rFonts w:ascii="Calibri" w:hAnsi="Calibri"/>
          <w:b w:val="0"/>
          <w:i w:val="0"/>
          <w:color w:val="000000"/>
          <w:sz w:val="21"/>
        </w:rPr>
        <w:t xml:space="preserve"> It is recharged to customers, but new capacity cannot be built without grid access, and new connections need long lead times. Power is a capacity enabler, not just a cost line.</w:t>
      </w:r>
    </w:p>
    <w:p>
      <w:pPr>
        <w:pStyle w:val="ListNumber"/>
        <w:spacing w:after="60"/>
        <w:ind w:left="425"/>
      </w:pPr>
      <w:r/>
      <w:r>
        <w:rPr>
          <w:rFonts w:ascii="Calibri" w:hAnsi="Calibri"/>
          <w:b/>
          <w:i w:val="0"/>
          <w:color w:val="000000"/>
          <w:sz w:val="21"/>
        </w:rPr>
        <w:t>The moat is the ecosystem, not the buildings.</w:t>
      </w:r>
      <w:r>
        <w:rPr>
          <w:rFonts w:ascii="Calibri" w:hAnsi="Calibri"/>
          <w:b w:val="0"/>
          <w:i w:val="0"/>
          <w:color w:val="000000"/>
          <w:sz w:val="21"/>
        </w:rPr>
        <w:t xml:space="preserve"> Interconnection is only 15% of revenue but it is what makes customers stick. A customer with lower contribution per MW can still be the right customer if it anchors the ecosystem.</w:t>
      </w:r>
    </w:p>
    <w:p>
      <w:pPr>
        <w:pStyle w:val="ListNumber"/>
        <w:spacing w:after="60"/>
        <w:ind w:left="425"/>
      </w:pPr>
      <w:r/>
      <w:r>
        <w:rPr>
          <w:rFonts w:ascii="Calibri" w:hAnsi="Calibri"/>
          <w:b/>
          <w:i w:val="0"/>
          <w:color w:val="000000"/>
          <w:sz w:val="21"/>
        </w:rPr>
        <w:t>99.999% means an outage is existential, not operational.</w:t>
      </w:r>
      <w:r>
        <w:rPr>
          <w:rFonts w:ascii="Calibri" w:hAnsi="Calibri"/>
          <w:b w:val="0"/>
          <w:i w:val="0"/>
          <w:color w:val="000000"/>
          <w:sz w:val="21"/>
        </w:rPr>
        <w:t xml:space="preserve"> About five minutes a year, for customers including banks. This explains the redundancy capex, the SLA exposure, the AI maintenance pilot, and why overselling capacity would be a genuine ethical problem.</w:t>
      </w:r>
    </w:p>
    <w:p>
      <w:pPr>
        <w:pStyle w:val="ListNumber"/>
        <w:spacing w:after="60"/>
        <w:ind w:left="425"/>
      </w:pPr>
      <w:r/>
      <w:r>
        <w:rPr>
          <w:rFonts w:ascii="Calibri" w:hAnsi="Calibri"/>
          <w:b/>
          <w:i w:val="0"/>
          <w:color w:val="000000"/>
          <w:sz w:val="21"/>
        </w:rPr>
        <w:t>Founder-led turning institutionally backed.</w:t>
      </w:r>
      <w:r>
        <w:rPr>
          <w:rFonts w:ascii="Calibri" w:hAnsi="Calibri"/>
          <w:b w:val="0"/>
          <w:i w:val="0"/>
          <w:color w:val="000000"/>
          <w:sz w:val="21"/>
        </w:rPr>
        <w:t xml:space="preserve"> Ubuntu 35% and Horizon 30% — 65% between them, but neither controls. Founders hold 25%. Governance "informed by" King V rather than fully applied. Entrepreneurial speed against organisational maturity: that is where the governance and ethics angles live.</w:t>
      </w:r>
    </w:p>
    <w:p>
      <w:pPr>
        <w:spacing w:after="100"/>
      </w:pPr>
      <w:r>
        <w:rPr>
          <w:rFonts w:ascii="Calibri" w:hAnsi="Calibri"/>
          <w:b/>
          <w:i w:val="0"/>
          <w:color w:val="000000"/>
          <w:sz w:val="21"/>
        </w:rPr>
        <w:t>One line that ties it together:</w:t>
      </w:r>
      <w:r>
        <w:rPr>
          <w:rFonts w:ascii="Calibri" w:hAnsi="Calibri"/>
          <w:b/>
          <w:i w:val="0"/>
          <w:color w:val="000000"/>
          <w:sz w:val="21"/>
        </w:rPr>
        <w:t xml:space="preserve"> Axion has proven demand and almost no spare capacity, so its constraint has moved from selling megawatts to funding and powering the next ones. Every decision in this case is really about capital, electricity and the balance sheet — not about customers.</w:t>
      </w:r>
    </w:p>
    <w:p>
      <w:pPr>
        <w:pStyle w:val="Heading2"/>
      </w:pPr>
      <w:r/>
      <w:r>
        <w:rPr>
          <w:rFonts w:ascii="Calibri" w:hAnsi="Calibri"/>
          <w:color w:val="000000"/>
        </w:rPr>
        <w:t>The numbers I must know without looking</w:t>
      </w:r>
    </w:p>
    <w:tbl>
      <w:tblPr>
        <w:tblStyle w:val="TableGrid"/>
        <w:tblW w:type="auto" w:w="0"/>
        <w:tblLayout w:type="fixed"/>
        <w:tblLook w:firstColumn="1" w:firstRow="1" w:lastColumn="0" w:lastRow="0" w:noHBand="0" w:noVBand="1" w:val="04A0"/>
        <w:tblLayout w:type="fixed"/>
        <w:tblW w:w="5000" w:type="pct"/>
      </w:tblPr>
      <w:tblGrid>
        <w:gridCol w:w="3614"/>
        <w:gridCol w:w="1988"/>
        <w:gridCol w:w="1988"/>
        <w:gridCol w:w="2048"/>
      </w:tblGrid>
      <w:tr>
        <w:tc>
          <w:tcPr>
            <w:tcW w:type="dxa" w:w="3614"/>
            <w:shd w:val="clear" w:fill="F2F2F2"/>
          </w:tcPr>
          <w:p>
            <w:pPr>
              <w:spacing w:after="20"/>
            </w:pPr>
            <w:r/>
            <w:r>
              <w:rPr>
                <w:rFonts w:ascii="Calibri" w:hAnsi="Calibri"/>
                <w:b/>
                <w:color w:val="000000"/>
                <w:sz w:val="19"/>
              </w:rPr>
              <w:t>R million</w:t>
            </w:r>
          </w:p>
        </w:tc>
        <w:tc>
          <w:tcPr>
            <w:tcW w:type="dxa" w:w="1988"/>
            <w:shd w:val="clear" w:fill="F2F2F2"/>
          </w:tcPr>
          <w:p>
            <w:pPr>
              <w:spacing w:after="20"/>
            </w:pPr>
            <w:r/>
            <w:r>
              <w:rPr>
                <w:rFonts w:ascii="Calibri" w:hAnsi="Calibri"/>
                <w:b/>
                <w:color w:val="000000"/>
                <w:sz w:val="19"/>
              </w:rPr>
              <w:t>FY2024</w:t>
            </w:r>
          </w:p>
        </w:tc>
        <w:tc>
          <w:tcPr>
            <w:tcW w:type="dxa" w:w="1988"/>
            <w:shd w:val="clear" w:fill="F2F2F2"/>
          </w:tcPr>
          <w:p>
            <w:pPr>
              <w:spacing w:after="20"/>
            </w:pPr>
            <w:r/>
            <w:r>
              <w:rPr>
                <w:rFonts w:ascii="Calibri" w:hAnsi="Calibri"/>
                <w:b/>
                <w:color w:val="000000"/>
                <w:sz w:val="19"/>
              </w:rPr>
              <w:t>FY2025</w:t>
            </w:r>
          </w:p>
        </w:tc>
        <w:tc>
          <w:tcPr>
            <w:tcW w:type="dxa" w:w="2048"/>
            <w:shd w:val="clear" w:fill="F2F2F2"/>
          </w:tcPr>
          <w:p>
            <w:pPr>
              <w:spacing w:after="20"/>
            </w:pPr>
            <w:r/>
            <w:r>
              <w:rPr>
                <w:rFonts w:ascii="Calibri" w:hAnsi="Calibri"/>
                <w:b/>
                <w:color w:val="000000"/>
                <w:sz w:val="19"/>
              </w:rPr>
              <w:t>FY2026</w:t>
            </w:r>
          </w:p>
        </w:tc>
      </w:tr>
      <w:tr>
        <w:tc>
          <w:tcPr>
            <w:tcW w:type="dxa" w:w="3614"/>
          </w:tcPr>
          <w:p>
            <w:pPr>
              <w:spacing w:after="20" w:before="0"/>
            </w:pPr>
            <w:r/>
            <w:r>
              <w:rPr>
                <w:rFonts w:ascii="Calibri" w:hAnsi="Calibri"/>
                <w:b w:val="0"/>
                <w:i w:val="0"/>
                <w:color w:val="000000"/>
                <w:sz w:val="19"/>
              </w:rPr>
              <w:t>Revenue</w:t>
            </w:r>
          </w:p>
        </w:tc>
        <w:tc>
          <w:tcPr>
            <w:tcW w:type="dxa" w:w="1988"/>
          </w:tcPr>
          <w:p>
            <w:pPr>
              <w:spacing w:after="20" w:before="0"/>
            </w:pPr>
            <w:r/>
            <w:r>
              <w:rPr>
                <w:rFonts w:ascii="Calibri" w:hAnsi="Calibri"/>
                <w:b w:val="0"/>
                <w:i w:val="0"/>
                <w:color w:val="000000"/>
                <w:sz w:val="19"/>
              </w:rPr>
              <w:t>1 820</w:t>
            </w:r>
          </w:p>
        </w:tc>
        <w:tc>
          <w:tcPr>
            <w:tcW w:type="dxa" w:w="1988"/>
          </w:tcPr>
          <w:p>
            <w:pPr>
              <w:spacing w:after="20" w:before="0"/>
            </w:pPr>
            <w:r/>
            <w:r>
              <w:rPr>
                <w:rFonts w:ascii="Calibri" w:hAnsi="Calibri"/>
                <w:b w:val="0"/>
                <w:i w:val="0"/>
                <w:color w:val="000000"/>
                <w:sz w:val="19"/>
              </w:rPr>
              <w:t>2 160</w:t>
            </w:r>
          </w:p>
        </w:tc>
        <w:tc>
          <w:tcPr>
            <w:tcW w:type="dxa" w:w="2048"/>
          </w:tcPr>
          <w:p>
            <w:pPr>
              <w:spacing w:after="20" w:before="0"/>
            </w:pPr>
            <w:r/>
            <w:r>
              <w:rPr>
                <w:rFonts w:ascii="Calibri" w:hAnsi="Calibri"/>
                <w:b w:val="0"/>
                <w:i w:val="0"/>
                <w:color w:val="000000"/>
                <w:sz w:val="19"/>
              </w:rPr>
              <w:t>2 620</w:t>
            </w:r>
          </w:p>
        </w:tc>
      </w:tr>
      <w:tr>
        <w:tc>
          <w:tcPr>
            <w:tcW w:type="dxa" w:w="3614"/>
          </w:tcPr>
          <w:p>
            <w:pPr>
              <w:spacing w:after="20" w:before="0"/>
            </w:pPr>
            <w:r/>
            <w:r>
              <w:rPr>
                <w:rFonts w:ascii="Calibri" w:hAnsi="Calibri"/>
                <w:b w:val="0"/>
                <w:i w:val="0"/>
                <w:color w:val="000000"/>
                <w:sz w:val="19"/>
              </w:rPr>
              <w:t>EBITDA</w:t>
            </w:r>
          </w:p>
        </w:tc>
        <w:tc>
          <w:tcPr>
            <w:tcW w:type="dxa" w:w="1988"/>
          </w:tcPr>
          <w:p>
            <w:pPr>
              <w:spacing w:after="20" w:before="0"/>
            </w:pPr>
            <w:r/>
            <w:r>
              <w:rPr>
                <w:rFonts w:ascii="Calibri" w:hAnsi="Calibri"/>
                <w:b w:val="0"/>
                <w:i w:val="0"/>
                <w:color w:val="000000"/>
                <w:sz w:val="19"/>
              </w:rPr>
              <w:t>745</w:t>
            </w:r>
          </w:p>
        </w:tc>
        <w:tc>
          <w:tcPr>
            <w:tcW w:type="dxa" w:w="1988"/>
          </w:tcPr>
          <w:p>
            <w:pPr>
              <w:spacing w:after="20" w:before="0"/>
            </w:pPr>
            <w:r/>
            <w:r>
              <w:rPr>
                <w:rFonts w:ascii="Calibri" w:hAnsi="Calibri"/>
                <w:b w:val="0"/>
                <w:i w:val="0"/>
                <w:color w:val="000000"/>
                <w:sz w:val="19"/>
              </w:rPr>
              <w:t>905</w:t>
            </w:r>
          </w:p>
        </w:tc>
        <w:tc>
          <w:tcPr>
            <w:tcW w:type="dxa" w:w="2048"/>
          </w:tcPr>
          <w:p>
            <w:pPr>
              <w:spacing w:after="20" w:before="0"/>
            </w:pPr>
            <w:r/>
            <w:r>
              <w:rPr>
                <w:rFonts w:ascii="Calibri" w:hAnsi="Calibri"/>
                <w:b w:val="0"/>
                <w:i w:val="0"/>
                <w:color w:val="000000"/>
                <w:sz w:val="19"/>
              </w:rPr>
              <w:t>1 116</w:t>
            </w:r>
          </w:p>
        </w:tc>
      </w:tr>
      <w:tr>
        <w:tc>
          <w:tcPr>
            <w:tcW w:type="dxa" w:w="3614"/>
          </w:tcPr>
          <w:p>
            <w:pPr>
              <w:spacing w:after="20" w:before="0"/>
            </w:pPr>
            <w:r/>
            <w:r>
              <w:rPr>
                <w:rFonts w:ascii="Calibri" w:hAnsi="Calibri"/>
                <w:b w:val="0"/>
                <w:i w:val="0"/>
                <w:color w:val="000000"/>
                <w:sz w:val="19"/>
              </w:rPr>
              <w:t>Depreciation and amortisation</w:t>
            </w:r>
          </w:p>
        </w:tc>
        <w:tc>
          <w:tcPr>
            <w:tcW w:type="dxa" w:w="1988"/>
          </w:tcPr>
          <w:p>
            <w:pPr>
              <w:spacing w:after="20" w:before="0"/>
            </w:pPr>
            <w:r/>
            <w:r>
              <w:rPr>
                <w:rFonts w:ascii="Calibri" w:hAnsi="Calibri"/>
                <w:b w:val="0"/>
                <w:i w:val="0"/>
                <w:color w:val="000000"/>
                <w:sz w:val="19"/>
              </w:rPr>
              <w:t>(285)</w:t>
            </w:r>
          </w:p>
        </w:tc>
        <w:tc>
          <w:tcPr>
            <w:tcW w:type="dxa" w:w="1988"/>
          </w:tcPr>
          <w:p>
            <w:pPr>
              <w:spacing w:after="20" w:before="0"/>
            </w:pPr>
            <w:r/>
            <w:r>
              <w:rPr>
                <w:rFonts w:ascii="Calibri" w:hAnsi="Calibri"/>
                <w:b w:val="0"/>
                <w:i w:val="0"/>
                <w:color w:val="000000"/>
                <w:sz w:val="19"/>
              </w:rPr>
              <w:t>(340)</w:t>
            </w:r>
          </w:p>
        </w:tc>
        <w:tc>
          <w:tcPr>
            <w:tcW w:type="dxa" w:w="2048"/>
          </w:tcPr>
          <w:p>
            <w:pPr>
              <w:spacing w:after="20" w:before="0"/>
            </w:pPr>
            <w:r/>
            <w:r>
              <w:rPr>
                <w:rFonts w:ascii="Calibri" w:hAnsi="Calibri"/>
                <w:b w:val="0"/>
                <w:i w:val="0"/>
                <w:color w:val="000000"/>
                <w:sz w:val="19"/>
              </w:rPr>
              <w:t>(415)</w:t>
            </w:r>
          </w:p>
        </w:tc>
      </w:tr>
      <w:tr>
        <w:tc>
          <w:tcPr>
            <w:tcW w:type="dxa" w:w="3614"/>
          </w:tcPr>
          <w:p>
            <w:pPr>
              <w:spacing w:after="20" w:before="0"/>
            </w:pPr>
            <w:r/>
            <w:r>
              <w:rPr>
                <w:rFonts w:ascii="Calibri" w:hAnsi="Calibri"/>
                <w:b w:val="0"/>
                <w:i w:val="0"/>
                <w:color w:val="000000"/>
                <w:sz w:val="19"/>
              </w:rPr>
              <w:t>Operating profit</w:t>
            </w:r>
          </w:p>
        </w:tc>
        <w:tc>
          <w:tcPr>
            <w:tcW w:type="dxa" w:w="1988"/>
          </w:tcPr>
          <w:p>
            <w:pPr>
              <w:spacing w:after="20" w:before="0"/>
            </w:pPr>
            <w:r/>
            <w:r>
              <w:rPr>
                <w:rFonts w:ascii="Calibri" w:hAnsi="Calibri"/>
                <w:b w:val="0"/>
                <w:i w:val="0"/>
                <w:color w:val="000000"/>
                <w:sz w:val="19"/>
              </w:rPr>
              <w:t>460</w:t>
            </w:r>
          </w:p>
        </w:tc>
        <w:tc>
          <w:tcPr>
            <w:tcW w:type="dxa" w:w="1988"/>
          </w:tcPr>
          <w:p>
            <w:pPr>
              <w:spacing w:after="20" w:before="0"/>
            </w:pPr>
            <w:r/>
            <w:r>
              <w:rPr>
                <w:rFonts w:ascii="Calibri" w:hAnsi="Calibri"/>
                <w:b w:val="0"/>
                <w:i w:val="0"/>
                <w:color w:val="000000"/>
                <w:sz w:val="19"/>
              </w:rPr>
              <w:t>565</w:t>
            </w:r>
          </w:p>
        </w:tc>
        <w:tc>
          <w:tcPr>
            <w:tcW w:type="dxa" w:w="2048"/>
          </w:tcPr>
          <w:p>
            <w:pPr>
              <w:spacing w:after="20" w:before="0"/>
            </w:pPr>
            <w:r/>
            <w:r>
              <w:rPr>
                <w:rFonts w:ascii="Calibri" w:hAnsi="Calibri"/>
                <w:b w:val="0"/>
                <w:i w:val="0"/>
                <w:color w:val="000000"/>
                <w:sz w:val="19"/>
              </w:rPr>
              <w:t>700</w:t>
            </w:r>
          </w:p>
        </w:tc>
      </w:tr>
      <w:tr>
        <w:tc>
          <w:tcPr>
            <w:tcW w:type="dxa" w:w="3614"/>
          </w:tcPr>
          <w:p>
            <w:pPr>
              <w:spacing w:after="20" w:before="0"/>
            </w:pPr>
            <w:r/>
            <w:r>
              <w:rPr>
                <w:rFonts w:ascii="Calibri" w:hAnsi="Calibri"/>
                <w:b w:val="0"/>
                <w:i w:val="0"/>
                <w:color w:val="000000"/>
                <w:sz w:val="19"/>
              </w:rPr>
              <w:t>Finance costs</w:t>
            </w:r>
          </w:p>
        </w:tc>
        <w:tc>
          <w:tcPr>
            <w:tcW w:type="dxa" w:w="1988"/>
          </w:tcPr>
          <w:p>
            <w:pPr>
              <w:spacing w:after="20" w:before="0"/>
            </w:pPr>
            <w:r/>
            <w:r>
              <w:rPr>
                <w:rFonts w:ascii="Calibri" w:hAnsi="Calibri"/>
                <w:b w:val="0"/>
                <w:i w:val="0"/>
                <w:color w:val="000000"/>
                <w:sz w:val="19"/>
              </w:rPr>
              <w:t>(225)</w:t>
            </w:r>
          </w:p>
        </w:tc>
        <w:tc>
          <w:tcPr>
            <w:tcW w:type="dxa" w:w="1988"/>
          </w:tcPr>
          <w:p>
            <w:pPr>
              <w:spacing w:after="20" w:before="0"/>
            </w:pPr>
            <w:r/>
            <w:r>
              <w:rPr>
                <w:rFonts w:ascii="Calibri" w:hAnsi="Calibri"/>
                <w:b w:val="0"/>
                <w:i w:val="0"/>
                <w:color w:val="000000"/>
                <w:sz w:val="19"/>
              </w:rPr>
              <w:t>(290)</w:t>
            </w:r>
          </w:p>
        </w:tc>
        <w:tc>
          <w:tcPr>
            <w:tcW w:type="dxa" w:w="2048"/>
          </w:tcPr>
          <w:p>
            <w:pPr>
              <w:spacing w:after="20" w:before="0"/>
            </w:pPr>
            <w:r/>
            <w:r>
              <w:rPr>
                <w:rFonts w:ascii="Calibri" w:hAnsi="Calibri"/>
                <w:b w:val="0"/>
                <w:i w:val="0"/>
                <w:color w:val="000000"/>
                <w:sz w:val="19"/>
              </w:rPr>
              <w:t>(375)</w:t>
            </w:r>
          </w:p>
        </w:tc>
      </w:tr>
      <w:tr>
        <w:tc>
          <w:tcPr>
            <w:tcW w:type="dxa" w:w="3614"/>
          </w:tcPr>
          <w:p>
            <w:pPr>
              <w:spacing w:after="20" w:before="0"/>
            </w:pPr>
            <w:r/>
            <w:r>
              <w:rPr>
                <w:rFonts w:ascii="Calibri" w:hAnsi="Calibri"/>
                <w:b w:val="0"/>
                <w:i w:val="0"/>
                <w:color w:val="000000"/>
                <w:sz w:val="19"/>
              </w:rPr>
              <w:t>Profit before tax</w:t>
            </w:r>
          </w:p>
        </w:tc>
        <w:tc>
          <w:tcPr>
            <w:tcW w:type="dxa" w:w="1988"/>
          </w:tcPr>
          <w:p>
            <w:pPr>
              <w:spacing w:after="20" w:before="0"/>
            </w:pPr>
            <w:r/>
            <w:r>
              <w:rPr>
                <w:rFonts w:ascii="Calibri" w:hAnsi="Calibri"/>
                <w:b w:val="0"/>
                <w:i w:val="0"/>
                <w:color w:val="000000"/>
                <w:sz w:val="19"/>
              </w:rPr>
              <w:t>235</w:t>
            </w:r>
          </w:p>
        </w:tc>
        <w:tc>
          <w:tcPr>
            <w:tcW w:type="dxa" w:w="1988"/>
          </w:tcPr>
          <w:p>
            <w:pPr>
              <w:spacing w:after="20" w:before="0"/>
            </w:pPr>
            <w:r/>
            <w:r>
              <w:rPr>
                <w:rFonts w:ascii="Calibri" w:hAnsi="Calibri"/>
                <w:b w:val="0"/>
                <w:i w:val="0"/>
                <w:color w:val="000000"/>
                <w:sz w:val="19"/>
              </w:rPr>
              <w:t>275</w:t>
            </w:r>
          </w:p>
        </w:tc>
        <w:tc>
          <w:tcPr>
            <w:tcW w:type="dxa" w:w="2048"/>
          </w:tcPr>
          <w:p>
            <w:pPr>
              <w:spacing w:after="20" w:before="0"/>
            </w:pPr>
            <w:r/>
            <w:r>
              <w:rPr>
                <w:rFonts w:ascii="Calibri" w:hAnsi="Calibri"/>
                <w:b w:val="0"/>
                <w:i w:val="0"/>
                <w:color w:val="000000"/>
                <w:sz w:val="19"/>
              </w:rPr>
              <w:t>325</w:t>
            </w:r>
          </w:p>
        </w:tc>
      </w:tr>
      <w:tr>
        <w:tc>
          <w:tcPr>
            <w:tcW w:type="dxa" w:w="3614"/>
          </w:tcPr>
          <w:p>
            <w:pPr>
              <w:spacing w:after="20" w:before="0"/>
            </w:pPr>
            <w:r/>
            <w:r>
              <w:rPr>
                <w:rFonts w:ascii="Calibri" w:hAnsi="Calibri"/>
                <w:b w:val="0"/>
                <w:i w:val="0"/>
                <w:color w:val="000000"/>
                <w:sz w:val="19"/>
              </w:rPr>
              <w:t>Property, plant and equipment</w:t>
            </w:r>
          </w:p>
        </w:tc>
        <w:tc>
          <w:tcPr>
            <w:tcW w:type="dxa" w:w="1988"/>
          </w:tcPr>
          <w:p>
            <w:pPr>
              <w:spacing w:after="20" w:before="0"/>
            </w:pPr>
            <w:r/>
            <w:r>
              <w:rPr>
                <w:rFonts w:ascii="Calibri" w:hAnsi="Calibri"/>
                <w:b w:val="0"/>
                <w:i w:val="0"/>
                <w:color w:val="000000"/>
                <w:sz w:val="19"/>
              </w:rPr>
              <w:t>7 150</w:t>
            </w:r>
          </w:p>
        </w:tc>
        <w:tc>
          <w:tcPr>
            <w:tcW w:type="dxa" w:w="1988"/>
          </w:tcPr>
          <w:p>
            <w:pPr>
              <w:spacing w:after="20" w:before="0"/>
            </w:pPr>
            <w:r/>
            <w:r>
              <w:rPr>
                <w:rFonts w:ascii="Calibri" w:hAnsi="Calibri"/>
                <w:b w:val="0"/>
                <w:i w:val="0"/>
                <w:color w:val="000000"/>
                <w:sz w:val="19"/>
              </w:rPr>
              <w:t>8 620</w:t>
            </w:r>
          </w:p>
        </w:tc>
        <w:tc>
          <w:tcPr>
            <w:tcW w:type="dxa" w:w="2048"/>
          </w:tcPr>
          <w:p>
            <w:pPr>
              <w:spacing w:after="20" w:before="0"/>
            </w:pPr>
            <w:r/>
            <w:r>
              <w:rPr>
                <w:rFonts w:ascii="Calibri" w:hAnsi="Calibri"/>
                <w:b w:val="0"/>
                <w:i w:val="0"/>
                <w:color w:val="000000"/>
                <w:sz w:val="19"/>
              </w:rPr>
              <w:t>10 250</w:t>
            </w:r>
          </w:p>
        </w:tc>
      </w:tr>
      <w:tr>
        <w:tc>
          <w:tcPr>
            <w:tcW w:type="dxa" w:w="3614"/>
          </w:tcPr>
          <w:p>
            <w:pPr>
              <w:spacing w:after="20" w:before="0"/>
            </w:pPr>
            <w:r/>
            <w:r>
              <w:rPr>
                <w:rFonts w:ascii="Calibri" w:hAnsi="Calibri"/>
                <w:b w:val="0"/>
                <w:i w:val="0"/>
                <w:color w:val="000000"/>
                <w:sz w:val="19"/>
              </w:rPr>
              <w:t>Total assets</w:t>
            </w:r>
          </w:p>
        </w:tc>
        <w:tc>
          <w:tcPr>
            <w:tcW w:type="dxa" w:w="1988"/>
          </w:tcPr>
          <w:p>
            <w:pPr>
              <w:spacing w:after="20" w:before="0"/>
            </w:pPr>
            <w:r/>
            <w:r>
              <w:rPr>
                <w:rFonts w:ascii="Calibri" w:hAnsi="Calibri"/>
                <w:b w:val="0"/>
                <w:i w:val="0"/>
                <w:color w:val="000000"/>
                <w:sz w:val="19"/>
              </w:rPr>
              <w:t>8 750</w:t>
            </w:r>
          </w:p>
        </w:tc>
        <w:tc>
          <w:tcPr>
            <w:tcW w:type="dxa" w:w="1988"/>
          </w:tcPr>
          <w:p>
            <w:pPr>
              <w:spacing w:after="20" w:before="0"/>
            </w:pPr>
            <w:r/>
            <w:r>
              <w:rPr>
                <w:rFonts w:ascii="Calibri" w:hAnsi="Calibri"/>
                <w:b w:val="0"/>
                <w:i w:val="0"/>
                <w:color w:val="000000"/>
                <w:sz w:val="19"/>
              </w:rPr>
              <w:t>10 350</w:t>
            </w:r>
          </w:p>
        </w:tc>
        <w:tc>
          <w:tcPr>
            <w:tcW w:type="dxa" w:w="2048"/>
          </w:tcPr>
          <w:p>
            <w:pPr>
              <w:spacing w:after="20" w:before="0"/>
            </w:pPr>
            <w:r/>
            <w:r>
              <w:rPr>
                <w:rFonts w:ascii="Calibri" w:hAnsi="Calibri"/>
                <w:b w:val="0"/>
                <w:i w:val="0"/>
                <w:color w:val="000000"/>
                <w:sz w:val="19"/>
              </w:rPr>
              <w:t>12 250</w:t>
            </w:r>
          </w:p>
        </w:tc>
      </w:tr>
      <w:tr>
        <w:tc>
          <w:tcPr>
            <w:tcW w:type="dxa" w:w="3614"/>
          </w:tcPr>
          <w:p>
            <w:pPr>
              <w:spacing w:after="20" w:before="0"/>
            </w:pPr>
            <w:r/>
            <w:r>
              <w:rPr>
                <w:rFonts w:ascii="Calibri" w:hAnsi="Calibri"/>
                <w:b w:val="0"/>
                <w:i w:val="0"/>
                <w:color w:val="000000"/>
                <w:sz w:val="19"/>
              </w:rPr>
              <w:t>Interest-bearing borrowings</w:t>
            </w:r>
          </w:p>
        </w:tc>
        <w:tc>
          <w:tcPr>
            <w:tcW w:type="dxa" w:w="1988"/>
          </w:tcPr>
          <w:p>
            <w:pPr>
              <w:spacing w:after="20" w:before="0"/>
            </w:pPr>
            <w:r/>
            <w:r>
              <w:rPr>
                <w:rFonts w:ascii="Calibri" w:hAnsi="Calibri"/>
                <w:b w:val="0"/>
                <w:i w:val="0"/>
                <w:color w:val="000000"/>
                <w:sz w:val="19"/>
              </w:rPr>
              <w:t>3 150</w:t>
            </w:r>
          </w:p>
        </w:tc>
        <w:tc>
          <w:tcPr>
            <w:tcW w:type="dxa" w:w="1988"/>
          </w:tcPr>
          <w:p>
            <w:pPr>
              <w:spacing w:after="20" w:before="0"/>
            </w:pPr>
            <w:r/>
            <w:r>
              <w:rPr>
                <w:rFonts w:ascii="Calibri" w:hAnsi="Calibri"/>
                <w:b w:val="0"/>
                <w:i w:val="0"/>
                <w:color w:val="000000"/>
                <w:sz w:val="19"/>
              </w:rPr>
              <w:t>3 950</w:t>
            </w:r>
          </w:p>
        </w:tc>
        <w:tc>
          <w:tcPr>
            <w:tcW w:type="dxa" w:w="2048"/>
          </w:tcPr>
          <w:p>
            <w:pPr>
              <w:spacing w:after="20" w:before="0"/>
            </w:pPr>
            <w:r/>
            <w:r>
              <w:rPr>
                <w:rFonts w:ascii="Calibri" w:hAnsi="Calibri"/>
                <w:b w:val="0"/>
                <w:i w:val="0"/>
                <w:color w:val="000000"/>
                <w:sz w:val="19"/>
              </w:rPr>
              <w:t>4 850</w:t>
            </w:r>
          </w:p>
        </w:tc>
      </w:tr>
      <w:tr>
        <w:tc>
          <w:tcPr>
            <w:tcW w:type="dxa" w:w="3614"/>
          </w:tcPr>
          <w:p>
            <w:pPr>
              <w:spacing w:after="20" w:before="0"/>
            </w:pPr>
            <w:r/>
            <w:r>
              <w:rPr>
                <w:rFonts w:ascii="Calibri" w:hAnsi="Calibri"/>
                <w:b w:val="0"/>
                <w:i w:val="0"/>
                <w:color w:val="000000"/>
                <w:sz w:val="19"/>
              </w:rPr>
              <w:t>Total liabilities</w:t>
            </w:r>
          </w:p>
        </w:tc>
        <w:tc>
          <w:tcPr>
            <w:tcW w:type="dxa" w:w="1988"/>
          </w:tcPr>
          <w:p>
            <w:pPr>
              <w:spacing w:after="20" w:before="0"/>
            </w:pPr>
            <w:r/>
            <w:r>
              <w:rPr>
                <w:rFonts w:ascii="Calibri" w:hAnsi="Calibri"/>
                <w:b w:val="0"/>
                <w:i w:val="0"/>
                <w:color w:val="000000"/>
                <w:sz w:val="19"/>
              </w:rPr>
              <w:t>4 700</w:t>
            </w:r>
          </w:p>
        </w:tc>
        <w:tc>
          <w:tcPr>
            <w:tcW w:type="dxa" w:w="1988"/>
          </w:tcPr>
          <w:p>
            <w:pPr>
              <w:spacing w:after="20" w:before="0"/>
            </w:pPr>
            <w:r/>
            <w:r>
              <w:rPr>
                <w:rFonts w:ascii="Calibri" w:hAnsi="Calibri"/>
                <w:b w:val="0"/>
                <w:i w:val="0"/>
                <w:color w:val="000000"/>
                <w:sz w:val="19"/>
              </w:rPr>
              <w:t>5 700</w:t>
            </w:r>
          </w:p>
        </w:tc>
        <w:tc>
          <w:tcPr>
            <w:tcW w:type="dxa" w:w="2048"/>
          </w:tcPr>
          <w:p>
            <w:pPr>
              <w:spacing w:after="20" w:before="0"/>
            </w:pPr>
            <w:r/>
            <w:r>
              <w:rPr>
                <w:rFonts w:ascii="Calibri" w:hAnsi="Calibri"/>
                <w:b w:val="0"/>
                <w:i w:val="0"/>
                <w:color w:val="000000"/>
                <w:sz w:val="19"/>
              </w:rPr>
              <w:t>6 850</w:t>
            </w:r>
          </w:p>
        </w:tc>
      </w:tr>
      <w:tr>
        <w:tc>
          <w:tcPr>
            <w:tcW w:type="dxa" w:w="3614"/>
          </w:tcPr>
          <w:p>
            <w:pPr>
              <w:spacing w:after="20" w:before="0"/>
            </w:pPr>
            <w:r/>
            <w:r>
              <w:rPr>
                <w:rFonts w:ascii="Calibri" w:hAnsi="Calibri"/>
                <w:b w:val="0"/>
                <w:i w:val="0"/>
                <w:color w:val="000000"/>
                <w:sz w:val="19"/>
              </w:rPr>
              <w:t>Equity (assets less liabilities)</w:t>
            </w:r>
          </w:p>
        </w:tc>
        <w:tc>
          <w:tcPr>
            <w:tcW w:type="dxa" w:w="1988"/>
          </w:tcPr>
          <w:p>
            <w:pPr>
              <w:spacing w:after="20" w:before="0"/>
            </w:pPr>
            <w:r/>
            <w:r>
              <w:rPr>
                <w:rFonts w:ascii="Calibri" w:hAnsi="Calibri"/>
                <w:b w:val="0"/>
                <w:i w:val="0"/>
                <w:color w:val="000000"/>
                <w:sz w:val="19"/>
              </w:rPr>
              <w:t>4 050</w:t>
            </w:r>
          </w:p>
        </w:tc>
        <w:tc>
          <w:tcPr>
            <w:tcW w:type="dxa" w:w="1988"/>
          </w:tcPr>
          <w:p>
            <w:pPr>
              <w:spacing w:after="20" w:before="0"/>
            </w:pPr>
            <w:r/>
            <w:r>
              <w:rPr>
                <w:rFonts w:ascii="Calibri" w:hAnsi="Calibri"/>
                <w:b w:val="0"/>
                <w:i w:val="0"/>
                <w:color w:val="000000"/>
                <w:sz w:val="19"/>
              </w:rPr>
              <w:t>4 650</w:t>
            </w:r>
          </w:p>
        </w:tc>
        <w:tc>
          <w:tcPr>
            <w:tcW w:type="dxa" w:w="2048"/>
          </w:tcPr>
          <w:p>
            <w:pPr>
              <w:spacing w:after="20" w:before="0"/>
            </w:pPr>
            <w:r/>
            <w:r>
              <w:rPr>
                <w:rFonts w:ascii="Calibri" w:hAnsi="Calibri"/>
                <w:b w:val="0"/>
                <w:i w:val="0"/>
                <w:color w:val="000000"/>
                <w:sz w:val="19"/>
              </w:rPr>
              <w:t>5 400</w:t>
            </w:r>
          </w:p>
        </w:tc>
      </w:tr>
    </w:tbl>
    <w:p>
      <w:pPr>
        <w:spacing w:after="40"/>
      </w:pPr>
    </w:p>
    <w:tbl>
      <w:tblPr>
        <w:tblStyle w:val="TableGrid"/>
        <w:tblW w:type="auto" w:w="0"/>
        <w:tblLayout w:type="fixed"/>
        <w:tblLook w:firstColumn="1" w:firstRow="1" w:lastColumn="0" w:lastRow="0" w:noHBand="0" w:noVBand="1" w:val="04A0"/>
        <w:tblLayout w:type="fixed"/>
        <w:tblW w:w="5000" w:type="pct"/>
      </w:tblPr>
      <w:tblGrid>
        <w:gridCol w:w="3132"/>
        <w:gridCol w:w="1144"/>
        <w:gridCol w:w="1144"/>
        <w:gridCol w:w="1144"/>
        <w:gridCol w:w="3072"/>
      </w:tblGrid>
      <w:tr>
        <w:tc>
          <w:tcPr>
            <w:tcW w:type="dxa" w:w="3132"/>
            <w:shd w:val="clear" w:fill="F2F2F2"/>
          </w:tcPr>
          <w:p>
            <w:pPr>
              <w:spacing w:after="20"/>
            </w:pPr>
            <w:r/>
            <w:r>
              <w:rPr>
                <w:rFonts w:ascii="Calibri" w:hAnsi="Calibri"/>
                <w:b/>
                <w:color w:val="000000"/>
                <w:sz w:val="19"/>
              </w:rPr>
              <w:t>Ratio I worked out</w:t>
            </w:r>
          </w:p>
        </w:tc>
        <w:tc>
          <w:tcPr>
            <w:tcW w:type="dxa" w:w="1144"/>
            <w:shd w:val="clear" w:fill="F2F2F2"/>
          </w:tcPr>
          <w:p>
            <w:pPr>
              <w:spacing w:after="20"/>
            </w:pPr>
            <w:r/>
            <w:r>
              <w:rPr>
                <w:rFonts w:ascii="Calibri" w:hAnsi="Calibri"/>
                <w:b/>
                <w:color w:val="000000"/>
                <w:sz w:val="19"/>
              </w:rPr>
              <w:t>FY2024</w:t>
            </w:r>
          </w:p>
        </w:tc>
        <w:tc>
          <w:tcPr>
            <w:tcW w:type="dxa" w:w="1144"/>
            <w:shd w:val="clear" w:fill="F2F2F2"/>
          </w:tcPr>
          <w:p>
            <w:pPr>
              <w:spacing w:after="20"/>
            </w:pPr>
            <w:r/>
            <w:r>
              <w:rPr>
                <w:rFonts w:ascii="Calibri" w:hAnsi="Calibri"/>
                <w:b/>
                <w:color w:val="000000"/>
                <w:sz w:val="19"/>
              </w:rPr>
              <w:t>FY2025</w:t>
            </w:r>
          </w:p>
        </w:tc>
        <w:tc>
          <w:tcPr>
            <w:tcW w:type="dxa" w:w="1144"/>
            <w:shd w:val="clear" w:fill="F2F2F2"/>
          </w:tcPr>
          <w:p>
            <w:pPr>
              <w:spacing w:after="20"/>
            </w:pPr>
            <w:r/>
            <w:r>
              <w:rPr>
                <w:rFonts w:ascii="Calibri" w:hAnsi="Calibri"/>
                <w:b/>
                <w:color w:val="000000"/>
                <w:sz w:val="19"/>
              </w:rPr>
              <w:t>FY2026</w:t>
            </w:r>
          </w:p>
        </w:tc>
        <w:tc>
          <w:tcPr>
            <w:tcW w:type="dxa" w:w="3072"/>
            <w:shd w:val="clear" w:fill="F2F2F2"/>
          </w:tcPr>
          <w:p>
            <w:pPr>
              <w:spacing w:after="20"/>
            </w:pPr>
            <w:r/>
            <w:r>
              <w:rPr>
                <w:rFonts w:ascii="Calibri" w:hAnsi="Calibri"/>
                <w:b/>
                <w:color w:val="000000"/>
                <w:sz w:val="19"/>
              </w:rPr>
              <w:t>What it says</w:t>
            </w:r>
          </w:p>
        </w:tc>
      </w:tr>
      <w:tr>
        <w:tc>
          <w:tcPr>
            <w:tcW w:type="dxa" w:w="3132"/>
          </w:tcPr>
          <w:p>
            <w:pPr>
              <w:spacing w:after="20" w:before="0"/>
            </w:pPr>
            <w:r/>
            <w:r>
              <w:rPr>
                <w:rFonts w:ascii="Calibri" w:hAnsi="Calibri"/>
                <w:b w:val="0"/>
                <w:i w:val="0"/>
                <w:color w:val="000000"/>
                <w:sz w:val="19"/>
              </w:rPr>
              <w:t>Interest cover (EBITDA / finance costs)</w:t>
            </w:r>
          </w:p>
        </w:tc>
        <w:tc>
          <w:tcPr>
            <w:tcW w:type="dxa" w:w="1144"/>
          </w:tcPr>
          <w:p>
            <w:pPr>
              <w:spacing w:after="20" w:before="0"/>
            </w:pPr>
            <w:r/>
            <w:r>
              <w:rPr>
                <w:rFonts w:ascii="Calibri" w:hAnsi="Calibri"/>
                <w:b w:val="0"/>
                <w:i w:val="0"/>
                <w:color w:val="000000"/>
                <w:sz w:val="19"/>
              </w:rPr>
              <w:t>3.31</w:t>
            </w:r>
          </w:p>
        </w:tc>
        <w:tc>
          <w:tcPr>
            <w:tcW w:type="dxa" w:w="1144"/>
          </w:tcPr>
          <w:p>
            <w:pPr>
              <w:spacing w:after="20" w:before="0"/>
            </w:pPr>
            <w:r/>
            <w:r>
              <w:rPr>
                <w:rFonts w:ascii="Calibri" w:hAnsi="Calibri"/>
                <w:b w:val="0"/>
                <w:i w:val="0"/>
                <w:color w:val="000000"/>
                <w:sz w:val="19"/>
              </w:rPr>
              <w:t>3.12</w:t>
            </w:r>
          </w:p>
        </w:tc>
        <w:tc>
          <w:tcPr>
            <w:tcW w:type="dxa" w:w="1144"/>
          </w:tcPr>
          <w:p>
            <w:pPr>
              <w:spacing w:after="20" w:before="0"/>
            </w:pPr>
            <w:r/>
            <w:r>
              <w:rPr>
                <w:rFonts w:ascii="Calibri" w:hAnsi="Calibri"/>
                <w:b w:val="0"/>
                <w:i w:val="0"/>
                <w:color w:val="000000"/>
                <w:sz w:val="19"/>
              </w:rPr>
              <w:t>2.98</w:t>
            </w:r>
          </w:p>
        </w:tc>
        <w:tc>
          <w:tcPr>
            <w:tcW w:type="dxa" w:w="3072"/>
          </w:tcPr>
          <w:p>
            <w:pPr>
              <w:spacing w:after="20" w:before="0"/>
            </w:pPr>
            <w:r/>
            <w:r>
              <w:rPr>
                <w:rFonts w:ascii="Calibri" w:hAnsi="Calibri"/>
                <w:b w:val="0"/>
                <w:i w:val="0"/>
                <w:color w:val="000000"/>
                <w:sz w:val="19"/>
              </w:rPr>
              <w:t>Falling every year despite EBITDA growth</w:t>
            </w:r>
          </w:p>
        </w:tc>
      </w:tr>
      <w:tr>
        <w:tc>
          <w:tcPr>
            <w:tcW w:type="dxa" w:w="3132"/>
          </w:tcPr>
          <w:p>
            <w:pPr>
              <w:spacing w:after="20" w:before="0"/>
            </w:pPr>
            <w:r/>
            <w:r>
              <w:rPr>
                <w:rFonts w:ascii="Calibri" w:hAnsi="Calibri"/>
                <w:b w:val="0"/>
                <w:i w:val="0"/>
                <w:color w:val="000000"/>
                <w:sz w:val="19"/>
              </w:rPr>
              <w:t>Interest cover (operating profit / finance costs)</w:t>
            </w:r>
          </w:p>
        </w:tc>
        <w:tc>
          <w:tcPr>
            <w:tcW w:type="dxa" w:w="1144"/>
          </w:tcPr>
          <w:p>
            <w:pPr>
              <w:spacing w:after="20" w:before="0"/>
            </w:pPr>
            <w:r/>
            <w:r>
              <w:rPr>
                <w:rFonts w:ascii="Calibri" w:hAnsi="Calibri"/>
                <w:b w:val="0"/>
                <w:i w:val="0"/>
                <w:color w:val="000000"/>
                <w:sz w:val="19"/>
              </w:rPr>
              <w:t>2.04</w:t>
            </w:r>
          </w:p>
        </w:tc>
        <w:tc>
          <w:tcPr>
            <w:tcW w:type="dxa" w:w="1144"/>
          </w:tcPr>
          <w:p>
            <w:pPr>
              <w:spacing w:after="20" w:before="0"/>
            </w:pPr>
            <w:r/>
            <w:r>
              <w:rPr>
                <w:rFonts w:ascii="Calibri" w:hAnsi="Calibri"/>
                <w:b w:val="0"/>
                <w:i w:val="0"/>
                <w:color w:val="000000"/>
                <w:sz w:val="19"/>
              </w:rPr>
              <w:t>1.95</w:t>
            </w:r>
          </w:p>
        </w:tc>
        <w:tc>
          <w:tcPr>
            <w:tcW w:type="dxa" w:w="1144"/>
          </w:tcPr>
          <w:p>
            <w:pPr>
              <w:spacing w:after="20" w:before="0"/>
            </w:pPr>
            <w:r/>
            <w:r>
              <w:rPr>
                <w:rFonts w:ascii="Calibri" w:hAnsi="Calibri"/>
                <w:b w:val="0"/>
                <w:i w:val="0"/>
                <w:color w:val="000000"/>
                <w:sz w:val="19"/>
              </w:rPr>
              <w:t>1.87</w:t>
            </w:r>
          </w:p>
        </w:tc>
        <w:tc>
          <w:tcPr>
            <w:tcW w:type="dxa" w:w="3072"/>
          </w:tcPr>
          <w:p>
            <w:pPr>
              <w:spacing w:after="20" w:before="0"/>
            </w:pPr>
            <w:r/>
            <w:r>
              <w:rPr>
                <w:rFonts w:ascii="Calibri" w:hAnsi="Calibri"/>
                <w:b w:val="0"/>
                <w:i w:val="0"/>
                <w:color w:val="000000"/>
                <w:sz w:val="19"/>
              </w:rPr>
              <w:t>Below 2 on the measure lenders prefer</w:t>
            </w:r>
          </w:p>
        </w:tc>
      </w:tr>
      <w:tr>
        <w:tc>
          <w:tcPr>
            <w:tcW w:type="dxa" w:w="3132"/>
          </w:tcPr>
          <w:p>
            <w:pPr>
              <w:spacing w:after="20" w:before="0"/>
            </w:pPr>
            <w:r/>
            <w:r>
              <w:rPr>
                <w:rFonts w:ascii="Calibri" w:hAnsi="Calibri"/>
                <w:b w:val="0"/>
                <w:i w:val="0"/>
                <w:color w:val="000000"/>
                <w:sz w:val="19"/>
              </w:rPr>
              <w:t>Borrowings / EBITDA</w:t>
            </w:r>
          </w:p>
        </w:tc>
        <w:tc>
          <w:tcPr>
            <w:tcW w:type="dxa" w:w="1144"/>
          </w:tcPr>
          <w:p>
            <w:pPr>
              <w:spacing w:after="20" w:before="0"/>
            </w:pPr>
            <w:r/>
            <w:r>
              <w:rPr>
                <w:rFonts w:ascii="Calibri" w:hAnsi="Calibri"/>
                <w:b w:val="0"/>
                <w:i w:val="0"/>
                <w:color w:val="000000"/>
                <w:sz w:val="19"/>
              </w:rPr>
              <w:t>4.23</w:t>
            </w:r>
          </w:p>
        </w:tc>
        <w:tc>
          <w:tcPr>
            <w:tcW w:type="dxa" w:w="1144"/>
          </w:tcPr>
          <w:p>
            <w:pPr>
              <w:spacing w:after="20" w:before="0"/>
            </w:pPr>
            <w:r/>
            <w:r>
              <w:rPr>
                <w:rFonts w:ascii="Calibri" w:hAnsi="Calibri"/>
                <w:b w:val="0"/>
                <w:i w:val="0"/>
                <w:color w:val="000000"/>
                <w:sz w:val="19"/>
              </w:rPr>
              <w:t>4.36</w:t>
            </w:r>
          </w:p>
        </w:tc>
        <w:tc>
          <w:tcPr>
            <w:tcW w:type="dxa" w:w="1144"/>
          </w:tcPr>
          <w:p>
            <w:pPr>
              <w:spacing w:after="20" w:before="0"/>
            </w:pPr>
            <w:r/>
            <w:r>
              <w:rPr>
                <w:rFonts w:ascii="Calibri" w:hAnsi="Calibri"/>
                <w:b w:val="0"/>
                <w:i w:val="0"/>
                <w:color w:val="000000"/>
                <w:sz w:val="19"/>
              </w:rPr>
              <w:t>4.35</w:t>
            </w:r>
          </w:p>
        </w:tc>
        <w:tc>
          <w:tcPr>
            <w:tcW w:type="dxa" w:w="3072"/>
          </w:tcPr>
          <w:p>
            <w:pPr>
              <w:spacing w:after="20" w:before="0"/>
            </w:pPr>
            <w:r/>
            <w:r>
              <w:rPr>
                <w:rFonts w:ascii="Calibri" w:hAnsi="Calibri"/>
                <w:b w:val="0"/>
                <w:i w:val="0"/>
                <w:color w:val="000000"/>
                <w:sz w:val="19"/>
              </w:rPr>
              <w:t>About where covenants get set</w:t>
            </w:r>
          </w:p>
        </w:tc>
      </w:tr>
      <w:tr>
        <w:tc>
          <w:tcPr>
            <w:tcW w:type="dxa" w:w="3132"/>
          </w:tcPr>
          <w:p>
            <w:pPr>
              <w:spacing w:after="20" w:before="0"/>
            </w:pPr>
            <w:r/>
            <w:r>
              <w:rPr>
                <w:rFonts w:ascii="Calibri" w:hAnsi="Calibri"/>
                <w:b w:val="0"/>
                <w:i w:val="0"/>
                <w:color w:val="000000"/>
                <w:sz w:val="19"/>
              </w:rPr>
              <w:t>Gearing (borrowings / borrowings + equity)</w:t>
            </w:r>
          </w:p>
        </w:tc>
        <w:tc>
          <w:tcPr>
            <w:tcW w:type="dxa" w:w="1144"/>
          </w:tcPr>
          <w:p>
            <w:pPr>
              <w:spacing w:after="20" w:before="0"/>
            </w:pPr>
            <w:r/>
            <w:r>
              <w:rPr>
                <w:rFonts w:ascii="Calibri" w:hAnsi="Calibri"/>
                <w:b w:val="0"/>
                <w:i w:val="0"/>
                <w:color w:val="000000"/>
                <w:sz w:val="19"/>
              </w:rPr>
              <w:t>43.8%</w:t>
            </w:r>
          </w:p>
        </w:tc>
        <w:tc>
          <w:tcPr>
            <w:tcW w:type="dxa" w:w="1144"/>
          </w:tcPr>
          <w:p>
            <w:pPr>
              <w:spacing w:after="20" w:before="0"/>
            </w:pPr>
            <w:r/>
            <w:r>
              <w:rPr>
                <w:rFonts w:ascii="Calibri" w:hAnsi="Calibri"/>
                <w:b w:val="0"/>
                <w:i w:val="0"/>
                <w:color w:val="000000"/>
                <w:sz w:val="19"/>
              </w:rPr>
              <w:t>45.9%</w:t>
            </w:r>
          </w:p>
        </w:tc>
        <w:tc>
          <w:tcPr>
            <w:tcW w:type="dxa" w:w="1144"/>
          </w:tcPr>
          <w:p>
            <w:pPr>
              <w:spacing w:after="20" w:before="0"/>
            </w:pPr>
            <w:r/>
            <w:r>
              <w:rPr>
                <w:rFonts w:ascii="Calibri" w:hAnsi="Calibri"/>
                <w:b w:val="0"/>
                <w:i w:val="0"/>
                <w:color w:val="000000"/>
                <w:sz w:val="19"/>
              </w:rPr>
              <w:t>47.3%</w:t>
            </w:r>
          </w:p>
        </w:tc>
        <w:tc>
          <w:tcPr>
            <w:tcW w:type="dxa" w:w="3072"/>
          </w:tcPr>
          <w:p>
            <w:pPr>
              <w:spacing w:after="20" w:before="0"/>
            </w:pPr>
            <w:r/>
            <w:r>
              <w:rPr>
                <w:rFonts w:ascii="Calibri" w:hAnsi="Calibri"/>
                <w:b w:val="0"/>
                <w:i w:val="0"/>
                <w:color w:val="000000"/>
                <w:sz w:val="19"/>
              </w:rPr>
              <w:t>Rising</w:t>
            </w:r>
          </w:p>
        </w:tc>
      </w:tr>
      <w:tr>
        <w:tc>
          <w:tcPr>
            <w:tcW w:type="dxa" w:w="3132"/>
          </w:tcPr>
          <w:p>
            <w:pPr>
              <w:spacing w:after="20" w:before="0"/>
            </w:pPr>
            <w:r/>
            <w:r>
              <w:rPr>
                <w:rFonts w:ascii="Calibri" w:hAnsi="Calibri"/>
                <w:b w:val="0"/>
                <w:i w:val="0"/>
                <w:color w:val="000000"/>
                <w:sz w:val="19"/>
              </w:rPr>
              <w:t>Capex / EBITDA</w:t>
            </w:r>
          </w:p>
        </w:tc>
        <w:tc>
          <w:tcPr>
            <w:tcW w:type="dxa" w:w="1144"/>
          </w:tcPr>
          <w:p>
            <w:pPr>
              <w:spacing w:after="20" w:before="0"/>
            </w:pPr>
            <w:r/>
            <w:r>
              <w:rPr>
                <w:rFonts w:ascii="Calibri" w:hAnsi="Calibri"/>
                <w:b w:val="0"/>
                <w:i w:val="0"/>
                <w:color w:val="000000"/>
                <w:sz w:val="19"/>
              </w:rPr>
              <w:t>—</w:t>
            </w:r>
          </w:p>
        </w:tc>
        <w:tc>
          <w:tcPr>
            <w:tcW w:type="dxa" w:w="1144"/>
          </w:tcPr>
          <w:p>
            <w:pPr>
              <w:spacing w:after="20" w:before="0"/>
            </w:pPr>
            <w:r/>
            <w:r>
              <w:rPr>
                <w:rFonts w:ascii="Calibri" w:hAnsi="Calibri"/>
                <w:b w:val="0"/>
                <w:i w:val="0"/>
                <w:color w:val="000000"/>
                <w:sz w:val="19"/>
              </w:rPr>
              <w:t>2.0</w:t>
            </w:r>
          </w:p>
        </w:tc>
        <w:tc>
          <w:tcPr>
            <w:tcW w:type="dxa" w:w="1144"/>
          </w:tcPr>
          <w:p>
            <w:pPr>
              <w:spacing w:after="20" w:before="0"/>
            </w:pPr>
            <w:r/>
            <w:r>
              <w:rPr>
                <w:rFonts w:ascii="Calibri" w:hAnsi="Calibri"/>
                <w:b w:val="0"/>
                <w:i w:val="0"/>
                <w:color w:val="000000"/>
                <w:sz w:val="19"/>
              </w:rPr>
              <w:t>1.8</w:t>
            </w:r>
          </w:p>
        </w:tc>
        <w:tc>
          <w:tcPr>
            <w:tcW w:type="dxa" w:w="3072"/>
          </w:tcPr>
          <w:p>
            <w:pPr>
              <w:spacing w:after="20" w:before="0"/>
            </w:pPr>
            <w:r/>
            <w:r>
              <w:rPr>
                <w:rFonts w:ascii="Calibri" w:hAnsi="Calibri"/>
                <w:b w:val="0"/>
                <w:i w:val="0"/>
                <w:color w:val="000000"/>
                <w:sz w:val="19"/>
              </w:rPr>
              <w:t>Spending about twice what it generates</w:t>
            </w:r>
          </w:p>
        </w:tc>
      </w:tr>
      <w:tr>
        <w:tc>
          <w:tcPr>
            <w:tcW w:type="dxa" w:w="3132"/>
          </w:tcPr>
          <w:p>
            <w:pPr>
              <w:spacing w:after="20" w:before="0"/>
            </w:pPr>
            <w:r/>
            <w:r>
              <w:rPr>
                <w:rFonts w:ascii="Calibri" w:hAnsi="Calibri"/>
                <w:b w:val="0"/>
                <w:i w:val="0"/>
                <w:color w:val="000000"/>
                <w:sz w:val="19"/>
              </w:rPr>
              <w:t>EBITDA margin</w:t>
            </w:r>
          </w:p>
        </w:tc>
        <w:tc>
          <w:tcPr>
            <w:tcW w:type="dxa" w:w="1144"/>
          </w:tcPr>
          <w:p>
            <w:pPr>
              <w:spacing w:after="20" w:before="0"/>
            </w:pPr>
            <w:r/>
            <w:r>
              <w:rPr>
                <w:rFonts w:ascii="Calibri" w:hAnsi="Calibri"/>
                <w:b w:val="0"/>
                <w:i w:val="0"/>
                <w:color w:val="000000"/>
                <w:sz w:val="19"/>
              </w:rPr>
              <w:t>40.9%</w:t>
            </w:r>
          </w:p>
        </w:tc>
        <w:tc>
          <w:tcPr>
            <w:tcW w:type="dxa" w:w="1144"/>
          </w:tcPr>
          <w:p>
            <w:pPr>
              <w:spacing w:after="20" w:before="0"/>
            </w:pPr>
            <w:r/>
            <w:r>
              <w:rPr>
                <w:rFonts w:ascii="Calibri" w:hAnsi="Calibri"/>
                <w:b w:val="0"/>
                <w:i w:val="0"/>
                <w:color w:val="000000"/>
                <w:sz w:val="19"/>
              </w:rPr>
              <w:t>41.9%</w:t>
            </w:r>
          </w:p>
        </w:tc>
        <w:tc>
          <w:tcPr>
            <w:tcW w:type="dxa" w:w="1144"/>
          </w:tcPr>
          <w:p>
            <w:pPr>
              <w:spacing w:after="20" w:before="0"/>
            </w:pPr>
            <w:r/>
            <w:r>
              <w:rPr>
                <w:rFonts w:ascii="Calibri" w:hAnsi="Calibri"/>
                <w:b w:val="0"/>
                <w:i w:val="0"/>
                <w:color w:val="000000"/>
                <w:sz w:val="19"/>
              </w:rPr>
              <w:t>42.6%</w:t>
            </w:r>
          </w:p>
        </w:tc>
        <w:tc>
          <w:tcPr>
            <w:tcW w:type="dxa" w:w="3072"/>
          </w:tcPr>
          <w:p>
            <w:pPr>
              <w:spacing w:after="20" w:before="0"/>
            </w:pPr>
            <w:r/>
            <w:r>
              <w:rPr>
                <w:rFonts w:ascii="Calibri" w:hAnsi="Calibri"/>
                <w:b w:val="0"/>
                <w:i w:val="0"/>
                <w:color w:val="000000"/>
                <w:sz w:val="19"/>
              </w:rPr>
              <w:t>Improving — the operations are fine</w:t>
            </w:r>
          </w:p>
        </w:tc>
      </w:tr>
    </w:tbl>
    <w:p>
      <w:pPr>
        <w:spacing w:after="40"/>
      </w:pPr>
    </w:p>
    <w:tbl>
      <w:tblPr>
        <w:tblStyle w:val="TableGrid"/>
        <w:tblW w:type="auto" w:w="0"/>
        <w:tblLayout w:type="fixed"/>
        <w:tblLook w:firstColumn="1" w:firstRow="1" w:lastColumn="0" w:lastRow="0" w:noHBand="0" w:noVBand="1" w:val="04A0"/>
        <w:tblLayout w:type="fixed"/>
        <w:tblW w:w="5000" w:type="pct"/>
      </w:tblPr>
      <w:tblGrid>
        <w:gridCol w:w="3614"/>
        <w:gridCol w:w="1988"/>
        <w:gridCol w:w="1988"/>
        <w:gridCol w:w="2048"/>
      </w:tblGrid>
      <w:tr>
        <w:tc>
          <w:tcPr>
            <w:tcW w:type="dxa" w:w="3614"/>
            <w:shd w:val="clear" w:fill="F2F2F2"/>
          </w:tcPr>
          <w:p>
            <w:pPr>
              <w:spacing w:after="20"/>
            </w:pPr>
            <w:r/>
            <w:r>
              <w:rPr>
                <w:rFonts w:ascii="Calibri" w:hAnsi="Calibri"/>
                <w:b/>
                <w:color w:val="000000"/>
                <w:sz w:val="19"/>
              </w:rPr>
              <w:t>Capacity</w:t>
            </w:r>
          </w:p>
        </w:tc>
        <w:tc>
          <w:tcPr>
            <w:tcW w:type="dxa" w:w="1988"/>
            <w:shd w:val="clear" w:fill="F2F2F2"/>
          </w:tcPr>
          <w:p>
            <w:pPr>
              <w:spacing w:after="20"/>
            </w:pPr>
            <w:r/>
            <w:r>
              <w:rPr>
                <w:rFonts w:ascii="Calibri" w:hAnsi="Calibri"/>
                <w:b/>
                <w:color w:val="000000"/>
                <w:sz w:val="19"/>
              </w:rPr>
              <w:t>FY2024</w:t>
            </w:r>
          </w:p>
        </w:tc>
        <w:tc>
          <w:tcPr>
            <w:tcW w:type="dxa" w:w="1988"/>
            <w:shd w:val="clear" w:fill="F2F2F2"/>
          </w:tcPr>
          <w:p>
            <w:pPr>
              <w:spacing w:after="20"/>
            </w:pPr>
            <w:r/>
            <w:r>
              <w:rPr>
                <w:rFonts w:ascii="Calibri" w:hAnsi="Calibri"/>
                <w:b/>
                <w:color w:val="000000"/>
                <w:sz w:val="19"/>
              </w:rPr>
              <w:t>FY2025</w:t>
            </w:r>
          </w:p>
        </w:tc>
        <w:tc>
          <w:tcPr>
            <w:tcW w:type="dxa" w:w="2048"/>
            <w:shd w:val="clear" w:fill="F2F2F2"/>
          </w:tcPr>
          <w:p>
            <w:pPr>
              <w:spacing w:after="20"/>
            </w:pPr>
            <w:r/>
            <w:r>
              <w:rPr>
                <w:rFonts w:ascii="Calibri" w:hAnsi="Calibri"/>
                <w:b/>
                <w:color w:val="000000"/>
                <w:sz w:val="19"/>
              </w:rPr>
              <w:t>FY2026</w:t>
            </w:r>
          </w:p>
        </w:tc>
      </w:tr>
      <w:tr>
        <w:tc>
          <w:tcPr>
            <w:tcW w:type="dxa" w:w="3614"/>
          </w:tcPr>
          <w:p>
            <w:pPr>
              <w:spacing w:after="20" w:before="0"/>
            </w:pPr>
            <w:r/>
            <w:r>
              <w:rPr>
                <w:rFonts w:ascii="Calibri" w:hAnsi="Calibri"/>
                <w:b w:val="0"/>
                <w:i w:val="0"/>
                <w:color w:val="000000"/>
                <w:sz w:val="19"/>
              </w:rPr>
              <w:t>Installed IT capacity</w:t>
            </w:r>
          </w:p>
        </w:tc>
        <w:tc>
          <w:tcPr>
            <w:tcW w:type="dxa" w:w="1988"/>
          </w:tcPr>
          <w:p>
            <w:pPr>
              <w:spacing w:after="20" w:before="0"/>
            </w:pPr>
            <w:r/>
            <w:r>
              <w:rPr>
                <w:rFonts w:ascii="Calibri" w:hAnsi="Calibri"/>
                <w:b w:val="0"/>
                <w:i w:val="0"/>
                <w:color w:val="000000"/>
                <w:sz w:val="19"/>
              </w:rPr>
              <w:t>32 MW</w:t>
            </w:r>
          </w:p>
        </w:tc>
        <w:tc>
          <w:tcPr>
            <w:tcW w:type="dxa" w:w="1988"/>
          </w:tcPr>
          <w:p>
            <w:pPr>
              <w:spacing w:after="20" w:before="0"/>
            </w:pPr>
            <w:r/>
            <w:r>
              <w:rPr>
                <w:rFonts w:ascii="Calibri" w:hAnsi="Calibri"/>
                <w:b w:val="0"/>
                <w:i w:val="0"/>
                <w:color w:val="000000"/>
                <w:sz w:val="19"/>
              </w:rPr>
              <w:t>38 MW</w:t>
            </w:r>
          </w:p>
        </w:tc>
        <w:tc>
          <w:tcPr>
            <w:tcW w:type="dxa" w:w="2048"/>
          </w:tcPr>
          <w:p>
            <w:pPr>
              <w:spacing w:after="20" w:before="0"/>
            </w:pPr>
            <w:r/>
            <w:r>
              <w:rPr>
                <w:rFonts w:ascii="Calibri" w:hAnsi="Calibri"/>
                <w:b w:val="0"/>
                <w:i w:val="0"/>
                <w:color w:val="000000"/>
                <w:sz w:val="19"/>
              </w:rPr>
              <w:t>45 MW</w:t>
            </w:r>
          </w:p>
        </w:tc>
      </w:tr>
      <w:tr>
        <w:tc>
          <w:tcPr>
            <w:tcW w:type="dxa" w:w="3614"/>
          </w:tcPr>
          <w:p>
            <w:pPr>
              <w:spacing w:after="20" w:before="0"/>
            </w:pPr>
            <w:r/>
            <w:r>
              <w:rPr>
                <w:rFonts w:ascii="Calibri" w:hAnsi="Calibri"/>
                <w:b w:val="0"/>
                <w:i w:val="0"/>
                <w:color w:val="000000"/>
                <w:sz w:val="19"/>
              </w:rPr>
              <w:t>Contracted capacity</w:t>
            </w:r>
          </w:p>
        </w:tc>
        <w:tc>
          <w:tcPr>
            <w:tcW w:type="dxa" w:w="1988"/>
          </w:tcPr>
          <w:p>
            <w:pPr>
              <w:spacing w:after="20" w:before="0"/>
            </w:pPr>
            <w:r/>
            <w:r>
              <w:rPr>
                <w:rFonts w:ascii="Calibri" w:hAnsi="Calibri"/>
                <w:b w:val="0"/>
                <w:i w:val="0"/>
                <w:color w:val="000000"/>
                <w:sz w:val="19"/>
              </w:rPr>
              <w:t>27 MW</w:t>
            </w:r>
          </w:p>
        </w:tc>
        <w:tc>
          <w:tcPr>
            <w:tcW w:type="dxa" w:w="1988"/>
          </w:tcPr>
          <w:p>
            <w:pPr>
              <w:spacing w:after="20" w:before="0"/>
            </w:pPr>
            <w:r/>
            <w:r>
              <w:rPr>
                <w:rFonts w:ascii="Calibri" w:hAnsi="Calibri"/>
                <w:b w:val="0"/>
                <w:i w:val="0"/>
                <w:color w:val="000000"/>
                <w:sz w:val="19"/>
              </w:rPr>
              <w:t>33 MW</w:t>
            </w:r>
          </w:p>
        </w:tc>
        <w:tc>
          <w:tcPr>
            <w:tcW w:type="dxa" w:w="2048"/>
          </w:tcPr>
          <w:p>
            <w:pPr>
              <w:spacing w:after="20" w:before="0"/>
            </w:pPr>
            <w:r/>
            <w:r>
              <w:rPr>
                <w:rFonts w:ascii="Calibri" w:hAnsi="Calibri"/>
                <w:b w:val="0"/>
                <w:i w:val="0"/>
                <w:color w:val="000000"/>
                <w:sz w:val="19"/>
              </w:rPr>
              <w:t>40 MW</w:t>
            </w:r>
          </w:p>
        </w:tc>
      </w:tr>
      <w:tr>
        <w:tc>
          <w:tcPr>
            <w:tcW w:type="dxa" w:w="3614"/>
          </w:tcPr>
          <w:p>
            <w:pPr>
              <w:spacing w:after="20" w:before="0"/>
            </w:pPr>
            <w:r/>
            <w:r>
              <w:rPr>
                <w:rFonts w:ascii="Calibri" w:hAnsi="Calibri"/>
                <w:b w:val="0"/>
                <w:i w:val="0"/>
                <w:color w:val="000000"/>
                <w:sz w:val="19"/>
              </w:rPr>
              <w:t>Utilised capacity</w:t>
            </w:r>
          </w:p>
        </w:tc>
        <w:tc>
          <w:tcPr>
            <w:tcW w:type="dxa" w:w="1988"/>
          </w:tcPr>
          <w:p>
            <w:pPr>
              <w:spacing w:after="20" w:before="0"/>
            </w:pPr>
            <w:r/>
            <w:r>
              <w:rPr>
                <w:rFonts w:ascii="Calibri" w:hAnsi="Calibri"/>
                <w:b w:val="0"/>
                <w:i w:val="0"/>
                <w:color w:val="000000"/>
                <w:sz w:val="19"/>
              </w:rPr>
              <w:t>24 MW</w:t>
            </w:r>
          </w:p>
        </w:tc>
        <w:tc>
          <w:tcPr>
            <w:tcW w:type="dxa" w:w="1988"/>
          </w:tcPr>
          <w:p>
            <w:pPr>
              <w:spacing w:after="20" w:before="0"/>
            </w:pPr>
            <w:r/>
            <w:r>
              <w:rPr>
                <w:rFonts w:ascii="Calibri" w:hAnsi="Calibri"/>
                <w:b w:val="0"/>
                <w:i w:val="0"/>
                <w:color w:val="000000"/>
                <w:sz w:val="19"/>
              </w:rPr>
              <w:t>29 MW</w:t>
            </w:r>
          </w:p>
        </w:tc>
        <w:tc>
          <w:tcPr>
            <w:tcW w:type="dxa" w:w="2048"/>
          </w:tcPr>
          <w:p>
            <w:pPr>
              <w:spacing w:after="20" w:before="0"/>
            </w:pPr>
            <w:r/>
            <w:r>
              <w:rPr>
                <w:rFonts w:ascii="Calibri" w:hAnsi="Calibri"/>
                <w:b w:val="0"/>
                <w:i w:val="0"/>
                <w:color w:val="000000"/>
                <w:sz w:val="19"/>
              </w:rPr>
              <w:t>35 MW</w:t>
            </w:r>
          </w:p>
        </w:tc>
      </w:tr>
      <w:tr>
        <w:tc>
          <w:tcPr>
            <w:tcW w:type="dxa" w:w="3614"/>
          </w:tcPr>
          <w:p>
            <w:pPr>
              <w:spacing w:after="20" w:before="0"/>
            </w:pPr>
            <w:r/>
            <w:r>
              <w:rPr>
                <w:rFonts w:ascii="Calibri" w:hAnsi="Calibri"/>
                <w:b w:val="0"/>
                <w:i w:val="0"/>
                <w:color w:val="000000"/>
                <w:sz w:val="19"/>
              </w:rPr>
              <w:t>Customers</w:t>
            </w:r>
          </w:p>
        </w:tc>
        <w:tc>
          <w:tcPr>
            <w:tcW w:type="dxa" w:w="1988"/>
          </w:tcPr>
          <w:p>
            <w:pPr>
              <w:spacing w:after="20" w:before="0"/>
            </w:pPr>
            <w:r/>
            <w:r>
              <w:rPr>
                <w:rFonts w:ascii="Calibri" w:hAnsi="Calibri"/>
                <w:b w:val="0"/>
                <w:i w:val="0"/>
                <w:color w:val="000000"/>
                <w:sz w:val="19"/>
              </w:rPr>
              <w:t>290</w:t>
            </w:r>
          </w:p>
        </w:tc>
        <w:tc>
          <w:tcPr>
            <w:tcW w:type="dxa" w:w="1988"/>
          </w:tcPr>
          <w:p>
            <w:pPr>
              <w:spacing w:after="20" w:before="0"/>
            </w:pPr>
            <w:r/>
            <w:r>
              <w:rPr>
                <w:rFonts w:ascii="Calibri" w:hAnsi="Calibri"/>
                <w:b w:val="0"/>
                <w:i w:val="0"/>
                <w:color w:val="000000"/>
                <w:sz w:val="19"/>
              </w:rPr>
              <w:t>325</w:t>
            </w:r>
          </w:p>
        </w:tc>
        <w:tc>
          <w:tcPr>
            <w:tcW w:type="dxa" w:w="2048"/>
          </w:tcPr>
          <w:p>
            <w:pPr>
              <w:spacing w:after="20" w:before="0"/>
            </w:pPr>
            <w:r/>
            <w:r>
              <w:rPr>
                <w:rFonts w:ascii="Calibri" w:hAnsi="Calibri"/>
                <w:b w:val="0"/>
                <w:i w:val="0"/>
                <w:color w:val="000000"/>
                <w:sz w:val="19"/>
              </w:rPr>
              <w:t>354</w:t>
            </w:r>
          </w:p>
        </w:tc>
      </w:tr>
    </w:tbl>
    <w:p>
      <w:pPr>
        <w:spacing w:after="40"/>
      </w:pPr>
    </w:p>
    <w:p>
      <w:pPr>
        <w:spacing w:after="100"/>
      </w:pPr>
      <w:r>
        <w:rPr>
          <w:rFonts w:ascii="Calibri" w:hAnsi="Calibri"/>
          <w:b w:val="0"/>
          <w:i w:val="0"/>
          <w:color w:val="000000"/>
          <w:sz w:val="21"/>
        </w:rPr>
        <w:t>Other numbers: R3–5bn capital over five years. JHB4 project facility R1.2bn from a syndicate of SA banks. Metroloop 40%, equity accounted. 300 employees. 99.999% target availability. Shareholders: Ubuntu 35%, Horizon 30%, Moleke 18%, Employee &amp; Empowerment Trust 10%, Low 7%.</w:t>
      </w:r>
    </w:p>
    <w:p>
      <w:pPr>
        <w:spacing w:after="100"/>
      </w:pPr>
      <w:r>
        <w:rPr>
          <w:rFonts w:ascii="Calibri" w:hAnsi="Calibri"/>
          <w:b/>
          <w:i w:val="0"/>
          <w:color w:val="000000"/>
          <w:sz w:val="21"/>
        </w:rPr>
        <w:t>Careful:</w:t>
      </w:r>
      <w:r>
        <w:rPr>
          <w:rFonts w:ascii="Calibri" w:hAnsi="Calibri"/>
          <w:b/>
          <w:i w:val="0"/>
          <w:color w:val="000000"/>
          <w:sz w:val="21"/>
        </w:rPr>
        <w:t xml:space="preserve"> Document 2 says FY2026 revenue is R2.4bn; Document 5 says R2 620m. Never use one silently in a calculation — reconcile it or flag it.</w:t>
      </w:r>
    </w:p>
    <w:p>
      <w:pPr>
        <w:pStyle w:val="Heading2"/>
      </w:pPr>
      <w:r/>
      <w:r>
        <w:rPr>
          <w:rFonts w:ascii="Calibri" w:hAnsi="Calibri"/>
          <w:color w:val="000000"/>
        </w:rPr>
        <w:t>Which document fires which trigger</w:t>
      </w:r>
    </w:p>
    <w:tbl>
      <w:tblPr>
        <w:tblStyle w:val="TableGrid"/>
        <w:tblW w:type="auto" w:w="0"/>
        <w:tblLayout w:type="fixed"/>
        <w:tblLook w:firstColumn="1" w:firstRow="1" w:lastColumn="0" w:lastRow="0" w:noHBand="0" w:noVBand="1" w:val="04A0"/>
        <w:tblLayout w:type="fixed"/>
        <w:tblW w:w="5000" w:type="pct"/>
      </w:tblPr>
      <w:tblGrid>
        <w:gridCol w:w="1024"/>
        <w:gridCol w:w="904"/>
        <w:gridCol w:w="3976"/>
        <w:gridCol w:w="3735"/>
      </w:tblGrid>
      <w:tr>
        <w:tc>
          <w:tcPr>
            <w:tcW w:type="dxa" w:w="1024"/>
            <w:shd w:val="clear" w:fill="F2F2F2"/>
          </w:tcPr>
          <w:p>
            <w:pPr>
              <w:spacing w:after="20"/>
            </w:pPr>
            <w:r/>
            <w:r>
              <w:rPr>
                <w:rFonts w:ascii="Calibri" w:hAnsi="Calibri"/>
                <w:b/>
                <w:color w:val="000000"/>
                <w:sz w:val="19"/>
              </w:rPr>
              <w:t>Document</w:t>
            </w:r>
          </w:p>
        </w:tc>
        <w:tc>
          <w:tcPr>
            <w:tcW w:type="dxa" w:w="904"/>
            <w:shd w:val="clear" w:fill="F2F2F2"/>
          </w:tcPr>
          <w:p>
            <w:pPr>
              <w:spacing w:after="20"/>
            </w:pPr>
            <w:r/>
            <w:r>
              <w:rPr>
                <w:rFonts w:ascii="Calibri" w:hAnsi="Calibri"/>
                <w:b/>
                <w:color w:val="000000"/>
                <w:sz w:val="19"/>
              </w:rPr>
              <w:t>Pages</w:t>
            </w:r>
          </w:p>
        </w:tc>
        <w:tc>
          <w:tcPr>
            <w:tcW w:type="dxa" w:w="3976"/>
            <w:shd w:val="clear" w:fill="F2F2F2"/>
          </w:tcPr>
          <w:p>
            <w:pPr>
              <w:spacing w:after="20"/>
            </w:pPr>
            <w:r/>
            <w:r>
              <w:rPr>
                <w:rFonts w:ascii="Calibri" w:hAnsi="Calibri"/>
                <w:b/>
                <w:color w:val="000000"/>
                <w:sz w:val="19"/>
              </w:rPr>
              <w:t>What it is</w:t>
            </w:r>
          </w:p>
        </w:tc>
        <w:tc>
          <w:tcPr>
            <w:tcW w:type="dxa" w:w="3735"/>
            <w:shd w:val="clear" w:fill="F2F2F2"/>
          </w:tcPr>
          <w:p>
            <w:pPr>
              <w:spacing w:after="20"/>
            </w:pPr>
            <w:r/>
            <w:r>
              <w:rPr>
                <w:rFonts w:ascii="Calibri" w:hAnsi="Calibri"/>
                <w:b/>
                <w:color w:val="000000"/>
                <w:sz w:val="19"/>
              </w:rPr>
              <w:t>Triggers</w:t>
            </w:r>
          </w:p>
        </w:tc>
      </w:tr>
      <w:tr>
        <w:tc>
          <w:tcPr>
            <w:tcW w:type="dxa" w:w="1024"/>
          </w:tcPr>
          <w:p>
            <w:pPr>
              <w:spacing w:after="20" w:before="0"/>
            </w:pPr>
            <w:r/>
            <w:r>
              <w:rPr>
                <w:rFonts w:ascii="Calibri" w:hAnsi="Calibri"/>
                <w:b w:val="0"/>
                <w:i w:val="0"/>
                <w:color w:val="000000"/>
                <w:sz w:val="19"/>
              </w:rPr>
              <w:t>1</w:t>
            </w:r>
          </w:p>
        </w:tc>
        <w:tc>
          <w:tcPr>
            <w:tcW w:type="dxa" w:w="904"/>
          </w:tcPr>
          <w:p>
            <w:pPr>
              <w:spacing w:after="20" w:before="0"/>
            </w:pPr>
            <w:r/>
            <w:r>
              <w:rPr>
                <w:rFonts w:ascii="Calibri" w:hAnsi="Calibri"/>
                <w:b w:val="0"/>
                <w:i w:val="0"/>
                <w:color w:val="000000"/>
                <w:sz w:val="19"/>
              </w:rPr>
              <w:t>3</w:t>
            </w:r>
          </w:p>
        </w:tc>
        <w:tc>
          <w:tcPr>
            <w:tcW w:type="dxa" w:w="3976"/>
          </w:tcPr>
          <w:p>
            <w:pPr>
              <w:spacing w:after="20" w:before="0"/>
            </w:pPr>
            <w:r/>
            <w:r>
              <w:rPr>
                <w:rFonts w:ascii="Calibri" w:hAnsi="Calibri"/>
                <w:b w:val="0"/>
                <w:i w:val="0"/>
                <w:color w:val="000000"/>
                <w:sz w:val="19"/>
              </w:rPr>
              <w:t>CFO welcome email with a six-item reading list</w:t>
            </w:r>
          </w:p>
        </w:tc>
        <w:tc>
          <w:tcPr>
            <w:tcW w:type="dxa" w:w="3735"/>
          </w:tcPr>
          <w:p>
            <w:pPr>
              <w:spacing w:after="20" w:before="0"/>
            </w:pPr>
            <w:r/>
            <w:r>
              <w:rPr>
                <w:rFonts w:ascii="Calibri" w:hAnsi="Calibri"/>
                <w:b w:val="0"/>
                <w:i w:val="0"/>
                <w:color w:val="000000"/>
                <w:sz w:val="19"/>
              </w:rPr>
              <w:t>The index to the whole paper</w:t>
            </w:r>
          </w:p>
        </w:tc>
      </w:tr>
      <w:tr>
        <w:tc>
          <w:tcPr>
            <w:tcW w:type="dxa" w:w="1024"/>
          </w:tcPr>
          <w:p>
            <w:pPr>
              <w:spacing w:after="20" w:before="0"/>
            </w:pPr>
            <w:r/>
            <w:r>
              <w:rPr>
                <w:rFonts w:ascii="Calibri" w:hAnsi="Calibri"/>
                <w:b w:val="0"/>
                <w:i w:val="0"/>
                <w:color w:val="000000"/>
                <w:sz w:val="19"/>
              </w:rPr>
              <w:t>2</w:t>
            </w:r>
          </w:p>
        </w:tc>
        <w:tc>
          <w:tcPr>
            <w:tcW w:type="dxa" w:w="904"/>
          </w:tcPr>
          <w:p>
            <w:pPr>
              <w:spacing w:after="20" w:before="0"/>
            </w:pPr>
            <w:r/>
            <w:r>
              <w:rPr>
                <w:rFonts w:ascii="Calibri" w:hAnsi="Calibri"/>
                <w:b w:val="0"/>
                <w:i w:val="0"/>
                <w:color w:val="000000"/>
                <w:sz w:val="19"/>
              </w:rPr>
              <w:t>4–5</w:t>
            </w:r>
          </w:p>
        </w:tc>
        <w:tc>
          <w:tcPr>
            <w:tcW w:type="dxa" w:w="3976"/>
          </w:tcPr>
          <w:p>
            <w:pPr>
              <w:spacing w:after="20" w:before="0"/>
            </w:pPr>
            <w:r/>
            <w:r>
              <w:rPr>
                <w:rFonts w:ascii="Calibri" w:hAnsi="Calibri"/>
                <w:b w:val="0"/>
                <w:i w:val="0"/>
                <w:color w:val="000000"/>
                <w:sz w:val="19"/>
              </w:rPr>
              <w:t>Getting Connected — business model</w:t>
            </w:r>
          </w:p>
        </w:tc>
        <w:tc>
          <w:tcPr>
            <w:tcW w:type="dxa" w:w="3735"/>
          </w:tcPr>
          <w:p>
            <w:pPr>
              <w:spacing w:after="20" w:before="0"/>
            </w:pPr>
            <w:r/>
            <w:r>
              <w:rPr>
                <w:rFonts w:ascii="Calibri" w:hAnsi="Calibri"/>
                <w:b w:val="0"/>
                <w:i w:val="0"/>
                <w:color w:val="000000"/>
                <w:sz w:val="19"/>
              </w:rPr>
              <w:t>Industry understanding; the revenue discrepancy</w:t>
            </w:r>
          </w:p>
        </w:tc>
      </w:tr>
      <w:tr>
        <w:tc>
          <w:tcPr>
            <w:tcW w:type="dxa" w:w="1024"/>
          </w:tcPr>
          <w:p>
            <w:pPr>
              <w:spacing w:after="20" w:before="0"/>
            </w:pPr>
            <w:r/>
            <w:r>
              <w:rPr>
                <w:rFonts w:ascii="Calibri" w:hAnsi="Calibri"/>
                <w:b w:val="0"/>
                <w:i w:val="0"/>
                <w:color w:val="000000"/>
                <w:sz w:val="19"/>
              </w:rPr>
              <w:t>3</w:t>
            </w:r>
          </w:p>
        </w:tc>
        <w:tc>
          <w:tcPr>
            <w:tcW w:type="dxa" w:w="904"/>
          </w:tcPr>
          <w:p>
            <w:pPr>
              <w:spacing w:after="20" w:before="0"/>
            </w:pPr>
            <w:r/>
            <w:r>
              <w:rPr>
                <w:rFonts w:ascii="Calibri" w:hAnsi="Calibri"/>
                <w:b w:val="0"/>
                <w:i w:val="0"/>
                <w:color w:val="000000"/>
                <w:sz w:val="19"/>
              </w:rPr>
              <w:t>6–9</w:t>
            </w:r>
          </w:p>
        </w:tc>
        <w:tc>
          <w:tcPr>
            <w:tcW w:type="dxa" w:w="3976"/>
          </w:tcPr>
          <w:p>
            <w:pPr>
              <w:spacing w:after="20" w:before="0"/>
            </w:pPr>
            <w:r/>
            <w:r>
              <w:rPr>
                <w:rFonts w:ascii="Calibri" w:hAnsi="Calibri"/>
                <w:b w:val="0"/>
                <w:i w:val="0"/>
                <w:color w:val="000000"/>
                <w:sz w:val="19"/>
              </w:rPr>
              <w:t>Board strategy day — Axion 2030 and the investment framework</w:t>
            </w:r>
          </w:p>
        </w:tc>
        <w:tc>
          <w:tcPr>
            <w:tcW w:type="dxa" w:w="3735"/>
          </w:tcPr>
          <w:p>
            <w:pPr>
              <w:spacing w:after="20" w:before="0"/>
            </w:pPr>
            <w:r/>
            <w:r>
              <w:rPr>
                <w:rFonts w:ascii="Calibri" w:hAnsi="Calibri"/>
                <w:b w:val="0"/>
                <w:i w:val="0"/>
                <w:color w:val="000000"/>
                <w:sz w:val="19"/>
              </w:rPr>
              <w:t>Listing; investment decision; funding</w:t>
            </w:r>
          </w:p>
        </w:tc>
      </w:tr>
      <w:tr>
        <w:tc>
          <w:tcPr>
            <w:tcW w:type="dxa" w:w="1024"/>
          </w:tcPr>
          <w:p>
            <w:pPr>
              <w:spacing w:after="20" w:before="0"/>
            </w:pPr>
            <w:r/>
            <w:r>
              <w:rPr>
                <w:rFonts w:ascii="Calibri" w:hAnsi="Calibri"/>
                <w:b w:val="0"/>
                <w:i w:val="0"/>
                <w:color w:val="000000"/>
                <w:sz w:val="19"/>
              </w:rPr>
              <w:t>4</w:t>
            </w:r>
          </w:p>
        </w:tc>
        <w:tc>
          <w:tcPr>
            <w:tcW w:type="dxa" w:w="904"/>
          </w:tcPr>
          <w:p>
            <w:pPr>
              <w:spacing w:after="20" w:before="0"/>
            </w:pPr>
            <w:r/>
            <w:r>
              <w:rPr>
                <w:rFonts w:ascii="Calibri" w:hAnsi="Calibri"/>
                <w:b w:val="0"/>
                <w:i w:val="0"/>
                <w:color w:val="000000"/>
                <w:sz w:val="19"/>
              </w:rPr>
              <w:t>10–12</w:t>
            </w:r>
          </w:p>
        </w:tc>
        <w:tc>
          <w:tcPr>
            <w:tcW w:type="dxa" w:w="3976"/>
          </w:tcPr>
          <w:p>
            <w:pPr>
              <w:spacing w:after="20" w:before="0"/>
            </w:pPr>
            <w:r/>
            <w:r>
              <w:rPr>
                <w:rFonts w:ascii="Calibri" w:hAnsi="Calibri"/>
                <w:b w:val="0"/>
                <w:i w:val="0"/>
                <w:color w:val="000000"/>
                <w:sz w:val="19"/>
              </w:rPr>
              <w:t>Draft information memorandum — ownership and governance</w:t>
            </w:r>
          </w:p>
        </w:tc>
        <w:tc>
          <w:tcPr>
            <w:tcW w:type="dxa" w:w="3735"/>
          </w:tcPr>
          <w:p>
            <w:pPr>
              <w:spacing w:after="20" w:before="0"/>
            </w:pPr>
            <w:r/>
            <w:r>
              <w:rPr>
                <w:rFonts w:ascii="Calibri" w:hAnsi="Calibri"/>
                <w:b w:val="0"/>
                <w:i w:val="0"/>
                <w:color w:val="000000"/>
                <w:sz w:val="19"/>
              </w:rPr>
              <w:t>Governance and ethics</w:t>
            </w:r>
          </w:p>
        </w:tc>
      </w:tr>
      <w:tr>
        <w:tc>
          <w:tcPr>
            <w:tcW w:type="dxa" w:w="1024"/>
          </w:tcPr>
          <w:p>
            <w:pPr>
              <w:spacing w:after="20" w:before="0"/>
            </w:pPr>
            <w:r/>
            <w:r>
              <w:rPr>
                <w:rFonts w:ascii="Calibri" w:hAnsi="Calibri"/>
                <w:b w:val="0"/>
                <w:i w:val="0"/>
                <w:color w:val="000000"/>
                <w:sz w:val="19"/>
              </w:rPr>
              <w:t>5</w:t>
            </w:r>
          </w:p>
        </w:tc>
        <w:tc>
          <w:tcPr>
            <w:tcW w:type="dxa" w:w="904"/>
          </w:tcPr>
          <w:p>
            <w:pPr>
              <w:spacing w:after="20" w:before="0"/>
            </w:pPr>
            <w:r/>
            <w:r>
              <w:rPr>
                <w:rFonts w:ascii="Calibri" w:hAnsi="Calibri"/>
                <w:b w:val="0"/>
                <w:i w:val="0"/>
                <w:color w:val="000000"/>
                <w:sz w:val="19"/>
              </w:rPr>
              <w:t>13–15</w:t>
            </w:r>
          </w:p>
        </w:tc>
        <w:tc>
          <w:tcPr>
            <w:tcW w:type="dxa" w:w="3976"/>
          </w:tcPr>
          <w:p>
            <w:pPr>
              <w:spacing w:after="20" w:before="0"/>
            </w:pPr>
            <w:r/>
            <w:r>
              <w:rPr>
                <w:rFonts w:ascii="Calibri" w:hAnsi="Calibri"/>
                <w:b w:val="0"/>
                <w:i w:val="0"/>
                <w:color w:val="000000"/>
                <w:sz w:val="19"/>
              </w:rPr>
              <w:t>Business performance pack</w:t>
            </w:r>
          </w:p>
        </w:tc>
        <w:tc>
          <w:tcPr>
            <w:tcW w:type="dxa" w:w="3735"/>
          </w:tcPr>
          <w:p>
            <w:pPr>
              <w:spacing w:after="20" w:before="0"/>
            </w:pPr>
            <w:r/>
            <w:r>
              <w:rPr>
                <w:rFonts w:ascii="Calibri" w:hAnsi="Calibri"/>
                <w:b w:val="0"/>
                <w:i w:val="0"/>
                <w:color w:val="000000"/>
                <w:sz w:val="19"/>
              </w:rPr>
              <w:t>Revenue and leases; undeveloped land; Metroloop</w:t>
            </w:r>
          </w:p>
        </w:tc>
      </w:tr>
      <w:tr>
        <w:tc>
          <w:tcPr>
            <w:tcW w:type="dxa" w:w="1024"/>
          </w:tcPr>
          <w:p>
            <w:pPr>
              <w:spacing w:after="20" w:before="0"/>
            </w:pPr>
            <w:r/>
            <w:r>
              <w:rPr>
                <w:rFonts w:ascii="Calibri" w:hAnsi="Calibri"/>
                <w:b w:val="0"/>
                <w:i w:val="0"/>
                <w:color w:val="000000"/>
                <w:sz w:val="19"/>
              </w:rPr>
              <w:t>6</w:t>
            </w:r>
          </w:p>
        </w:tc>
        <w:tc>
          <w:tcPr>
            <w:tcW w:type="dxa" w:w="904"/>
          </w:tcPr>
          <w:p>
            <w:pPr>
              <w:spacing w:after="20" w:before="0"/>
            </w:pPr>
            <w:r/>
            <w:r>
              <w:rPr>
                <w:rFonts w:ascii="Calibri" w:hAnsi="Calibri"/>
                <w:b w:val="0"/>
                <w:i w:val="0"/>
                <w:color w:val="000000"/>
                <w:sz w:val="19"/>
              </w:rPr>
              <w:t>16–17</w:t>
            </w:r>
          </w:p>
        </w:tc>
        <w:tc>
          <w:tcPr>
            <w:tcW w:type="dxa" w:w="3976"/>
          </w:tcPr>
          <w:p>
            <w:pPr>
              <w:spacing w:after="20" w:before="0"/>
            </w:pPr>
            <w:r/>
            <w:r>
              <w:rPr>
                <w:rFonts w:ascii="Calibri" w:hAnsi="Calibri"/>
                <w:b w:val="0"/>
                <w:i w:val="0"/>
                <w:color w:val="000000"/>
                <w:sz w:val="19"/>
              </w:rPr>
              <w:t>IFRS 18 message plus the JHB4 investment committee extract</w:t>
            </w:r>
          </w:p>
        </w:tc>
        <w:tc>
          <w:tcPr>
            <w:tcW w:type="dxa" w:w="3735"/>
          </w:tcPr>
          <w:p>
            <w:pPr>
              <w:spacing w:after="20" w:before="0"/>
            </w:pPr>
            <w:r/>
            <w:r>
              <w:rPr>
                <w:rFonts w:ascii="Calibri" w:hAnsi="Calibri"/>
                <w:b w:val="0"/>
                <w:i w:val="0"/>
                <w:color w:val="000000"/>
                <w:sz w:val="19"/>
              </w:rPr>
              <w:t>IFRS 18; IAS 23; the JHB4 scorecard</w:t>
            </w:r>
          </w:p>
        </w:tc>
      </w:tr>
      <w:tr>
        <w:tc>
          <w:tcPr>
            <w:tcW w:type="dxa" w:w="1024"/>
          </w:tcPr>
          <w:p>
            <w:pPr>
              <w:spacing w:after="20" w:before="0"/>
            </w:pPr>
            <w:r/>
            <w:r>
              <w:rPr>
                <w:rFonts w:ascii="Calibri" w:hAnsi="Calibri"/>
                <w:b w:val="0"/>
                <w:i w:val="0"/>
                <w:color w:val="000000"/>
                <w:sz w:val="19"/>
              </w:rPr>
              <w:t>7</w:t>
            </w:r>
          </w:p>
        </w:tc>
        <w:tc>
          <w:tcPr>
            <w:tcW w:type="dxa" w:w="904"/>
          </w:tcPr>
          <w:p>
            <w:pPr>
              <w:spacing w:after="20" w:before="0"/>
            </w:pPr>
            <w:r/>
            <w:r>
              <w:rPr>
                <w:rFonts w:ascii="Calibri" w:hAnsi="Calibri"/>
                <w:b w:val="0"/>
                <w:i w:val="0"/>
                <w:color w:val="000000"/>
                <w:sz w:val="19"/>
              </w:rPr>
              <w:t>18–20</w:t>
            </w:r>
          </w:p>
        </w:tc>
        <w:tc>
          <w:tcPr>
            <w:tcW w:type="dxa" w:w="3976"/>
          </w:tcPr>
          <w:p>
            <w:pPr>
              <w:spacing w:after="20" w:before="0"/>
            </w:pPr>
            <w:r/>
            <w:r>
              <w:rPr>
                <w:rFonts w:ascii="Calibri" w:hAnsi="Calibri"/>
                <w:b w:val="0"/>
                <w:i w:val="0"/>
                <w:color w:val="000000"/>
                <w:sz w:val="19"/>
              </w:rPr>
              <w:t>Powering Axion</w:t>
            </w:r>
          </w:p>
        </w:tc>
        <w:tc>
          <w:tcPr>
            <w:tcW w:type="dxa" w:w="3735"/>
          </w:tcPr>
          <w:p>
            <w:pPr>
              <w:spacing w:after="20" w:before="0"/>
            </w:pPr>
            <w:r/>
            <w:r>
              <w:rPr>
                <w:rFonts w:ascii="Calibri" w:hAnsi="Calibri"/>
                <w:b w:val="0"/>
                <w:i w:val="0"/>
                <w:color w:val="000000"/>
                <w:sz w:val="19"/>
              </w:rPr>
              <w:t>Investment options; income tax; controls and the AI pilot</w:t>
            </w:r>
          </w:p>
        </w:tc>
      </w:tr>
    </w:tbl>
    <w:p>
      <w:pPr>
        <w:spacing w:after="40"/>
      </w:pPr>
    </w:p>
    <w:p>
      <w:pPr>
        <w:spacing w:after="100"/>
      </w:pPr>
      <w:r>
        <w:rPr>
          <w:rFonts w:ascii="Calibri" w:hAnsi="Calibri"/>
          <w:b w:val="0"/>
          <w:i w:val="0"/>
          <w:color w:val="000000"/>
          <w:sz w:val="21"/>
        </w:rPr>
        <w:t>The CFO's six-item list in Document 1 is the clearest signposting in the pack: contracted capacity, the undeveloped land, IFRS 18, growth strategy and investment evaluation, tax on investments, and controls over AI tools. Three of the six point at Document 7, so that is the densest document.</w:t>
      </w:r>
    </w:p>
    <w:p>
      <w:pPr>
        <w:pStyle w:val="Heading2"/>
      </w:pPr>
      <w:r/>
      <w:r>
        <w:rPr>
          <w:rFonts w:ascii="Calibri" w:hAnsi="Calibri"/>
          <w:color w:val="000000"/>
        </w:rPr>
        <w:t>The triggers, and which way each one can branch</w:t>
      </w:r>
    </w:p>
    <w:p>
      <w:pPr>
        <w:spacing w:after="100"/>
      </w:pPr>
      <w:r>
        <w:rPr>
          <w:rFonts w:ascii="Calibri" w:hAnsi="Calibri"/>
          <w:b w:val="0"/>
          <w:i w:val="0"/>
          <w:color w:val="000000"/>
          <w:sz w:val="21"/>
        </w:rPr>
        <w:t>For each of these I need to be able to say: if the day tells me X, I do A; if it tells me Y, I do B.</w:t>
      </w:r>
    </w:p>
    <w:p>
      <w:pPr>
        <w:pStyle w:val="Heading3"/>
      </w:pPr>
      <w:r/>
      <w:r>
        <w:rPr>
          <w:rFonts w:ascii="Calibri" w:hAnsi="Calibri"/>
          <w:color w:val="000000"/>
        </w:rPr>
        <w:t>Revenue versus leases (Document 5)</w:t>
      </w:r>
    </w:p>
    <w:p>
      <w:pPr>
        <w:spacing w:after="100"/>
      </w:pPr>
      <w:r>
        <w:rPr>
          <w:rFonts w:ascii="Calibri" w:hAnsi="Calibri"/>
          <w:b/>
          <w:i w:val="0"/>
          <w:color w:val="000000"/>
          <w:sz w:val="21"/>
        </w:rPr>
        <w:t>The branch:</w:t>
      </w:r>
      <w:r>
        <w:rPr>
          <w:rFonts w:ascii="Calibri" w:hAnsi="Calibri"/>
          <w:b w:val="0"/>
          <w:i w:val="0"/>
          <w:color w:val="000000"/>
          <w:sz w:val="21"/>
        </w:rPr>
        <w:t xml:space="preserve"> is there an identified asset?</w:t>
      </w:r>
    </w:p>
    <w:p>
      <w:pPr>
        <w:pStyle w:val="ListBullet"/>
        <w:spacing w:after="60"/>
        <w:ind w:left="425"/>
      </w:pPr>
      <w:r/>
      <w:r>
        <w:rPr>
          <w:rFonts w:ascii="Calibri" w:hAnsi="Calibri"/>
          <w:b w:val="0"/>
          <w:i w:val="0"/>
          <w:color w:val="000000"/>
          <w:sz w:val="21"/>
        </w:rPr>
        <w:t xml:space="preserve">"Dedicated racks, cages or areas" — </w:t>
      </w:r>
      <w:r>
        <w:rPr>
          <w:rFonts w:ascii="Calibri" w:hAnsi="Calibri"/>
          <w:b/>
          <w:i w:val="0"/>
          <w:color w:val="000000"/>
          <w:sz w:val="21"/>
        </w:rPr>
        <w:t>physically distinct</w:t>
      </w:r>
      <w:r>
        <w:rPr>
          <w:rFonts w:ascii="Calibri" w:hAnsi="Calibri"/>
          <w:b w:val="0"/>
          <w:i w:val="0"/>
          <w:color w:val="000000"/>
          <w:sz w:val="21"/>
        </w:rPr>
        <w:t xml:space="preserve"> → identified asset → it contains a </w:t>
      </w:r>
      <w:r>
        <w:rPr>
          <w:rFonts w:ascii="Calibri" w:hAnsi="Calibri"/>
          <w:b/>
          <w:i w:val="0"/>
          <w:color w:val="000000"/>
          <w:sz w:val="21"/>
        </w:rPr>
        <w:t>lease</w:t>
      </w:r>
      <w:r>
        <w:rPr>
          <w:rFonts w:ascii="Calibri" w:hAnsi="Calibri"/>
          <w:b w:val="0"/>
          <w:i w:val="0"/>
          <w:color w:val="000000"/>
          <w:sz w:val="21"/>
        </w:rPr>
        <w:t xml:space="preserve">. Axion is the </w:t>
      </w:r>
      <w:r>
        <w:rPr>
          <w:rFonts w:ascii="Calibri" w:hAnsi="Calibri"/>
          <w:b/>
          <w:i w:val="0"/>
          <w:color w:val="000000"/>
          <w:sz w:val="21"/>
        </w:rPr>
        <w:t>lessor</w:t>
      </w:r>
      <w:r>
        <w:rPr>
          <w:rFonts w:ascii="Calibri" w:hAnsi="Calibri"/>
          <w:b w:val="0"/>
          <w:i w:val="0"/>
          <w:color w:val="000000"/>
          <w:sz w:val="21"/>
        </w:rPr>
        <w:t>.</w:t>
      </w:r>
    </w:p>
    <w:p>
      <w:pPr>
        <w:pStyle w:val="ListBullet"/>
        <w:spacing w:after="60"/>
        <w:ind w:left="425"/>
      </w:pPr>
      <w:r/>
      <w:r>
        <w:rPr>
          <w:rFonts w:ascii="Calibri" w:hAnsi="Calibri"/>
          <w:b w:val="0"/>
          <w:i w:val="0"/>
          <w:color w:val="000000"/>
          <w:sz w:val="21"/>
        </w:rPr>
        <w:t xml:space="preserve">"Access to a contracted amount of power capacity" — a capacity right, </w:t>
      </w:r>
      <w:r>
        <w:rPr>
          <w:rFonts w:ascii="Calibri" w:hAnsi="Calibri"/>
          <w:b/>
          <w:i w:val="0"/>
          <w:color w:val="000000"/>
          <w:sz w:val="21"/>
        </w:rPr>
        <w:t>not</w:t>
      </w:r>
      <w:r>
        <w:rPr>
          <w:rFonts w:ascii="Calibri" w:hAnsi="Calibri"/>
          <w:b w:val="0"/>
          <w:i w:val="0"/>
          <w:color w:val="000000"/>
          <w:sz w:val="21"/>
        </w:rPr>
        <w:t xml:space="preserve"> physically distinct → </w:t>
      </w:r>
      <w:r>
        <w:rPr>
          <w:rFonts w:ascii="Calibri" w:hAnsi="Calibri"/>
          <w:b/>
          <w:i w:val="0"/>
          <w:color w:val="000000"/>
          <w:sz w:val="21"/>
        </w:rPr>
        <w:t>not</w:t>
      </w:r>
      <w:r>
        <w:rPr>
          <w:rFonts w:ascii="Calibri" w:hAnsi="Calibri"/>
          <w:b w:val="0"/>
          <w:i w:val="0"/>
          <w:color w:val="000000"/>
          <w:sz w:val="21"/>
        </w:rPr>
        <w:t xml:space="preserve"> a lease → IFRS 15.</w:t>
      </w:r>
    </w:p>
    <w:p>
      <w:pPr>
        <w:spacing w:after="100"/>
      </w:pPr>
      <w:r>
        <w:rPr>
          <w:rFonts w:ascii="Calibri" w:hAnsi="Calibri"/>
          <w:b w:val="0"/>
          <w:i w:val="0"/>
          <w:color w:val="000000"/>
          <w:sz w:val="21"/>
        </w:rPr>
        <w:t xml:space="preserve">If it is a lease, the chain is: separate the components (IFRS 16.12) → </w:t>
      </w:r>
      <w:r>
        <w:rPr>
          <w:rFonts w:ascii="Calibri" w:hAnsi="Calibri"/>
          <w:b/>
          <w:i w:val="0"/>
          <w:color w:val="000000"/>
          <w:sz w:val="21"/>
        </w:rPr>
        <w:t>I have no practical expedient</w:t>
      </w:r>
      <w:r>
        <w:rPr>
          <w:rFonts w:ascii="Calibri" w:hAnsi="Calibri"/>
          <w:b w:val="0"/>
          <w:i w:val="0"/>
          <w:color w:val="000000"/>
          <w:sz w:val="21"/>
        </w:rPr>
        <w:t xml:space="preserve">, 16.15 is lessee-only so separation is mandatory → allocate per 16.17 using IFRS 15.73–90 relative stand-alone selling prices, estimated under 15.79 because there is no observable price for the space → classify under 16.61–64, which on these facts is an </w:t>
      </w:r>
      <w:r>
        <w:rPr>
          <w:rFonts w:ascii="Calibri" w:hAnsi="Calibri"/>
          <w:b/>
          <w:i w:val="0"/>
          <w:color w:val="000000"/>
          <w:sz w:val="21"/>
        </w:rPr>
        <w:t>operating lease</w:t>
      </w:r>
      <w:r>
        <w:rPr>
          <w:rFonts w:ascii="Calibri" w:hAnsi="Calibri"/>
          <w:b w:val="0"/>
          <w:i w:val="0"/>
          <w:color w:val="000000"/>
          <w:sz w:val="21"/>
        </w:rPr>
        <w:t xml:space="preserve"> (3–5 years against a 20–30 year asset, generic re-lettable cage, no transfer, no bargain option) → recognise income </w:t>
      </w:r>
      <w:r>
        <w:rPr>
          <w:rFonts w:ascii="Calibri" w:hAnsi="Calibri"/>
          <w:b/>
          <w:i w:val="0"/>
          <w:color w:val="000000"/>
          <w:sz w:val="21"/>
        </w:rPr>
        <w:t>straight-line</w:t>
      </w:r>
      <w:r>
        <w:rPr>
          <w:rFonts w:ascii="Calibri" w:hAnsi="Calibri"/>
          <w:b w:val="0"/>
          <w:i w:val="0"/>
          <w:color w:val="000000"/>
          <w:sz w:val="21"/>
        </w:rPr>
        <w:t>, which matters the moment they give me escalating payments.</w:t>
      </w:r>
    </w:p>
    <w:p>
      <w:pPr>
        <w:spacing w:after="100"/>
      </w:pPr>
      <w:r>
        <w:rPr>
          <w:rFonts w:ascii="Calibri" w:hAnsi="Calibri"/>
          <w:b w:val="0"/>
          <w:i w:val="0"/>
          <w:color w:val="000000"/>
          <w:sz w:val="21"/>
        </w:rPr>
        <w:t xml:space="preserve">Axion's access rules, safety requirements and monitoring are </w:t>
      </w:r>
      <w:r>
        <w:rPr>
          <w:rFonts w:ascii="Calibri" w:hAnsi="Calibri"/>
          <w:b/>
          <w:i w:val="0"/>
          <w:color w:val="000000"/>
          <w:sz w:val="21"/>
        </w:rPr>
        <w:t>protective rights</w:t>
      </w:r>
      <w:r>
        <w:rPr>
          <w:rFonts w:ascii="Calibri" w:hAnsi="Calibri"/>
          <w:b w:val="0"/>
          <w:i w:val="0"/>
          <w:color w:val="000000"/>
          <w:sz w:val="21"/>
        </w:rPr>
        <w:t>. They do not stop the customer directing the use. Say that expressly.</w:t>
      </w:r>
    </w:p>
    <w:p>
      <w:pPr>
        <w:spacing w:after="100"/>
      </w:pPr>
      <w:r>
        <w:rPr>
          <w:rFonts w:ascii="Calibri" w:hAnsi="Calibri"/>
          <w:b w:val="0"/>
          <w:i w:val="0"/>
          <w:color w:val="000000"/>
          <w:sz w:val="21"/>
        </w:rPr>
        <w:t>If it is IFRS 15, the three judgements they are really after are:</w:t>
      </w:r>
    </w:p>
    <w:p>
      <w:pPr>
        <w:pStyle w:val="ListBullet"/>
        <w:spacing w:after="60"/>
        <w:ind w:left="425"/>
      </w:pPr>
      <w:r/>
      <w:r>
        <w:rPr>
          <w:rFonts w:ascii="Calibri" w:hAnsi="Calibri"/>
          <w:b/>
          <w:i w:val="0"/>
          <w:color w:val="000000"/>
          <w:sz w:val="21"/>
        </w:rPr>
        <w:t>Stand-ready obligation</w:t>
      </w:r>
      <w:r>
        <w:rPr>
          <w:rFonts w:ascii="Calibri" w:hAnsi="Calibri"/>
          <w:b w:val="0"/>
          <w:i w:val="0"/>
          <w:color w:val="000000"/>
          <w:sz w:val="21"/>
        </w:rPr>
        <w:t xml:space="preserve"> on the 5 MW gap — revenue as capacity is made available, not as electricity is used.</w:t>
      </w:r>
    </w:p>
    <w:p>
      <w:pPr>
        <w:pStyle w:val="ListBullet"/>
        <w:spacing w:after="60"/>
        <w:ind w:left="425"/>
      </w:pPr>
      <w:r/>
      <w:r>
        <w:rPr>
          <w:rFonts w:ascii="Calibri" w:hAnsi="Calibri"/>
          <w:b/>
          <w:i w:val="0"/>
          <w:color w:val="000000"/>
          <w:sz w:val="21"/>
        </w:rPr>
        <w:t>Principal or agent</w:t>
      </w:r>
      <w:r>
        <w:rPr>
          <w:rFonts w:ascii="Calibri" w:hAnsi="Calibri"/>
          <w:b w:val="0"/>
          <w:i w:val="0"/>
          <w:color w:val="000000"/>
          <w:sz w:val="21"/>
        </w:rPr>
        <w:t xml:space="preserve"> on the power recharge — does Axion control the electricity before transfer? Separately metered, recovered per contract, plus a cooling contribution leans </w:t>
      </w:r>
      <w:r>
        <w:rPr>
          <w:rFonts w:ascii="Calibri" w:hAnsi="Calibri"/>
          <w:b/>
          <w:i w:val="0"/>
          <w:color w:val="000000"/>
          <w:sz w:val="21"/>
        </w:rPr>
        <w:t>principal (gross)</w:t>
      </w:r>
      <w:r>
        <w:rPr>
          <w:rFonts w:ascii="Calibri" w:hAnsi="Calibri"/>
          <w:b w:val="0"/>
          <w:i w:val="0"/>
          <w:color w:val="000000"/>
          <w:sz w:val="21"/>
        </w:rPr>
        <w:t>, but argue both and conclude.</w:t>
      </w:r>
    </w:p>
    <w:p>
      <w:pPr>
        <w:pStyle w:val="ListBullet"/>
        <w:spacing w:after="60"/>
        <w:ind w:left="425"/>
      </w:pPr>
      <w:r/>
      <w:r>
        <w:rPr>
          <w:rFonts w:ascii="Calibri" w:hAnsi="Calibri"/>
          <w:b/>
          <w:i w:val="0"/>
          <w:color w:val="000000"/>
          <w:sz w:val="21"/>
        </w:rPr>
        <w:t>Enforceable term</w:t>
      </w:r>
      <w:r>
        <w:rPr>
          <w:rFonts w:ascii="Calibri" w:hAnsi="Calibri"/>
          <w:b w:val="0"/>
          <w:i w:val="0"/>
          <w:color w:val="000000"/>
          <w:sz w:val="21"/>
        </w:rPr>
        <w:t xml:space="preserve"> — a contract cancellable without penalty may have a far shorter enforceable term than its stated length.</w:t>
      </w:r>
    </w:p>
    <w:p>
      <w:pPr>
        <w:pStyle w:val="Heading3"/>
      </w:pPr>
      <w:r/>
      <w:r>
        <w:rPr>
          <w:rFonts w:ascii="Calibri" w:hAnsi="Calibri"/>
          <w:color w:val="000000"/>
        </w:rPr>
        <w:t>The undeveloped land (Document 5)</w:t>
      </w:r>
    </w:p>
    <w:p>
      <w:pPr>
        <w:spacing w:after="100"/>
      </w:pPr>
      <w:r>
        <w:rPr>
          <w:rFonts w:ascii="Calibri" w:hAnsi="Calibri"/>
          <w:b/>
          <w:i w:val="0"/>
          <w:color w:val="000000"/>
          <w:sz w:val="21"/>
        </w:rPr>
        <w:t>Default on the pre-release facts: IAS 40 investment property.</w:t>
      </w:r>
      <w:r>
        <w:rPr>
          <w:rFonts w:ascii="Calibri" w:hAnsi="Calibri"/>
          <w:b w:val="0"/>
          <w:i w:val="0"/>
          <w:color w:val="000000"/>
          <w:sz w:val="21"/>
        </w:rPr>
        <w:t xml:space="preserve"> IAS 40.8(b) expressly covers land held for a </w:t>
      </w:r>
      <w:r>
        <w:rPr>
          <w:rFonts w:ascii="Calibri" w:hAnsi="Calibri"/>
          <w:b/>
          <w:i w:val="0"/>
          <w:color w:val="000000"/>
          <w:sz w:val="21"/>
        </w:rPr>
        <w:t>currently undetermined future use</w:t>
      </w:r>
      <w:r>
        <w:rPr>
          <w:rFonts w:ascii="Calibri" w:hAnsi="Calibri"/>
          <w:b w:val="0"/>
          <w:i w:val="0"/>
          <w:color w:val="000000"/>
          <w:sz w:val="21"/>
        </w:rPr>
        <w:t xml:space="preserve"> — that is almost the exact pre-release wording. If it is currently sitting in PPE it is misclassified; reclassify, and consider whether that is a prior period error under IAS 8.</w:t>
      </w:r>
    </w:p>
    <w:tbl>
      <w:tblPr>
        <w:tblStyle w:val="TableGrid"/>
        <w:tblW w:type="auto" w:w="0"/>
        <w:tblLayout w:type="fixed"/>
        <w:tblLook w:firstColumn="1" w:firstRow="1" w:lastColumn="0" w:lastRow="0" w:noHBand="0" w:noVBand="1" w:val="04A0"/>
        <w:tblLayout w:type="fixed"/>
        <w:tblW w:w="5000" w:type="pct"/>
      </w:tblPr>
      <w:tblGrid>
        <w:gridCol w:w="2608"/>
        <w:gridCol w:w="1928"/>
        <w:gridCol w:w="5102"/>
      </w:tblGrid>
      <w:tr>
        <w:tc>
          <w:tcPr>
            <w:tcW w:type="dxa" w:w="2608"/>
            <w:shd w:val="clear" w:fill="F2F2F2"/>
          </w:tcPr>
          <w:p>
            <w:pPr>
              <w:spacing w:after="20"/>
            </w:pPr>
            <w:r/>
            <w:r>
              <w:rPr>
                <w:rFonts w:ascii="Calibri" w:hAnsi="Calibri"/>
                <w:b/>
                <w:color w:val="000000"/>
                <w:sz w:val="19"/>
              </w:rPr>
              <w:t>If the day says…</w:t>
            </w:r>
          </w:p>
        </w:tc>
        <w:tc>
          <w:tcPr>
            <w:tcW w:type="dxa" w:w="1928"/>
            <w:shd w:val="clear" w:fill="F2F2F2"/>
          </w:tcPr>
          <w:p>
            <w:pPr>
              <w:spacing w:after="20"/>
            </w:pPr>
            <w:r/>
            <w:r>
              <w:rPr>
                <w:rFonts w:ascii="Calibri" w:hAnsi="Calibri"/>
                <w:b/>
                <w:color w:val="000000"/>
                <w:sz w:val="19"/>
              </w:rPr>
              <w:t>Then</w:t>
            </w:r>
          </w:p>
        </w:tc>
        <w:tc>
          <w:tcPr>
            <w:tcW w:type="dxa" w:w="5102"/>
            <w:shd w:val="clear" w:fill="F2F2F2"/>
          </w:tcPr>
          <w:p>
            <w:pPr>
              <w:spacing w:after="20"/>
            </w:pPr>
            <w:r/>
            <w:r>
              <w:rPr>
                <w:rFonts w:ascii="Calibri" w:hAnsi="Calibri"/>
                <w:b/>
                <w:color w:val="000000"/>
                <w:sz w:val="19"/>
              </w:rPr>
              <w:t>Note</w:t>
            </w:r>
          </w:p>
        </w:tc>
      </w:tr>
      <w:tr>
        <w:tc>
          <w:tcPr>
            <w:tcW w:type="dxa" w:w="2608"/>
          </w:tcPr>
          <w:p>
            <w:pPr>
              <w:spacing w:after="20" w:before="0"/>
            </w:pPr>
            <w:r/>
            <w:r>
              <w:rPr>
                <w:rFonts w:ascii="Calibri" w:hAnsi="Calibri"/>
                <w:b w:val="0"/>
                <w:i w:val="0"/>
                <w:color w:val="000000"/>
                <w:sz w:val="19"/>
              </w:rPr>
              <w:t>Plans still undetermined</w:t>
            </w:r>
          </w:p>
        </w:tc>
        <w:tc>
          <w:tcPr>
            <w:tcW w:type="dxa" w:w="1928"/>
          </w:tcPr>
          <w:p>
            <w:pPr>
              <w:spacing w:after="20" w:before="0"/>
            </w:pPr>
            <w:r/>
            <w:r>
              <w:rPr>
                <w:rFonts w:ascii="Calibri" w:hAnsi="Calibri"/>
                <w:b w:val="0"/>
                <w:i w:val="0"/>
                <w:color w:val="000000"/>
                <w:sz w:val="19"/>
              </w:rPr>
              <w:t>IAS 40 investment property</w:t>
            </w:r>
          </w:p>
        </w:tc>
        <w:tc>
          <w:tcPr>
            <w:tcW w:type="dxa" w:w="5102"/>
          </w:tcPr>
          <w:p>
            <w:pPr>
              <w:spacing w:after="20" w:before="0"/>
            </w:pPr>
            <w:r/>
            <w:r>
              <w:rPr>
                <w:rFonts w:ascii="Calibri" w:hAnsi="Calibri"/>
                <w:b w:val="0"/>
                <w:i w:val="0"/>
                <w:color w:val="000000"/>
                <w:sz w:val="19"/>
              </w:rPr>
              <w:t>The pre-release position</w:t>
            </w:r>
          </w:p>
        </w:tc>
      </w:tr>
      <w:tr>
        <w:tc>
          <w:tcPr>
            <w:tcW w:type="dxa" w:w="2608"/>
          </w:tcPr>
          <w:p>
            <w:pPr>
              <w:spacing w:after="20" w:before="0"/>
            </w:pPr>
            <w:r/>
            <w:r>
              <w:rPr>
                <w:rFonts w:ascii="Calibri" w:hAnsi="Calibri"/>
                <w:b w:val="0"/>
                <w:i w:val="0"/>
                <w:color w:val="000000"/>
                <w:sz w:val="19"/>
              </w:rPr>
              <w:t>Board commits it to Axion 2030 for own use</w:t>
            </w:r>
          </w:p>
        </w:tc>
        <w:tc>
          <w:tcPr>
            <w:tcW w:type="dxa" w:w="1928"/>
          </w:tcPr>
          <w:p>
            <w:pPr>
              <w:spacing w:after="20" w:before="0"/>
            </w:pPr>
            <w:r/>
            <w:r>
              <w:rPr>
                <w:rFonts w:ascii="Calibri" w:hAnsi="Calibri"/>
                <w:b w:val="0"/>
                <w:i w:val="0"/>
                <w:color w:val="000000"/>
                <w:sz w:val="19"/>
              </w:rPr>
              <w:t>IAS 16 PPE</w:t>
            </w:r>
          </w:p>
        </w:tc>
        <w:tc>
          <w:tcPr>
            <w:tcW w:type="dxa" w:w="5102"/>
          </w:tcPr>
          <w:p>
            <w:pPr>
              <w:spacing w:after="20" w:before="0"/>
            </w:pPr>
            <w:r/>
            <w:r>
              <w:rPr>
                <w:rFonts w:ascii="Calibri" w:hAnsi="Calibri"/>
                <w:b w:val="0"/>
                <w:i w:val="0"/>
                <w:color w:val="000000"/>
                <w:sz w:val="19"/>
              </w:rPr>
              <w:t>IAS 40.9(c) excludes property held for future owner-occupation. Land is not depreciated</w:t>
            </w:r>
          </w:p>
        </w:tc>
      </w:tr>
      <w:tr>
        <w:tc>
          <w:tcPr>
            <w:tcW w:type="dxa" w:w="2608"/>
          </w:tcPr>
          <w:p>
            <w:pPr>
              <w:spacing w:after="20" w:before="0"/>
            </w:pPr>
            <w:r/>
            <w:r>
              <w:rPr>
                <w:rFonts w:ascii="Calibri" w:hAnsi="Calibri"/>
                <w:b w:val="0"/>
                <w:i w:val="0"/>
                <w:color w:val="000000"/>
                <w:sz w:val="19"/>
              </w:rPr>
              <w:t>Board resolves to develop and sell</w:t>
            </w:r>
          </w:p>
        </w:tc>
        <w:tc>
          <w:tcPr>
            <w:tcW w:type="dxa" w:w="1928"/>
          </w:tcPr>
          <w:p>
            <w:pPr>
              <w:spacing w:after="20" w:before="0"/>
            </w:pPr>
            <w:r/>
            <w:r>
              <w:rPr>
                <w:rFonts w:ascii="Calibri" w:hAnsi="Calibri"/>
                <w:b w:val="0"/>
                <w:i w:val="0"/>
                <w:color w:val="000000"/>
                <w:sz w:val="19"/>
              </w:rPr>
              <w:t>IAS 2 inventories</w:t>
            </w:r>
          </w:p>
        </w:tc>
        <w:tc>
          <w:tcPr>
            <w:tcW w:type="dxa" w:w="5102"/>
          </w:tcPr>
          <w:p>
            <w:pPr>
              <w:spacing w:after="20" w:before="0"/>
            </w:pPr>
            <w:r/>
            <w:r>
              <w:rPr>
                <w:rFonts w:ascii="Calibri" w:hAnsi="Calibri"/>
                <w:b w:val="0"/>
                <w:i w:val="0"/>
                <w:color w:val="000000"/>
                <w:sz w:val="19"/>
              </w:rPr>
              <w:t>IAS 40.57(b), on commencement of development with a view to sale</w:t>
            </w:r>
          </w:p>
        </w:tc>
      </w:tr>
      <w:tr>
        <w:tc>
          <w:tcPr>
            <w:tcW w:type="dxa" w:w="2608"/>
          </w:tcPr>
          <w:p>
            <w:pPr>
              <w:spacing w:after="20" w:before="0"/>
            </w:pPr>
            <w:r/>
            <w:r>
              <w:rPr>
                <w:rFonts w:ascii="Calibri" w:hAnsi="Calibri"/>
                <w:b w:val="0"/>
                <w:i w:val="0"/>
                <w:color w:val="000000"/>
                <w:sz w:val="19"/>
              </w:rPr>
              <w:t>Board resolves to sell as it stands</w:t>
            </w:r>
          </w:p>
        </w:tc>
        <w:tc>
          <w:tcPr>
            <w:tcW w:type="dxa" w:w="1928"/>
          </w:tcPr>
          <w:p>
            <w:pPr>
              <w:spacing w:after="20" w:before="0"/>
            </w:pPr>
            <w:r/>
            <w:r>
              <w:rPr>
                <w:rFonts w:ascii="Calibri" w:hAnsi="Calibri"/>
                <w:b w:val="0"/>
                <w:i w:val="0"/>
                <w:color w:val="000000"/>
                <w:sz w:val="19"/>
              </w:rPr>
              <w:t>IFRS 5</w:t>
            </w:r>
          </w:p>
        </w:tc>
        <w:tc>
          <w:tcPr>
            <w:tcW w:type="dxa" w:w="5102"/>
          </w:tcPr>
          <w:p>
            <w:pPr>
              <w:spacing w:after="20" w:before="0"/>
            </w:pPr>
            <w:r/>
            <w:r>
              <w:rPr>
                <w:rFonts w:ascii="Calibri" w:hAnsi="Calibri"/>
                <w:b w:val="0"/>
                <w:i w:val="0"/>
                <w:color w:val="000000"/>
                <w:sz w:val="19"/>
              </w:rPr>
              <w:t>Only if all the criteria are met. Investment property at fair value keeps IAS 40 measurement</w:t>
            </w:r>
          </w:p>
        </w:tc>
      </w:tr>
      <w:tr>
        <w:tc>
          <w:tcPr>
            <w:tcW w:type="dxa" w:w="2608"/>
          </w:tcPr>
          <w:p>
            <w:pPr>
              <w:spacing w:after="20" w:before="0"/>
            </w:pPr>
            <w:r/>
            <w:r>
              <w:rPr>
                <w:rFonts w:ascii="Calibri" w:hAnsi="Calibri"/>
                <w:b w:val="0"/>
                <w:i w:val="0"/>
                <w:color w:val="000000"/>
                <w:sz w:val="19"/>
              </w:rPr>
              <w:t>Impairment indicators</w:t>
            </w:r>
          </w:p>
        </w:tc>
        <w:tc>
          <w:tcPr>
            <w:tcW w:type="dxa" w:w="1928"/>
          </w:tcPr>
          <w:p>
            <w:pPr>
              <w:spacing w:after="20" w:before="0"/>
            </w:pPr>
            <w:r/>
            <w:r>
              <w:rPr>
                <w:rFonts w:ascii="Calibri" w:hAnsi="Calibri"/>
                <w:b w:val="0"/>
                <w:i w:val="0"/>
                <w:color w:val="000000"/>
                <w:sz w:val="19"/>
              </w:rPr>
              <w:t>IAS 36</w:t>
            </w:r>
          </w:p>
        </w:tc>
        <w:tc>
          <w:tcPr>
            <w:tcW w:type="dxa" w:w="5102"/>
          </w:tcPr>
          <w:p>
            <w:pPr>
              <w:spacing w:after="20" w:before="0"/>
            </w:pPr>
            <w:r/>
            <w:r>
              <w:rPr>
                <w:rFonts w:ascii="Calibri" w:hAnsi="Calibri"/>
                <w:b w:val="0"/>
                <w:i w:val="0"/>
                <w:color w:val="000000"/>
                <w:sz w:val="19"/>
              </w:rPr>
              <w:t>Only on the cost model — fair value property is already remeasured</w:t>
            </w:r>
          </w:p>
        </w:tc>
      </w:tr>
    </w:tbl>
    <w:p>
      <w:pPr>
        <w:spacing w:after="40"/>
      </w:pPr>
    </w:p>
    <w:p>
      <w:pPr>
        <w:spacing w:after="100"/>
      </w:pPr>
      <w:r>
        <w:rPr>
          <w:rFonts w:ascii="Calibri" w:hAnsi="Calibri"/>
          <w:b w:val="0"/>
          <w:i w:val="0"/>
          <w:color w:val="000000"/>
          <w:sz w:val="21"/>
        </w:rPr>
        <w:t xml:space="preserve">Measurement points to remember: fair value movements go to </w:t>
      </w:r>
      <w:r>
        <w:rPr>
          <w:rFonts w:ascii="Calibri" w:hAnsi="Calibri"/>
          <w:b/>
          <w:i w:val="0"/>
          <w:color w:val="000000"/>
          <w:sz w:val="21"/>
        </w:rPr>
        <w:t>profit or loss</w:t>
      </w:r>
      <w:r>
        <w:rPr>
          <w:rFonts w:ascii="Calibri" w:hAnsi="Calibri"/>
          <w:b w:val="0"/>
          <w:i w:val="0"/>
          <w:color w:val="000000"/>
          <w:sz w:val="21"/>
        </w:rPr>
        <w:t xml:space="preserve">, not OCI. Transfers under the cost model are at carrying amount with no gain. Under the fair value model, PPE → investment property is a </w:t>
      </w:r>
      <w:r>
        <w:rPr>
          <w:rFonts w:ascii="Calibri" w:hAnsi="Calibri"/>
          <w:b/>
          <w:i w:val="0"/>
          <w:color w:val="000000"/>
          <w:sz w:val="21"/>
        </w:rPr>
        <w:t>revaluation under IAS 16</w:t>
      </w:r>
      <w:r>
        <w:rPr>
          <w:rFonts w:ascii="Calibri" w:hAnsi="Calibri"/>
          <w:b w:val="0"/>
          <w:i w:val="0"/>
          <w:color w:val="000000"/>
          <w:sz w:val="21"/>
        </w:rPr>
        <w:t xml:space="preserve"> (surplus to OCI, deficit to P&amp;L), while investment property → PPE or inventories uses fair value at the date of change as deemed cost. Deferred tax under IAS 12.51C: rebuttable presumption of recovery through </w:t>
      </w:r>
      <w:r>
        <w:rPr>
          <w:rFonts w:ascii="Calibri" w:hAnsi="Calibri"/>
          <w:b/>
          <w:i w:val="0"/>
          <w:color w:val="000000"/>
          <w:sz w:val="21"/>
        </w:rPr>
        <w:t>sale</w:t>
      </w:r>
      <w:r>
        <w:rPr>
          <w:rFonts w:ascii="Calibri" w:hAnsi="Calibri"/>
          <w:b w:val="0"/>
          <w:i w:val="0"/>
          <w:color w:val="000000"/>
          <w:sz w:val="21"/>
        </w:rPr>
        <w:t>, which for land means the CGT rate of 21.6%, not 27%. Land never gets a capital allowance — base cost only.</w:t>
      </w:r>
    </w:p>
    <w:p>
      <w:pPr>
        <w:pStyle w:val="Heading3"/>
      </w:pPr>
      <w:r/>
      <w:r>
        <w:rPr>
          <w:rFonts w:ascii="Calibri" w:hAnsi="Calibri"/>
          <w:color w:val="000000"/>
        </w:rPr>
        <w:t>IFRS 18 (Document 6)</w:t>
      </w:r>
    </w:p>
    <w:p>
      <w:pPr>
        <w:spacing w:after="100"/>
      </w:pPr>
      <w:r>
        <w:rPr>
          <w:rFonts w:ascii="Calibri" w:hAnsi="Calibri"/>
          <w:b w:val="0"/>
          <w:i w:val="0"/>
          <w:color w:val="000000"/>
          <w:sz w:val="21"/>
        </w:rPr>
        <w:t xml:space="preserve">Replaces IAS 1, effective for periods beginning on or after 1 January 2027. Axion is </w:t>
      </w:r>
      <w:r>
        <w:rPr>
          <w:rFonts w:ascii="Calibri" w:hAnsi="Calibri"/>
          <w:b/>
          <w:i w:val="0"/>
          <w:color w:val="000000"/>
          <w:sz w:val="21"/>
        </w:rPr>
        <w:t>not adopting it yet</w:t>
      </w:r>
      <w:r>
        <w:rPr>
          <w:rFonts w:ascii="Calibri" w:hAnsi="Calibri"/>
          <w:b w:val="0"/>
          <w:i w:val="0"/>
          <w:color w:val="000000"/>
          <w:sz w:val="21"/>
        </w:rPr>
        <w:t xml:space="preserve"> — this is an impact assessment. It changes </w:t>
      </w:r>
      <w:r>
        <w:rPr>
          <w:rFonts w:ascii="Calibri" w:hAnsi="Calibri"/>
          <w:b/>
          <w:i w:val="0"/>
          <w:color w:val="000000"/>
          <w:sz w:val="21"/>
        </w:rPr>
        <w:t>presentation and disclosure only</w:t>
      </w:r>
      <w:r>
        <w:rPr>
          <w:rFonts w:ascii="Calibri" w:hAnsi="Calibri"/>
          <w:b w:val="0"/>
          <w:i w:val="0"/>
          <w:color w:val="000000"/>
          <w:sz w:val="21"/>
        </w:rPr>
        <w:t>. Profit for the year does not change. If my answer says profit changes, it is wrong.</w:t>
      </w:r>
    </w:p>
    <w:p>
      <w:pPr>
        <w:pStyle w:val="ListBullet"/>
        <w:spacing w:after="60"/>
        <w:ind w:left="425"/>
      </w:pPr>
      <w:r/>
      <w:r>
        <w:rPr>
          <w:rFonts w:ascii="Calibri" w:hAnsi="Calibri"/>
          <w:b/>
          <w:i w:val="0"/>
          <w:color w:val="000000"/>
          <w:sz w:val="21"/>
        </w:rPr>
        <w:t>Five categories:</w:t>
      </w:r>
      <w:r>
        <w:rPr>
          <w:rFonts w:ascii="Calibri" w:hAnsi="Calibri"/>
          <w:b w:val="0"/>
          <w:i w:val="0"/>
          <w:color w:val="000000"/>
          <w:sz w:val="21"/>
        </w:rPr>
        <w:t xml:space="preserve"> operating (the residual — never ask "is this operating", ask "is it investing, financing, tax or discontinued"), investing, financing, income taxes, discontinued operations.</w:t>
      </w:r>
    </w:p>
    <w:p>
      <w:pPr>
        <w:pStyle w:val="ListBullet"/>
        <w:spacing w:after="60"/>
        <w:ind w:left="425"/>
      </w:pPr>
      <w:r/>
      <w:r>
        <w:rPr>
          <w:rFonts w:ascii="Calibri" w:hAnsi="Calibri"/>
          <w:b/>
          <w:i w:val="0"/>
          <w:color w:val="000000"/>
          <w:sz w:val="21"/>
        </w:rPr>
        <w:t>Two required subtotals:</w:t>
      </w:r>
      <w:r>
        <w:rPr>
          <w:rFonts w:ascii="Calibri" w:hAnsi="Calibri"/>
          <w:b w:val="0"/>
          <w:i w:val="0"/>
          <w:color w:val="000000"/>
          <w:sz w:val="21"/>
        </w:rPr>
        <w:t xml:space="preserve"> operating profit, and profit before financing and income taxes. Both mandatory for Axion.</w:t>
      </w:r>
    </w:p>
    <w:p>
      <w:pPr>
        <w:pStyle w:val="ListBullet"/>
        <w:spacing w:after="60"/>
        <w:ind w:left="425"/>
      </w:pPr>
      <w:r/>
      <w:r>
        <w:rPr>
          <w:rFonts w:ascii="Calibri" w:hAnsi="Calibri"/>
          <w:b/>
          <w:i w:val="0"/>
          <w:color w:val="000000"/>
          <w:sz w:val="21"/>
        </w:rPr>
        <w:t>Does Axion have a specified main business activity?</w:t>
      </w:r>
      <w:r>
        <w:rPr>
          <w:rFonts w:ascii="Calibri" w:hAnsi="Calibri"/>
          <w:b w:val="0"/>
          <w:i w:val="0"/>
          <w:color w:val="000000"/>
          <w:sz w:val="21"/>
        </w:rPr>
        <w:t xml:space="preserve"> Only two exist — investing in assets, and providing financing to customers. Axion has </w:t>
      </w:r>
      <w:r>
        <w:rPr>
          <w:rFonts w:ascii="Calibri" w:hAnsi="Calibri"/>
          <w:b/>
          <w:i w:val="0"/>
          <w:color w:val="000000"/>
          <w:sz w:val="21"/>
        </w:rPr>
        <w:t>neither</w:t>
      </w:r>
      <w:r>
        <w:rPr>
          <w:rFonts w:ascii="Calibri" w:hAnsi="Calibri"/>
          <w:b w:val="0"/>
          <w:i w:val="0"/>
          <w:color w:val="000000"/>
          <w:sz w:val="21"/>
        </w:rPr>
        <w:t>. Document 5 says expressly it does not provide financing to customers, and its assets deliver a service rather than generating returns independently. So standard classification applies.</w:t>
      </w:r>
    </w:p>
    <w:p>
      <w:pPr>
        <w:pStyle w:val="ListBullet"/>
        <w:spacing w:after="60"/>
        <w:ind w:left="425"/>
      </w:pPr>
      <w:r/>
      <w:r>
        <w:rPr>
          <w:rFonts w:ascii="Calibri" w:hAnsi="Calibri"/>
          <w:b/>
          <w:i w:val="0"/>
          <w:color w:val="000000"/>
          <w:sz w:val="21"/>
        </w:rPr>
        <w:t>MPM test, in order:</w:t>
      </w:r>
      <w:r>
        <w:rPr>
          <w:rFonts w:ascii="Calibri" w:hAnsi="Calibri"/>
          <w:b w:val="0"/>
          <w:i w:val="0"/>
          <w:color w:val="000000"/>
          <w:sz w:val="21"/>
        </w:rPr>
        <w:t xml:space="preserve"> (1) is it a subtotal of </w:t>
      </w:r>
      <w:r>
        <w:rPr>
          <w:rFonts w:ascii="Calibri" w:hAnsi="Calibri"/>
          <w:b/>
          <w:i w:val="0"/>
          <w:color w:val="000000"/>
          <w:sz w:val="21"/>
        </w:rPr>
        <w:t>income and expenses</w:t>
      </w:r>
      <w:r>
        <w:rPr>
          <w:rFonts w:ascii="Calibri" w:hAnsi="Calibri"/>
          <w:b w:val="0"/>
          <w:i w:val="0"/>
          <w:color w:val="000000"/>
          <w:sz w:val="21"/>
        </w:rPr>
        <w:t xml:space="preserve">? A ratio, a per-unit measure or a volume fails immediately — so capital cost per MW, revenue per MW, capacity delivered and safety incidents are all out. (2) Used in </w:t>
      </w:r>
      <w:r>
        <w:rPr>
          <w:rFonts w:ascii="Calibri" w:hAnsi="Calibri"/>
          <w:b/>
          <w:i w:val="0"/>
          <w:color w:val="000000"/>
          <w:sz w:val="21"/>
        </w:rPr>
        <w:t>public communications</w:t>
      </w:r>
      <w:r>
        <w:rPr>
          <w:rFonts w:ascii="Calibri" w:hAnsi="Calibri"/>
          <w:b w:val="0"/>
          <w:i w:val="0"/>
          <w:color w:val="000000"/>
          <w:sz w:val="21"/>
        </w:rPr>
        <w:t xml:space="preserve">? (3) About the </w:t>
      </w:r>
      <w:r>
        <w:rPr>
          <w:rFonts w:ascii="Calibri" w:hAnsi="Calibri"/>
          <w:b/>
          <w:i w:val="0"/>
          <w:color w:val="000000"/>
          <w:sz w:val="21"/>
        </w:rPr>
        <w:t>entity as a whole</w:t>
      </w:r>
      <w:r>
        <w:rPr>
          <w:rFonts w:ascii="Calibri" w:hAnsi="Calibri"/>
          <w:b w:val="0"/>
          <w:i w:val="0"/>
          <w:color w:val="000000"/>
          <w:sz w:val="21"/>
        </w:rPr>
        <w:t>, and not listed in paragraph 118?</w:t>
      </w:r>
    </w:p>
    <w:p>
      <w:pPr>
        <w:pStyle w:val="ListBullet"/>
        <w:spacing w:after="60"/>
        <w:ind w:left="425"/>
      </w:pPr>
      <w:r/>
      <w:r>
        <w:rPr>
          <w:rFonts w:ascii="Calibri" w:hAnsi="Calibri"/>
          <w:b/>
          <w:i w:val="0"/>
          <w:color w:val="000000"/>
          <w:sz w:val="21"/>
        </w:rPr>
        <w:t>Net interest not capitalised</w:t>
      </w:r>
      <w:r>
        <w:rPr>
          <w:rFonts w:ascii="Calibri" w:hAnsi="Calibri"/>
          <w:b w:val="0"/>
          <w:i w:val="0"/>
          <w:color w:val="000000"/>
          <w:sz w:val="21"/>
        </w:rPr>
        <w:t xml:space="preserve"> is </w:t>
      </w:r>
      <w:r>
        <w:rPr>
          <w:rFonts w:ascii="Calibri" w:hAnsi="Calibri"/>
          <w:b/>
          <w:i w:val="0"/>
          <w:color w:val="000000"/>
          <w:sz w:val="21"/>
        </w:rPr>
        <w:t>not</w:t>
      </w:r>
      <w:r>
        <w:rPr>
          <w:rFonts w:ascii="Calibri" w:hAnsi="Calibri"/>
          <w:b w:val="0"/>
          <w:i w:val="0"/>
          <w:color w:val="000000"/>
          <w:sz w:val="21"/>
        </w:rPr>
        <w:t xml:space="preserve"> an MPM on two independent grounds — not used externally, and project-specific rather than entity-wide. Give both.</w:t>
      </w:r>
    </w:p>
    <w:p>
      <w:pPr>
        <w:pStyle w:val="ListBullet"/>
        <w:spacing w:after="60"/>
        <w:ind w:left="425"/>
      </w:pPr>
      <w:r/>
      <w:r>
        <w:rPr>
          <w:rFonts w:ascii="Calibri" w:hAnsi="Calibri"/>
          <w:b/>
          <w:i w:val="0"/>
          <w:color w:val="000000"/>
          <w:sz w:val="21"/>
        </w:rPr>
        <w:t>EBITDA</w:t>
      </w:r>
      <w:r>
        <w:rPr>
          <w:rFonts w:ascii="Calibri" w:hAnsi="Calibri"/>
          <w:b w:val="0"/>
          <w:i w:val="0"/>
          <w:color w:val="000000"/>
          <w:sz w:val="21"/>
        </w:rPr>
        <w:t xml:space="preserve"> is probably not an MPM because paragraph 118 lists operating profit before depreciation, amortisation and IAS 36 impairments — </w:t>
      </w:r>
      <w:r>
        <w:rPr>
          <w:rFonts w:ascii="Calibri" w:hAnsi="Calibri"/>
          <w:b/>
          <w:i w:val="0"/>
          <w:color w:val="000000"/>
          <w:sz w:val="21"/>
        </w:rPr>
        <w:t>but get the definition first.</w:t>
      </w:r>
      <w:r>
        <w:rPr>
          <w:rFonts w:ascii="Calibri" w:hAnsi="Calibri"/>
          <w:b w:val="0"/>
          <w:i w:val="0"/>
          <w:color w:val="000000"/>
          <w:sz w:val="21"/>
        </w:rPr>
        <w:t xml:space="preserve"> If management adds back anything else it is no longer that listed subtotal.</w:t>
      </w:r>
    </w:p>
    <w:p>
      <w:pPr>
        <w:spacing w:after="100"/>
      </w:pPr>
      <w:r>
        <w:rPr>
          <w:rFonts w:ascii="Calibri" w:hAnsi="Calibri"/>
          <w:b/>
          <w:i w:val="0"/>
          <w:color w:val="000000"/>
          <w:sz w:val="21"/>
        </w:rPr>
        <w:t>The killer point:</w:t>
      </w:r>
      <w:r>
        <w:rPr>
          <w:rFonts w:ascii="Calibri" w:hAnsi="Calibri"/>
          <w:b w:val="0"/>
          <w:i w:val="0"/>
          <w:color w:val="000000"/>
          <w:sz w:val="21"/>
        </w:rPr>
        <w:t xml:space="preserve"> "net interest not capitalised" is interest expense </w:t>
      </w:r>
      <w:r>
        <w:rPr>
          <w:rFonts w:ascii="Calibri" w:hAnsi="Calibri"/>
          <w:b/>
          <w:i w:val="0"/>
          <w:color w:val="000000"/>
          <w:sz w:val="21"/>
        </w:rPr>
        <w:t>less</w:t>
      </w:r>
      <w:r>
        <w:rPr>
          <w:rFonts w:ascii="Calibri" w:hAnsi="Calibri"/>
          <w:b w:val="0"/>
          <w:i w:val="0"/>
          <w:color w:val="000000"/>
          <w:sz w:val="21"/>
        </w:rPr>
        <w:t xml:space="preserve"> interest income on undeployed funds. The expense is </w:t>
      </w:r>
      <w:r>
        <w:rPr>
          <w:rFonts w:ascii="Calibri" w:hAnsi="Calibri"/>
          <w:b/>
          <w:i w:val="0"/>
          <w:color w:val="000000"/>
          <w:sz w:val="21"/>
        </w:rPr>
        <w:t>financing</w:t>
      </w:r>
      <w:r>
        <w:rPr>
          <w:rFonts w:ascii="Calibri" w:hAnsi="Calibri"/>
          <w:b w:val="0"/>
          <w:i w:val="0"/>
          <w:color w:val="000000"/>
          <w:sz w:val="21"/>
        </w:rPr>
        <w:t xml:space="preserve">, the income is </w:t>
      </w:r>
      <w:r>
        <w:rPr>
          <w:rFonts w:ascii="Calibri" w:hAnsi="Calibri"/>
          <w:b/>
          <w:i w:val="0"/>
          <w:color w:val="000000"/>
          <w:sz w:val="21"/>
        </w:rPr>
        <w:t>investing</w:t>
      </w:r>
      <w:r>
        <w:rPr>
          <w:rFonts w:ascii="Calibri" w:hAnsi="Calibri"/>
          <w:b w:val="0"/>
          <w:i w:val="0"/>
          <w:color w:val="000000"/>
          <w:sz w:val="21"/>
        </w:rPr>
        <w:t xml:space="preserve"> — opposite sides of the required subtotal. Presenting it net is prohibited offsetting. It survives as an internal measure but cannot be a line in profit or loss. Same objection kills any "net finance cost" line.</w:t>
      </w:r>
    </w:p>
    <w:p>
      <w:pPr>
        <w:spacing w:after="100"/>
      </w:pPr>
      <w:r>
        <w:rPr>
          <w:rFonts w:ascii="Calibri" w:hAnsi="Calibri"/>
          <w:b w:val="0"/>
          <w:i w:val="0"/>
          <w:color w:val="000000"/>
          <w:sz w:val="21"/>
        </w:rPr>
        <w:t xml:space="preserve">What moves in a remapping: </w:t>
      </w:r>
      <w:r>
        <w:rPr>
          <w:rFonts w:ascii="Calibri" w:hAnsi="Calibri"/>
          <w:b/>
          <w:i w:val="0"/>
          <w:color w:val="000000"/>
          <w:sz w:val="21"/>
        </w:rPr>
        <w:t>Metroloop</w:t>
      </w:r>
      <w:r>
        <w:rPr>
          <w:rFonts w:ascii="Calibri" w:hAnsi="Calibri"/>
          <w:b w:val="0"/>
          <w:i w:val="0"/>
          <w:color w:val="000000"/>
          <w:sz w:val="21"/>
        </w:rPr>
        <w:t xml:space="preserve"> is equity accounted so it is </w:t>
      </w:r>
      <w:r>
        <w:rPr>
          <w:rFonts w:ascii="Calibri" w:hAnsi="Calibri"/>
          <w:b/>
          <w:i w:val="0"/>
          <w:color w:val="000000"/>
          <w:sz w:val="21"/>
        </w:rPr>
        <w:t>always investing</w:t>
      </w:r>
      <w:r>
        <w:rPr>
          <w:rFonts w:ascii="Calibri" w:hAnsi="Calibri"/>
          <w:b w:val="0"/>
          <w:i w:val="0"/>
          <w:color w:val="000000"/>
          <w:sz w:val="21"/>
        </w:rPr>
        <w:t xml:space="preserve"> — operating profit falls, and that is the number Ubuntu and Horizon benchmark. </w:t>
      </w:r>
      <w:r>
        <w:rPr>
          <w:rFonts w:ascii="Calibri" w:hAnsi="Calibri"/>
          <w:b/>
          <w:i w:val="0"/>
          <w:color w:val="000000"/>
          <w:sz w:val="21"/>
        </w:rPr>
        <w:t>Interest income</w:t>
      </w:r>
      <w:r>
        <w:rPr>
          <w:rFonts w:ascii="Calibri" w:hAnsi="Calibri"/>
          <w:b w:val="0"/>
          <w:i w:val="0"/>
          <w:color w:val="000000"/>
          <w:sz w:val="21"/>
        </w:rPr>
        <w:t xml:space="preserve"> on undeployed JHB4 funds goes to investing, gross. </w:t>
      </w:r>
      <w:r>
        <w:rPr>
          <w:rFonts w:ascii="Calibri" w:hAnsi="Calibri"/>
          <w:b/>
          <w:i w:val="0"/>
          <w:color w:val="000000"/>
          <w:sz w:val="21"/>
        </w:rPr>
        <w:t>Capitalised borrowing costs</w:t>
      </w:r>
      <w:r>
        <w:rPr>
          <w:rFonts w:ascii="Calibri" w:hAnsi="Calibri"/>
          <w:b w:val="0"/>
          <w:i w:val="0"/>
          <w:color w:val="000000"/>
          <w:sz w:val="21"/>
        </w:rPr>
        <w:t xml:space="preserve"> are not in profit or loss at all. And note that 700 less 375 equals 325 exactly, so the summary shows no separate line for Metroloop or interest income — ask why.</w:t>
      </w:r>
    </w:p>
    <w:p>
      <w:pPr>
        <w:pStyle w:val="Heading3"/>
      </w:pPr>
      <w:r/>
      <w:r>
        <w:rPr>
          <w:rFonts w:ascii="Calibri" w:hAnsi="Calibri"/>
          <w:color w:val="000000"/>
        </w:rPr>
        <w:t>The investment decision and funding (Documents 3 and 7)</w:t>
      </w:r>
    </w:p>
    <w:p>
      <w:pPr>
        <w:spacing w:after="100"/>
      </w:pPr>
      <w:r>
        <w:rPr>
          <w:rFonts w:ascii="Calibri" w:hAnsi="Calibri"/>
          <w:b w:val="0"/>
          <w:i w:val="0"/>
          <w:color w:val="000000"/>
          <w:sz w:val="21"/>
        </w:rPr>
        <w:t xml:space="preserve">Four options: additional PPAs; direct investment in generation; off-site generation and wheeling; long-term offtake. The tax and risk profile of each differs completely — PPA gives </w:t>
      </w:r>
      <w:r>
        <w:rPr>
          <w:rFonts w:ascii="Calibri" w:hAnsi="Calibri"/>
          <w:b/>
          <w:i w:val="0"/>
          <w:color w:val="000000"/>
          <w:sz w:val="21"/>
        </w:rPr>
        <w:t>no capital allowance</w:t>
      </w:r>
      <w:r>
        <w:rPr>
          <w:rFonts w:ascii="Calibri" w:hAnsi="Calibri"/>
          <w:b w:val="0"/>
          <w:i w:val="0"/>
          <w:color w:val="000000"/>
          <w:sz w:val="21"/>
        </w:rPr>
        <w:t xml:space="preserve"> because no asset is owned, direct investment gives s12B 50/30/20, s12U 100%, s13quin 5% and s11(e).</w:t>
      </w:r>
    </w:p>
    <w:p>
      <w:pPr>
        <w:pStyle w:val="ListBullet"/>
        <w:spacing w:after="60"/>
        <w:ind w:left="425"/>
      </w:pPr>
      <w:r/>
      <w:r>
        <w:rPr>
          <w:rFonts w:ascii="Calibri" w:hAnsi="Calibri"/>
          <w:b/>
          <w:i w:val="0"/>
          <w:color w:val="000000"/>
          <w:sz w:val="21"/>
        </w:rPr>
        <w:t>Get the basis right first.</w:t>
      </w:r>
      <w:r>
        <w:rPr>
          <w:rFonts w:ascii="Calibri" w:hAnsi="Calibri"/>
          <w:b w:val="0"/>
          <w:i w:val="0"/>
          <w:color w:val="000000"/>
          <w:sz w:val="21"/>
        </w:rPr>
        <w:t xml:space="preserve"> Pre-tax cash flows need a pre-tax discount rate. Document 3 says initial feasibility uses pre-tax. Approximate conversion: pre-tax rate = post-tax WACC divided by (1 − 0.27).</w:t>
      </w:r>
    </w:p>
    <w:p>
      <w:pPr>
        <w:pStyle w:val="ListBullet"/>
        <w:spacing w:after="60"/>
        <w:ind w:left="425"/>
      </w:pPr>
      <w:r/>
      <w:r>
        <w:rPr>
          <w:rFonts w:ascii="Calibri" w:hAnsi="Calibri"/>
          <w:b/>
          <w:i w:val="0"/>
          <w:color w:val="000000"/>
          <w:sz w:val="21"/>
        </w:rPr>
        <w:t>Relevant costing:</w:t>
      </w:r>
      <w:r>
        <w:rPr>
          <w:rFonts w:ascii="Calibri" w:hAnsi="Calibri"/>
          <w:b w:val="0"/>
          <w:i w:val="0"/>
          <w:color w:val="000000"/>
          <w:sz w:val="21"/>
        </w:rPr>
        <w:t xml:space="preserve"> exclude sunk costs, common costs, overhead allocations that do not change, and financing cash flows where the WACC already reflects financing.</w:t>
      </w:r>
    </w:p>
    <w:p>
      <w:pPr>
        <w:pStyle w:val="ListBullet"/>
        <w:spacing w:after="60"/>
        <w:ind w:left="425"/>
      </w:pPr>
      <w:r/>
      <w:r>
        <w:rPr>
          <w:rFonts w:ascii="Calibri" w:hAnsi="Calibri"/>
          <w:b/>
          <w:i w:val="0"/>
          <w:color w:val="000000"/>
          <w:sz w:val="21"/>
        </w:rPr>
        <w:t>Beta:</w:t>
      </w:r>
      <w:r>
        <w:rPr>
          <w:rFonts w:ascii="Calibri" w:hAnsi="Calibri"/>
          <w:b w:val="0"/>
          <w:i w:val="0"/>
          <w:color w:val="000000"/>
          <w:sz w:val="21"/>
        </w:rPr>
        <w:t xml:space="preserve"> comparable equity (geared) beta → ungear at the comparable's structure → asset beta → regear at the </w:t>
      </w:r>
      <w:r>
        <w:rPr>
          <w:rFonts w:ascii="Calibri" w:hAnsi="Calibri"/>
          <w:b/>
          <w:i w:val="0"/>
          <w:color w:val="000000"/>
          <w:sz w:val="21"/>
        </w:rPr>
        <w:t>project's</w:t>
      </w:r>
      <w:r>
        <w:rPr>
          <w:rFonts w:ascii="Calibri" w:hAnsi="Calibri"/>
          <w:b w:val="0"/>
          <w:i w:val="0"/>
          <w:color w:val="000000"/>
          <w:sz w:val="21"/>
        </w:rPr>
        <w:t xml:space="preserve"> target structure → project equity beta. Ungear: βa = βe × E / (E + D(1−t)). Regear: βe = βa × (1 + D(1−t)/E). Several comparables: ungear each, average the asset betas, regear once. The comparable must match the </w:t>
      </w:r>
      <w:r>
        <w:rPr>
          <w:rFonts w:ascii="Calibri" w:hAnsi="Calibri"/>
          <w:b/>
          <w:i w:val="0"/>
          <w:color w:val="000000"/>
          <w:sz w:val="21"/>
        </w:rPr>
        <w:t>project</w:t>
      </w:r>
      <w:r>
        <w:rPr>
          <w:rFonts w:ascii="Calibri" w:hAnsi="Calibri"/>
          <w:b w:val="0"/>
          <w:i w:val="0"/>
          <w:color w:val="000000"/>
          <w:sz w:val="21"/>
        </w:rPr>
        <w:t>, not Axion.</w:t>
      </w:r>
    </w:p>
    <w:p>
      <w:pPr>
        <w:pStyle w:val="ListBullet"/>
        <w:spacing w:after="60"/>
        <w:ind w:left="425"/>
      </w:pPr>
      <w:r/>
      <w:r>
        <w:rPr>
          <w:rFonts w:ascii="Calibri" w:hAnsi="Calibri"/>
          <w:b/>
          <w:i w:val="0"/>
          <w:color w:val="000000"/>
          <w:sz w:val="21"/>
        </w:rPr>
        <w:t>Break-even properly:</w:t>
      </w:r>
      <w:r>
        <w:rPr>
          <w:rFonts w:ascii="Calibri" w:hAnsi="Calibri"/>
          <w:b w:val="0"/>
          <w:i w:val="0"/>
          <w:color w:val="000000"/>
          <w:sz w:val="21"/>
        </w:rPr>
        <w:t xml:space="preserve"> the decision-relevant break-even is the </w:t>
      </w:r>
      <w:r>
        <w:rPr>
          <w:rFonts w:ascii="Calibri" w:hAnsi="Calibri"/>
          <w:b/>
          <w:i w:val="0"/>
          <w:color w:val="000000"/>
          <w:sz w:val="21"/>
        </w:rPr>
        <w:t>point of indifference between the two options</w:t>
      </w:r>
      <w:r>
        <w:rPr>
          <w:rFonts w:ascii="Calibri" w:hAnsi="Calibri"/>
          <w:b w:val="0"/>
          <w:i w:val="0"/>
          <w:color w:val="000000"/>
          <w:sz w:val="21"/>
        </w:rPr>
        <w:t>, not an NPV of nil. Set NPV(PPA) = NPV(build) and solve for the maximum acceptable tariff. Express both as levelised cost per kWh so a 3–5 year PPA and a 25 year plant are comparable. State it as a rule: "contract below R x per kWh, otherwise build."</w:t>
      </w:r>
    </w:p>
    <w:p>
      <w:pPr>
        <w:pStyle w:val="ListBullet"/>
        <w:spacing w:after="60"/>
        <w:ind w:left="425"/>
      </w:pPr>
      <w:r/>
      <w:r>
        <w:rPr>
          <w:rFonts w:ascii="Calibri" w:hAnsi="Calibri"/>
          <w:b/>
          <w:i w:val="0"/>
          <w:color w:val="000000"/>
          <w:sz w:val="21"/>
        </w:rPr>
        <w:t>Funding — FRICTO on the three options.</w:t>
      </w:r>
      <w:r>
        <w:rPr>
          <w:rFonts w:ascii="Calibri" w:hAnsi="Calibri"/>
          <w:b w:val="0"/>
          <w:i w:val="0"/>
          <w:color w:val="000000"/>
          <w:sz w:val="21"/>
        </w:rPr>
        <w:t xml:space="preserve"> Debt is cheapest (about 10.5% pre-tax) but weakest: 4.35 times borrowings to EBITDA and 1.87 times operating profit interest cover leave almost no headroom. Existing shareholders cost 18–22% but reduce risk, and failure to follow is itself a negative </w:t>
      </w:r>
      <w:r>
        <w:rPr>
          <w:rFonts w:ascii="Calibri" w:hAnsi="Calibri"/>
          <w:b/>
          <w:i w:val="0"/>
          <w:color w:val="000000"/>
          <w:sz w:val="21"/>
        </w:rPr>
        <w:t>signal</w:t>
      </w:r>
      <w:r>
        <w:rPr>
          <w:rFonts w:ascii="Calibri" w:hAnsi="Calibri"/>
          <w:b w:val="0"/>
          <w:i w:val="0"/>
          <w:color w:val="000000"/>
          <w:sz w:val="21"/>
        </w:rPr>
        <w:t>. A new strategic investor brings money and expertise but dilution, a board seat and probably a listing or exit agenda.</w:t>
      </w:r>
    </w:p>
    <w:p>
      <w:pPr>
        <w:pStyle w:val="Heading3"/>
      </w:pPr>
      <w:r/>
      <w:r>
        <w:rPr>
          <w:rFonts w:ascii="Calibri" w:hAnsi="Calibri"/>
          <w:color w:val="000000"/>
        </w:rPr>
        <w:t>Income tax (Document 7)</w:t>
      </w:r>
    </w:p>
    <w:p>
      <w:pPr>
        <w:spacing w:after="100"/>
      </w:pPr>
      <w:r>
        <w:rPr>
          <w:rFonts w:ascii="Calibri" w:hAnsi="Calibri"/>
          <w:b w:val="0"/>
          <w:i w:val="0"/>
          <w:color w:val="000000"/>
          <w:sz w:val="21"/>
        </w:rPr>
        <w:t xml:space="preserve">Rate 27%, CGT effective 21.6%. The branch is simply: </w:t>
      </w:r>
      <w:r>
        <w:rPr>
          <w:rFonts w:ascii="Calibri" w:hAnsi="Calibri"/>
          <w:b/>
          <w:i w:val="0"/>
          <w:color w:val="000000"/>
          <w:sz w:val="21"/>
        </w:rPr>
        <w:t>does Axion own the asset?</w:t>
      </w:r>
    </w:p>
    <w:p>
      <w:pPr>
        <w:pStyle w:val="ListBullet"/>
        <w:spacing w:after="60"/>
        <w:ind w:left="425"/>
      </w:pPr>
      <w:r/>
      <w:r>
        <w:rPr>
          <w:rFonts w:ascii="Calibri" w:hAnsi="Calibri"/>
          <w:b/>
          <w:i w:val="0"/>
          <w:color w:val="000000"/>
          <w:sz w:val="21"/>
        </w:rPr>
        <w:t>No asset owned</w:t>
      </w:r>
      <w:r>
        <w:rPr>
          <w:rFonts w:ascii="Calibri" w:hAnsi="Calibri"/>
          <w:b w:val="0"/>
          <w:i w:val="0"/>
          <w:color w:val="000000"/>
          <w:sz w:val="21"/>
        </w:rPr>
        <w:t xml:space="preserve"> → s11(a) with s23(g) only. Full cost of electricity, every year, no rate, no write-off period. Not capital because it works the income-earning operations. </w:t>
      </w:r>
      <w:r>
        <w:rPr>
          <w:rFonts w:ascii="Calibri" w:hAnsi="Calibri"/>
          <w:b/>
          <w:i w:val="0"/>
          <w:color w:val="000000"/>
          <w:sz w:val="21"/>
        </w:rPr>
        <w:t>Exception:</w:t>
      </w:r>
      <w:r>
        <w:rPr>
          <w:rFonts w:ascii="Calibri" w:hAnsi="Calibri"/>
          <w:b w:val="0"/>
          <w:i w:val="0"/>
          <w:color w:val="000000"/>
          <w:sz w:val="21"/>
        </w:rPr>
        <w:t xml:space="preserve"> an arrangement that is in substance an </w:t>
      </w:r>
      <w:r>
        <w:rPr>
          <w:rFonts w:ascii="Calibri" w:hAnsi="Calibri"/>
          <w:b/>
          <w:i w:val="0"/>
          <w:color w:val="000000"/>
          <w:sz w:val="21"/>
        </w:rPr>
        <w:t>instalment credit agreement</w:t>
      </w:r>
      <w:r>
        <w:rPr>
          <w:rFonts w:ascii="Calibri" w:hAnsi="Calibri"/>
          <w:b w:val="0"/>
          <w:i w:val="0"/>
          <w:color w:val="000000"/>
          <w:sz w:val="21"/>
        </w:rPr>
        <w:t xml:space="preserve"> does give s12B despite the producer holding title.</w:t>
      </w:r>
    </w:p>
    <w:p>
      <w:pPr>
        <w:pStyle w:val="ListBullet"/>
        <w:spacing w:after="60"/>
        <w:ind w:left="425"/>
      </w:pPr>
      <w:r/>
      <w:r>
        <w:rPr>
          <w:rFonts w:ascii="Calibri" w:hAnsi="Calibri"/>
          <w:b/>
          <w:i w:val="0"/>
          <w:color w:val="000000"/>
          <w:sz w:val="21"/>
        </w:rPr>
        <w:t>Axion owns it</w:t>
      </w:r>
      <w:r>
        <w:rPr>
          <w:rFonts w:ascii="Calibri" w:hAnsi="Calibri"/>
          <w:b w:val="0"/>
          <w:i w:val="0"/>
          <w:color w:val="000000"/>
          <w:sz w:val="21"/>
        </w:rPr>
        <w:t xml:space="preserve"> → s12B(1)(h) 50/30/20 (100% in year one only for PV not exceeding 1 MW); s12U 100% on new roads and fences; s13quin 5% on a new building; s11(e) on transmission lines, transformers and grid-charged batteries. </w:t>
      </w:r>
      <w:r>
        <w:rPr>
          <w:rFonts w:ascii="Calibri" w:hAnsi="Calibri"/>
          <w:b/>
          <w:i w:val="0"/>
          <w:color w:val="000000"/>
          <w:sz w:val="21"/>
        </w:rPr>
        <w:t>s12BA (125%) is gone</w:t>
      </w:r>
      <w:r>
        <w:rPr>
          <w:rFonts w:ascii="Calibri" w:hAnsi="Calibri"/>
          <w:b w:val="0"/>
          <w:i w:val="0"/>
          <w:color w:val="000000"/>
          <w:sz w:val="21"/>
        </w:rPr>
        <w:t xml:space="preserve"> — it needed first use before 1 March 2025.</w:t>
      </w:r>
    </w:p>
    <w:p>
      <w:pPr>
        <w:pStyle w:val="ListBullet"/>
        <w:spacing w:after="60"/>
        <w:ind w:left="425"/>
      </w:pPr>
      <w:r/>
      <w:r>
        <w:rPr>
          <w:rFonts w:ascii="Calibri" w:hAnsi="Calibri"/>
          <w:b/>
          <w:i w:val="0"/>
          <w:color w:val="000000"/>
          <w:sz w:val="21"/>
        </w:rPr>
        <w:t>Joint operation</w:t>
      </w:r>
      <w:r>
        <w:rPr>
          <w:rFonts w:ascii="Calibri" w:hAnsi="Calibri"/>
          <w:b w:val="0"/>
          <w:i w:val="0"/>
          <w:color w:val="000000"/>
          <w:sz w:val="21"/>
        </w:rPr>
        <w:t xml:space="preserve"> → s24H proportionate share, limited by the at-risk amount in s24H(3), excess carried forward under s24H(4).</w:t>
      </w:r>
    </w:p>
    <w:p>
      <w:pPr>
        <w:spacing w:after="100"/>
      </w:pPr>
      <w:r>
        <w:rPr>
          <w:rFonts w:ascii="Calibri" w:hAnsi="Calibri"/>
          <w:b w:val="0"/>
          <w:i w:val="0"/>
          <w:color w:val="000000"/>
          <w:sz w:val="21"/>
        </w:rPr>
        <w:t xml:space="preserve">Four things that destroy the allowance, and I must check each: </w:t>
      </w:r>
      <w:r>
        <w:rPr>
          <w:rFonts w:ascii="Calibri" w:hAnsi="Calibri"/>
          <w:b/>
          <w:i w:val="0"/>
          <w:color w:val="000000"/>
          <w:sz w:val="21"/>
        </w:rPr>
        <w:t>ownership</w:t>
      </w:r>
      <w:r>
        <w:rPr>
          <w:rFonts w:ascii="Calibri" w:hAnsi="Calibri"/>
          <w:b w:val="0"/>
          <w:i w:val="0"/>
          <w:color w:val="000000"/>
          <w:sz w:val="21"/>
        </w:rPr>
        <w:t xml:space="preserve"> (if the plant accedes to land Axion does not own, nil to Axion and nil to the landowner; s12N only rescues government land or a PPP); </w:t>
      </w:r>
      <w:r>
        <w:rPr>
          <w:rFonts w:ascii="Calibri" w:hAnsi="Calibri"/>
          <w:b/>
          <w:i w:val="0"/>
          <w:color w:val="000000"/>
          <w:sz w:val="21"/>
        </w:rPr>
        <w:t>mixed sources</w:t>
      </w:r>
      <w:r>
        <w:rPr>
          <w:rFonts w:ascii="Calibri" w:hAnsi="Calibri"/>
          <w:b w:val="0"/>
          <w:i w:val="0"/>
          <w:color w:val="000000"/>
          <w:sz w:val="21"/>
        </w:rPr>
        <w:t xml:space="preserve"> (an </w:t>
      </w:r>
      <w:r>
        <w:rPr>
          <w:rFonts w:ascii="Calibri" w:hAnsi="Calibri"/>
          <w:b/>
          <w:i w:val="0"/>
          <w:color w:val="000000"/>
          <w:sz w:val="21"/>
        </w:rPr>
        <w:t>asset</w:t>
      </w:r>
      <w:r>
        <w:rPr>
          <w:rFonts w:ascii="Calibri" w:hAnsi="Calibri"/>
          <w:b w:val="0"/>
          <w:i w:val="0"/>
          <w:color w:val="000000"/>
          <w:sz w:val="21"/>
        </w:rPr>
        <w:t xml:space="preserve"> using both renewable and non-renewable sources qualifies for nothing, with no apportionment — but the test is at </w:t>
      </w:r>
      <w:r>
        <w:rPr>
          <w:rFonts w:ascii="Calibri" w:hAnsi="Calibri"/>
          <w:b/>
          <w:i w:val="0"/>
          <w:color w:val="000000"/>
          <w:sz w:val="21"/>
        </w:rPr>
        <w:t>asset</w:t>
      </w:r>
      <w:r>
        <w:rPr>
          <w:rFonts w:ascii="Calibri" w:hAnsi="Calibri"/>
          <w:b w:val="0"/>
          <w:i w:val="0"/>
          <w:color w:val="000000"/>
          <w:sz w:val="21"/>
        </w:rPr>
        <w:t xml:space="preserve"> level, so separate diesel generators do not taint a standalone solar plant); </w:t>
      </w:r>
      <w:r>
        <w:rPr>
          <w:rFonts w:ascii="Calibri" w:hAnsi="Calibri"/>
          <w:b/>
          <w:i w:val="0"/>
          <w:color w:val="000000"/>
          <w:sz w:val="21"/>
        </w:rPr>
        <w:t>the s12U trade test</w:t>
      </w:r>
      <w:r>
        <w:rPr>
          <w:rFonts w:ascii="Calibri" w:hAnsi="Calibri"/>
          <w:b w:val="0"/>
          <w:i w:val="0"/>
          <w:color w:val="000000"/>
          <w:sz w:val="21"/>
        </w:rPr>
        <w:t xml:space="preserve"> (s12U needs the trade of generating electricity exceeding 5 MW; s12B has no trade restriction); and </w:t>
      </w:r>
      <w:r>
        <w:rPr>
          <w:rFonts w:ascii="Calibri" w:hAnsi="Calibri"/>
          <w:b/>
          <w:i w:val="0"/>
          <w:color w:val="000000"/>
          <w:sz w:val="21"/>
        </w:rPr>
        <w:t>absorption</w:t>
      </w:r>
      <w:r>
        <w:rPr>
          <w:rFonts w:ascii="Calibri" w:hAnsi="Calibri"/>
          <w:b w:val="0"/>
          <w:i w:val="0"/>
          <w:color w:val="000000"/>
          <w:sz w:val="21"/>
        </w:rPr>
        <w:t xml:space="preserve"> (s20(1)(a) caps a brought-forward loss at the higher of R1m or 80% of taxable income, so a project company with no other income traps the benefit — structure is worth more than the rate).</w:t>
      </w:r>
    </w:p>
    <w:p>
      <w:pPr>
        <w:pStyle w:val="Heading3"/>
      </w:pPr>
      <w:r/>
      <w:r>
        <w:rPr>
          <w:rFonts w:ascii="Calibri" w:hAnsi="Calibri"/>
          <w:color w:val="000000"/>
        </w:rPr>
        <w:t>JHB4 and Metroloop (Documents 6 and 5)</w:t>
      </w:r>
    </w:p>
    <w:p>
      <w:pPr>
        <w:spacing w:after="100"/>
      </w:pPr>
      <w:r>
        <w:rPr>
          <w:rFonts w:ascii="Calibri" w:hAnsi="Calibri"/>
          <w:b/>
          <w:i w:val="0"/>
          <w:color w:val="000000"/>
          <w:sz w:val="21"/>
        </w:rPr>
        <w:t>IAS 23, three questions in order.</w:t>
      </w:r>
      <w:r>
        <w:rPr>
          <w:rFonts w:ascii="Calibri" w:hAnsi="Calibri"/>
          <w:b w:val="0"/>
          <w:i w:val="0"/>
          <w:color w:val="000000"/>
          <w:sz w:val="21"/>
        </w:rPr>
        <w:t xml:space="preserve"> Has capitalisation </w:t>
      </w:r>
      <w:r>
        <w:rPr>
          <w:rFonts w:ascii="Calibri" w:hAnsi="Calibri"/>
          <w:b/>
          <w:i w:val="0"/>
          <w:color w:val="000000"/>
          <w:sz w:val="21"/>
        </w:rPr>
        <w:t>commenced</w:t>
      </w:r>
      <w:r>
        <w:rPr>
          <w:rFonts w:ascii="Calibri" w:hAnsi="Calibri"/>
          <w:b w:val="0"/>
          <w:i w:val="0"/>
          <w:color w:val="000000"/>
          <w:sz w:val="21"/>
        </w:rPr>
        <w:t xml:space="preserve"> (expenditure incurred, borrowing costs incurred, activities in progress)? Must it be </w:t>
      </w:r>
      <w:r>
        <w:rPr>
          <w:rFonts w:ascii="Calibri" w:hAnsi="Calibri"/>
          <w:b/>
          <w:i w:val="0"/>
          <w:color w:val="000000"/>
          <w:sz w:val="21"/>
        </w:rPr>
        <w:t>suspended</w:t>
      </w:r>
      <w:r>
        <w:rPr>
          <w:rFonts w:ascii="Calibri" w:hAnsi="Calibri"/>
          <w:b w:val="0"/>
          <w:i w:val="0"/>
          <w:color w:val="000000"/>
          <w:sz w:val="21"/>
        </w:rPr>
        <w:t xml:space="preserve"> (extended periods where active development is interrupted — a grid connection delay with nothing else happening is an interruption)? Has it </w:t>
      </w:r>
      <w:r>
        <w:rPr>
          <w:rFonts w:ascii="Calibri" w:hAnsi="Calibri"/>
          <w:b/>
          <w:i w:val="0"/>
          <w:color w:val="000000"/>
          <w:sz w:val="21"/>
        </w:rPr>
        <w:t>ceased</w:t>
      </w:r>
      <w:r>
        <w:rPr>
          <w:rFonts w:ascii="Calibri" w:hAnsi="Calibri"/>
          <w:b w:val="0"/>
          <w:i w:val="0"/>
          <w:color w:val="000000"/>
          <w:sz w:val="21"/>
        </w:rPr>
        <w:t xml:space="preserve"> (substantially all activities complete — and JHB4 comes into service </w:t>
      </w:r>
      <w:r>
        <w:rPr>
          <w:rFonts w:ascii="Calibri" w:hAnsi="Calibri"/>
          <w:b/>
          <w:i w:val="0"/>
          <w:color w:val="000000"/>
          <w:sz w:val="21"/>
        </w:rPr>
        <w:t>in phases</w:t>
      </w:r>
      <w:r>
        <w:rPr>
          <w:rFonts w:ascii="Calibri" w:hAnsi="Calibri"/>
          <w:b w:val="0"/>
          <w:i w:val="0"/>
          <w:color w:val="000000"/>
          <w:sz w:val="21"/>
        </w:rPr>
        <w:t>, so cease per phase and start depreciating that phase)?</w:t>
      </w:r>
    </w:p>
    <w:p>
      <w:pPr>
        <w:spacing w:after="100"/>
      </w:pPr>
      <w:r>
        <w:rPr>
          <w:rFonts w:ascii="Calibri" w:hAnsi="Calibri"/>
          <w:b w:val="0"/>
          <w:i w:val="0"/>
          <w:color w:val="000000"/>
          <w:sz w:val="21"/>
        </w:rPr>
        <w:t xml:space="preserve">For </w:t>
      </w:r>
      <w:r>
        <w:rPr>
          <w:rFonts w:ascii="Calibri" w:hAnsi="Calibri"/>
          <w:b/>
          <w:i w:val="0"/>
          <w:color w:val="000000"/>
          <w:sz w:val="21"/>
        </w:rPr>
        <w:t>specific</w:t>
      </w:r>
      <w:r>
        <w:rPr>
          <w:rFonts w:ascii="Calibri" w:hAnsi="Calibri"/>
          <w:b w:val="0"/>
          <w:i w:val="0"/>
          <w:color w:val="000000"/>
          <w:sz w:val="21"/>
        </w:rPr>
        <w:t xml:space="preserve"> borrowings, capitalise actual borrowing costs </w:t>
      </w:r>
      <w:r>
        <w:rPr>
          <w:rFonts w:ascii="Calibri" w:hAnsi="Calibri"/>
          <w:b/>
          <w:i w:val="0"/>
          <w:color w:val="000000"/>
          <w:sz w:val="21"/>
        </w:rPr>
        <w:t>less investment income on temporary investment of those borrowings</w:t>
      </w:r>
      <w:r>
        <w:rPr>
          <w:rFonts w:ascii="Calibri" w:hAnsi="Calibri"/>
          <w:b w:val="0"/>
          <w:i w:val="0"/>
          <w:color w:val="000000"/>
          <w:sz w:val="21"/>
        </w:rPr>
        <w:t xml:space="preserve">. That is why the undeployed deposit matters. And the commercial point: deposit rates are below the facility rate, so drawing early creates a </w:t>
      </w:r>
      <w:r>
        <w:rPr>
          <w:rFonts w:ascii="Calibri" w:hAnsi="Calibri"/>
          <w:b/>
          <w:i w:val="0"/>
          <w:color w:val="000000"/>
          <w:sz w:val="21"/>
        </w:rPr>
        <w:t>negative carry</w:t>
      </w:r>
      <w:r>
        <w:rPr>
          <w:rFonts w:ascii="Calibri" w:hAnsi="Calibri"/>
          <w:b w:val="0"/>
          <w:i w:val="0"/>
          <w:color w:val="000000"/>
          <w:sz w:val="21"/>
        </w:rPr>
        <w:t xml:space="preserve"> — which is exactly what the scorecard measure polices. The control weakness is that Treasury negotiates the facility but the </w:t>
      </w:r>
      <w:r>
        <w:rPr>
          <w:rFonts w:ascii="Calibri" w:hAnsi="Calibri"/>
          <w:b/>
          <w:i w:val="0"/>
          <w:color w:val="000000"/>
          <w:sz w:val="21"/>
        </w:rPr>
        <w:t>delivery team</w:t>
      </w:r>
      <w:r>
        <w:rPr>
          <w:rFonts w:ascii="Calibri" w:hAnsi="Calibri"/>
          <w:b w:val="0"/>
          <w:i w:val="0"/>
          <w:color w:val="000000"/>
          <w:sz w:val="21"/>
        </w:rPr>
        <w:t xml:space="preserve"> decides drawdown timing.</w:t>
      </w:r>
    </w:p>
    <w:p>
      <w:pPr>
        <w:spacing w:after="100"/>
      </w:pPr>
      <w:r>
        <w:rPr>
          <w:rFonts w:ascii="Calibri" w:hAnsi="Calibri"/>
          <w:b/>
          <w:i w:val="0"/>
          <w:color w:val="000000"/>
          <w:sz w:val="21"/>
        </w:rPr>
        <w:t>Metroloop:</w:t>
      </w:r>
      <w:r>
        <w:rPr>
          <w:rFonts w:ascii="Calibri" w:hAnsi="Calibri"/>
          <w:b w:val="0"/>
          <w:i w:val="0"/>
          <w:color w:val="000000"/>
          <w:sz w:val="21"/>
        </w:rPr>
        <w:t xml:space="preserve"> 40% does </w:t>
      </w:r>
      <w:r>
        <w:rPr>
          <w:rFonts w:ascii="Calibri" w:hAnsi="Calibri"/>
          <w:b/>
          <w:i w:val="0"/>
          <w:color w:val="000000"/>
          <w:sz w:val="21"/>
        </w:rPr>
        <w:t>not</w:t>
      </w:r>
      <w:r>
        <w:rPr>
          <w:rFonts w:ascii="Calibri" w:hAnsi="Calibri"/>
          <w:b w:val="0"/>
          <w:i w:val="0"/>
          <w:color w:val="000000"/>
          <w:sz w:val="21"/>
        </w:rPr>
        <w:t xml:space="preserve"> create joint control — IFRS 11.7 needs unanimous consent, and at 40% </w:t>
      </w:r>
      <w:r>
        <w:rPr>
          <w:rFonts w:ascii="Calibri" w:hAnsi="Calibri"/>
          <w:b/>
          <w:i w:val="0"/>
          <w:color w:val="000000"/>
          <w:sz w:val="21"/>
        </w:rPr>
        <w:t>significant influence is presumed</w:t>
      </w:r>
      <w:r>
        <w:rPr>
          <w:rFonts w:ascii="Calibri" w:hAnsi="Calibri"/>
          <w:b w:val="0"/>
          <w:i w:val="0"/>
          <w:color w:val="000000"/>
          <w:sz w:val="21"/>
        </w:rPr>
        <w:t xml:space="preserve"> (IAS 28.5). If joint control is proved, then: no separate vehicle = always a joint operation (B16); with a separate vehicle the presumption is joint venture, then test legal form (B22–24) → contractual terms (B25–28) → other facts (B29–33). Metro fibre vehicles commonly meet B31–33 — the parties take the output and fund the liabilities — which </w:t>
      </w:r>
      <w:r>
        <w:rPr>
          <w:rFonts w:ascii="Calibri" w:hAnsi="Calibri"/>
          <w:b/>
          <w:i w:val="0"/>
          <w:color w:val="000000"/>
          <w:sz w:val="21"/>
        </w:rPr>
        <w:t>rebuts the joint venture presumption</w:t>
      </w:r>
      <w:r>
        <w:rPr>
          <w:rFonts w:ascii="Calibri" w:hAnsi="Calibri"/>
          <w:b w:val="0"/>
          <w:i w:val="0"/>
          <w:color w:val="000000"/>
          <w:sz w:val="21"/>
        </w:rPr>
        <w:t xml:space="preserve"> and makes it a joint operation. Axion is in connectivity, so taking output is the obvious commercial arrangement.</w:t>
      </w:r>
    </w:p>
    <w:p>
      <w:pPr>
        <w:pStyle w:val="Heading3"/>
      </w:pPr>
      <w:r/>
      <w:r>
        <w:rPr>
          <w:rFonts w:ascii="Calibri" w:hAnsi="Calibri"/>
          <w:color w:val="000000"/>
        </w:rPr>
        <w:t>Governance and ethics (Document 4)</w:t>
      </w:r>
    </w:p>
    <w:p>
      <w:pPr>
        <w:spacing w:after="100"/>
      </w:pPr>
      <w:r>
        <w:rPr>
          <w:rFonts w:ascii="Calibri" w:hAnsi="Calibri"/>
          <w:b w:val="0"/>
          <w:i w:val="0"/>
          <w:color w:val="000000"/>
          <w:sz w:val="21"/>
        </w:rPr>
        <w:t xml:space="preserve">First, know which source </w:t>
      </w:r>
      <w:r>
        <w:rPr>
          <w:rFonts w:ascii="Calibri" w:hAnsi="Calibri"/>
          <w:b/>
          <w:i w:val="0"/>
          <w:color w:val="000000"/>
          <w:sz w:val="21"/>
        </w:rPr>
        <w:t>binds</w:t>
      </w:r>
      <w:r>
        <w:rPr>
          <w:rFonts w:ascii="Calibri" w:hAnsi="Calibri"/>
          <w:b w:val="0"/>
          <w:i w:val="0"/>
          <w:color w:val="000000"/>
          <w:sz w:val="21"/>
        </w:rPr>
        <w:t xml:space="preserve">: the Companies Act and Regulations are </w:t>
      </w:r>
      <w:r>
        <w:rPr>
          <w:rFonts w:ascii="Calibri" w:hAnsi="Calibri"/>
          <w:b/>
          <w:i w:val="0"/>
          <w:color w:val="000000"/>
          <w:sz w:val="21"/>
        </w:rPr>
        <w:t>law</w:t>
      </w:r>
      <w:r>
        <w:rPr>
          <w:rFonts w:ascii="Calibri" w:hAnsi="Calibri"/>
          <w:b w:val="0"/>
          <w:i w:val="0"/>
          <w:color w:val="000000"/>
          <w:sz w:val="21"/>
        </w:rPr>
        <w:t xml:space="preserve">; King V is </w:t>
      </w:r>
      <w:r>
        <w:rPr>
          <w:rFonts w:ascii="Calibri" w:hAnsi="Calibri"/>
          <w:b/>
          <w:i w:val="0"/>
          <w:color w:val="000000"/>
          <w:sz w:val="21"/>
        </w:rPr>
        <w:t>apply and explain</w:t>
      </w:r>
      <w:r>
        <w:rPr>
          <w:rFonts w:ascii="Calibri" w:hAnsi="Calibri"/>
          <w:b w:val="0"/>
          <w:i w:val="0"/>
          <w:color w:val="000000"/>
          <w:sz w:val="21"/>
        </w:rPr>
        <w:t xml:space="preserve"> (issued 31 October 2025, 13 principles, effective for years beginning on or after 1 January 2026, so Axion's first affected year is FY2027); the SAICA Code binds a </w:t>
      </w:r>
      <w:r>
        <w:rPr>
          <w:rFonts w:ascii="Calibri" w:hAnsi="Calibri"/>
          <w:b/>
          <w:i w:val="0"/>
          <w:color w:val="000000"/>
          <w:sz w:val="21"/>
        </w:rPr>
        <w:t>member</w:t>
      </w:r>
      <w:r>
        <w:rPr>
          <w:rFonts w:ascii="Calibri" w:hAnsi="Calibri"/>
          <w:b w:val="0"/>
          <w:i w:val="0"/>
          <w:color w:val="000000"/>
          <w:sz w:val="21"/>
        </w:rPr>
        <w:t xml:space="preserve"> in full — the CFO and me.</w:t>
      </w:r>
    </w:p>
    <w:p>
      <w:pPr>
        <w:spacing w:after="100"/>
      </w:pPr>
      <w:r>
        <w:rPr>
          <w:rFonts w:ascii="Calibri" w:hAnsi="Calibri"/>
          <w:b w:val="0"/>
          <w:i w:val="0"/>
          <w:color w:val="000000"/>
          <w:sz w:val="21"/>
        </w:rPr>
        <w:t xml:space="preserve">The statutory position, which is the load-bearing bit: Axion is a </w:t>
      </w:r>
      <w:r>
        <w:rPr>
          <w:rFonts w:ascii="Calibri" w:hAnsi="Calibri"/>
          <w:b/>
          <w:i w:val="0"/>
          <w:color w:val="000000"/>
          <w:sz w:val="21"/>
        </w:rPr>
        <w:t>private</w:t>
      </w:r>
      <w:r>
        <w:rPr>
          <w:rFonts w:ascii="Calibri" w:hAnsi="Calibri"/>
          <w:b w:val="0"/>
          <w:i w:val="0"/>
          <w:color w:val="000000"/>
          <w:sz w:val="21"/>
        </w:rPr>
        <w:t xml:space="preserve"> company with a public interest score </w:t>
      </w:r>
      <w:r>
        <w:rPr>
          <w:rFonts w:ascii="Calibri" w:hAnsi="Calibri"/>
          <w:b/>
          <w:i w:val="0"/>
          <w:color w:val="000000"/>
          <w:sz w:val="21"/>
        </w:rPr>
        <w:t>well above 9 000</w:t>
      </w:r>
      <w:r>
        <w:rPr>
          <w:rFonts w:ascii="Calibri" w:hAnsi="Calibri"/>
          <w:b w:val="0"/>
          <w:i w:val="0"/>
          <w:color w:val="000000"/>
          <w:sz w:val="21"/>
        </w:rPr>
        <w:t xml:space="preserve">. So the </w:t>
      </w:r>
      <w:r>
        <w:rPr>
          <w:rFonts w:ascii="Calibri" w:hAnsi="Calibri"/>
          <w:b/>
          <w:i w:val="0"/>
          <w:color w:val="000000"/>
          <w:sz w:val="21"/>
        </w:rPr>
        <w:t>audit is compulsory</w:t>
      </w:r>
      <w:r>
        <w:rPr>
          <w:rFonts w:ascii="Calibri" w:hAnsi="Calibri"/>
          <w:b w:val="0"/>
          <w:i w:val="0"/>
          <w:color w:val="000000"/>
          <w:sz w:val="21"/>
        </w:rPr>
        <w:t xml:space="preserve"> (Reg 28, PIS ≥ 350) and the </w:t>
      </w:r>
      <w:r>
        <w:rPr>
          <w:rFonts w:ascii="Calibri" w:hAnsi="Calibri"/>
          <w:b/>
          <w:i w:val="0"/>
          <w:color w:val="000000"/>
          <w:sz w:val="21"/>
        </w:rPr>
        <w:t>social and ethics committee is compulsory</w:t>
      </w:r>
      <w:r>
        <w:rPr>
          <w:rFonts w:ascii="Calibri" w:hAnsi="Calibri"/>
          <w:b w:val="0"/>
          <w:i w:val="0"/>
          <w:color w:val="000000"/>
          <w:sz w:val="21"/>
        </w:rPr>
        <w:t xml:space="preserve"> (s72 and Reg 43, PIS above 500 in two of five years). But </w:t>
      </w:r>
      <w:r>
        <w:rPr>
          <w:rFonts w:ascii="Calibri" w:hAnsi="Calibri"/>
          <w:b/>
          <w:i w:val="0"/>
          <w:color w:val="000000"/>
          <w:sz w:val="21"/>
        </w:rPr>
        <w:t>s94 does not apply</w:t>
      </w:r>
      <w:r>
        <w:rPr>
          <w:rFonts w:ascii="Calibri" w:hAnsi="Calibri"/>
          <w:b w:val="0"/>
          <w:i w:val="0"/>
          <w:color w:val="000000"/>
          <w:sz w:val="21"/>
        </w:rPr>
        <w:t xml:space="preserve"> — it binds public and state-owned companies only — so the Audit &amp; Risk Committee is </w:t>
      </w:r>
      <w:r>
        <w:rPr>
          <w:rFonts w:ascii="Calibri" w:hAnsi="Calibri"/>
          <w:b/>
          <w:i w:val="0"/>
          <w:color w:val="000000"/>
          <w:sz w:val="21"/>
        </w:rPr>
        <w:t>voluntary</w:t>
      </w:r>
      <w:r>
        <w:rPr>
          <w:rFonts w:ascii="Calibri" w:hAnsi="Calibri"/>
          <w:b w:val="0"/>
          <w:i w:val="0"/>
          <w:color w:val="000000"/>
          <w:sz w:val="21"/>
        </w:rPr>
        <w:t xml:space="preserve"> unless the MOI requires it, and the s94(4) independence tests are persuasive, not binding.</w:t>
      </w:r>
    </w:p>
    <w:p>
      <w:pPr>
        <w:spacing w:after="100"/>
      </w:pPr>
      <w:r>
        <w:rPr>
          <w:rFonts w:ascii="Calibri" w:hAnsi="Calibri"/>
          <w:b w:val="0"/>
          <w:i w:val="0"/>
          <w:color w:val="000000"/>
          <w:sz w:val="21"/>
        </w:rPr>
        <w:t xml:space="preserve">Issues visible on the face of Document 4: Van de Wyk is Ubuntu's investment director and </w:t>
      </w:r>
      <w:r>
        <w:rPr>
          <w:rFonts w:ascii="Calibri" w:hAnsi="Calibri"/>
          <w:b/>
          <w:i w:val="0"/>
          <w:color w:val="000000"/>
          <w:sz w:val="21"/>
        </w:rPr>
        <w:t>chairs the Investment Committee</w:t>
      </w:r>
      <w:r>
        <w:rPr>
          <w:rFonts w:ascii="Calibri" w:hAnsi="Calibri"/>
          <w:b w:val="0"/>
          <w:i w:val="0"/>
          <w:color w:val="000000"/>
          <w:sz w:val="21"/>
        </w:rPr>
        <w:t xml:space="preserve"> (shareholder nominee chairing capital allocation — s75, consider recusal); Dr September chairs the board </w:t>
      </w:r>
      <w:r>
        <w:rPr>
          <w:rFonts w:ascii="Calibri" w:hAnsi="Calibri"/>
          <w:b/>
          <w:i w:val="0"/>
          <w:color w:val="000000"/>
          <w:sz w:val="21"/>
        </w:rPr>
        <w:t>and two committees</w:t>
      </w:r>
      <w:r>
        <w:rPr>
          <w:rFonts w:ascii="Calibri" w:hAnsi="Calibri"/>
          <w:b w:val="0"/>
          <w:i w:val="0"/>
          <w:color w:val="000000"/>
          <w:sz w:val="21"/>
        </w:rPr>
        <w:t xml:space="preserve"> (capacity and independence); Mthanda is a former audit partner — of which firm, and how long ago, because if it is KZL Inc a cooling-off period matters; only two of seven directors are independent.</w:t>
      </w:r>
    </w:p>
    <w:p>
      <w:pPr>
        <w:pStyle w:val="Heading3"/>
      </w:pPr>
      <w:r/>
      <w:r>
        <w:rPr>
          <w:rFonts w:ascii="Calibri" w:hAnsi="Calibri"/>
          <w:color w:val="000000"/>
        </w:rPr>
        <w:t>Controls and the AI pilot (Document 7)</w:t>
      </w:r>
    </w:p>
    <w:p>
      <w:pPr>
        <w:spacing w:after="100"/>
      </w:pPr>
      <w:r>
        <w:rPr>
          <w:rFonts w:ascii="Calibri" w:hAnsi="Calibri"/>
          <w:b w:val="0"/>
          <w:i w:val="0"/>
          <w:color w:val="000000"/>
          <w:sz w:val="21"/>
        </w:rPr>
        <w:t xml:space="preserve">The Audit &amp; Risk Committee has </w:t>
      </w:r>
      <w:r>
        <w:rPr>
          <w:rFonts w:ascii="Calibri" w:hAnsi="Calibri"/>
          <w:b/>
          <w:i w:val="0"/>
          <w:color w:val="000000"/>
          <w:sz w:val="21"/>
        </w:rPr>
        <w:t>requested assurance</w:t>
      </w:r>
      <w:r>
        <w:rPr>
          <w:rFonts w:ascii="Calibri" w:hAnsi="Calibri"/>
          <w:b w:val="0"/>
          <w:i w:val="0"/>
          <w:color w:val="000000"/>
          <w:sz w:val="21"/>
        </w:rPr>
        <w:t xml:space="preserve"> over the processes and controls supporting the AI maintenance pilot at Johannesburg 1 before wider implementation. That sentence is a task instruction.</w:t>
      </w:r>
    </w:p>
    <w:p>
      <w:pPr>
        <w:pStyle w:val="ListBullet"/>
        <w:spacing w:after="60"/>
        <w:ind w:left="425"/>
      </w:pPr>
      <w:r/>
      <w:r>
        <w:rPr>
          <w:rFonts w:ascii="Calibri" w:hAnsi="Calibri"/>
          <w:b/>
          <w:i w:val="0"/>
          <w:color w:val="000000"/>
          <w:sz w:val="21"/>
        </w:rPr>
        <w:t>Governance:</w:t>
      </w:r>
      <w:r>
        <w:rPr>
          <w:rFonts w:ascii="Calibri" w:hAnsi="Calibri"/>
          <w:b w:val="0"/>
          <w:i w:val="0"/>
          <w:color w:val="000000"/>
          <w:sz w:val="21"/>
        </w:rPr>
        <w:t xml:space="preserve"> approved purpose and scope, model inventory, committee approval before rollout.</w:t>
      </w:r>
    </w:p>
    <w:p>
      <w:pPr>
        <w:pStyle w:val="ListBullet"/>
        <w:spacing w:after="60"/>
        <w:ind w:left="425"/>
      </w:pPr>
      <w:r/>
      <w:r>
        <w:rPr>
          <w:rFonts w:ascii="Calibri" w:hAnsi="Calibri"/>
          <w:b/>
          <w:i w:val="0"/>
          <w:color w:val="000000"/>
          <w:sz w:val="21"/>
        </w:rPr>
        <w:t>Input:</w:t>
      </w:r>
      <w:r>
        <w:rPr>
          <w:rFonts w:ascii="Calibri" w:hAnsi="Calibri"/>
          <w:b w:val="0"/>
          <w:i w:val="0"/>
          <w:color w:val="000000"/>
          <w:sz w:val="21"/>
        </w:rPr>
        <w:t xml:space="preserve"> completeness and accuracy of the sensor and operational data; segregation between preparer and reviewer.</w:t>
      </w:r>
    </w:p>
    <w:p>
      <w:pPr>
        <w:pStyle w:val="ListBullet"/>
        <w:spacing w:after="60"/>
        <w:ind w:left="425"/>
      </w:pPr>
      <w:r/>
      <w:r>
        <w:rPr>
          <w:rFonts w:ascii="Calibri" w:hAnsi="Calibri"/>
          <w:b/>
          <w:i w:val="0"/>
          <w:color w:val="000000"/>
          <w:sz w:val="21"/>
        </w:rPr>
        <w:t>Model:</w:t>
      </w:r>
      <w:r>
        <w:rPr>
          <w:rFonts w:ascii="Calibri" w:hAnsi="Calibri"/>
          <w:b w:val="0"/>
          <w:i w:val="0"/>
          <w:color w:val="000000"/>
          <w:sz w:val="21"/>
        </w:rPr>
        <w:t xml:space="preserve"> version control, change management, revalidation after changes, independent validation separate from the developer.</w:t>
      </w:r>
    </w:p>
    <w:p>
      <w:pPr>
        <w:pStyle w:val="ListBullet"/>
        <w:spacing w:after="60"/>
        <w:ind w:left="425"/>
      </w:pPr>
      <w:r/>
      <w:r>
        <w:rPr>
          <w:rFonts w:ascii="Calibri" w:hAnsi="Calibri"/>
          <w:b/>
          <w:i w:val="0"/>
          <w:color w:val="000000"/>
          <w:sz w:val="21"/>
        </w:rPr>
        <w:t>Output:</w:t>
      </w:r>
      <w:r>
        <w:rPr>
          <w:rFonts w:ascii="Calibri" w:hAnsi="Calibri"/>
          <w:b w:val="0"/>
          <w:i w:val="0"/>
          <w:color w:val="000000"/>
          <w:sz w:val="21"/>
        </w:rPr>
        <w:t xml:space="preserve"> grounding and factual verification, reasonableness against engineering judgement — the tool recommends, a human decides.</w:t>
      </w:r>
    </w:p>
    <w:p>
      <w:pPr>
        <w:pStyle w:val="ListBullet"/>
        <w:spacing w:after="60"/>
        <w:ind w:left="425"/>
      </w:pPr>
      <w:r/>
      <w:r>
        <w:rPr>
          <w:rFonts w:ascii="Calibri" w:hAnsi="Calibri"/>
          <w:b/>
          <w:i w:val="0"/>
          <w:color w:val="000000"/>
          <w:sz w:val="21"/>
        </w:rPr>
        <w:t>Monitoring:</w:t>
      </w:r>
      <w:r>
        <w:rPr>
          <w:rFonts w:ascii="Calibri" w:hAnsi="Calibri"/>
          <w:b w:val="0"/>
          <w:i w:val="0"/>
          <w:color w:val="000000"/>
          <w:sz w:val="21"/>
        </w:rPr>
        <w:t xml:space="preserve"> exception reporting, incident logging, and tracking </w:t>
      </w:r>
      <w:r>
        <w:rPr>
          <w:rFonts w:ascii="Calibri" w:hAnsi="Calibri"/>
          <w:b/>
          <w:i w:val="0"/>
          <w:color w:val="000000"/>
          <w:sz w:val="21"/>
        </w:rPr>
        <w:t>false negatives</w:t>
      </w:r>
      <w:r>
        <w:rPr>
          <w:rFonts w:ascii="Calibri" w:hAnsi="Calibri"/>
          <w:b w:val="0"/>
          <w:i w:val="0"/>
          <w:color w:val="000000"/>
          <w:sz w:val="21"/>
        </w:rPr>
        <w:t xml:space="preserve"> (equipment not flagged that then failed) — which matter far more than false positives when the promise is five nines.</w:t>
      </w:r>
    </w:p>
    <w:p>
      <w:pPr>
        <w:pStyle w:val="ListBullet"/>
        <w:spacing w:after="60"/>
        <w:ind w:left="425"/>
      </w:pPr>
      <w:r/>
      <w:r>
        <w:rPr>
          <w:rFonts w:ascii="Calibri" w:hAnsi="Calibri"/>
          <w:b/>
          <w:i w:val="0"/>
          <w:color w:val="000000"/>
          <w:sz w:val="21"/>
        </w:rPr>
        <w:t>Fallback:</w:t>
      </w:r>
      <w:r>
        <w:rPr>
          <w:rFonts w:ascii="Calibri" w:hAnsi="Calibri"/>
          <w:b w:val="0"/>
          <w:i w:val="0"/>
          <w:color w:val="000000"/>
          <w:sz w:val="21"/>
        </w:rPr>
        <w:t xml:space="preserve"> the existing maintenance regime must still work if the tool is unavailable.</w:t>
      </w:r>
    </w:p>
    <w:p>
      <w:pPr>
        <w:spacing w:after="100"/>
      </w:pPr>
      <w:r>
        <w:rPr>
          <w:rFonts w:ascii="Calibri" w:hAnsi="Calibri"/>
          <w:b w:val="0"/>
          <w:i w:val="0"/>
          <w:color w:val="000000"/>
          <w:sz w:val="21"/>
        </w:rPr>
        <w:t xml:space="preserve">If instead they ask about the </w:t>
      </w:r>
      <w:r>
        <w:rPr>
          <w:rFonts w:ascii="Calibri" w:hAnsi="Calibri"/>
          <w:b/>
          <w:i w:val="0"/>
          <w:color w:val="000000"/>
          <w:sz w:val="21"/>
        </w:rPr>
        <w:t>JHB4 scorecard</w:t>
      </w:r>
      <w:r>
        <w:rPr>
          <w:rFonts w:ascii="Calibri" w:hAnsi="Calibri"/>
          <w:b w:val="0"/>
          <w:i w:val="0"/>
          <w:color w:val="000000"/>
          <w:sz w:val="21"/>
        </w:rPr>
        <w:t>: no measure of build quality; schedule and cost measures conflict; "net interest not capitalised" holds the delivery team to a treasury outcome it only partly controls; no weighting of safety against the rest. Recommend SMART replacements.</w:t>
      </w:r>
    </w:p>
    <w:p>
      <w:pPr>
        <w:pStyle w:val="Heading3"/>
      </w:pPr>
      <w:r/>
      <w:r>
        <w:rPr>
          <w:rFonts w:ascii="Calibri" w:hAnsi="Calibri"/>
          <w:color w:val="000000"/>
        </w:rPr>
        <w:t>A possible listing (Documents 3 and 4)</w:t>
      </w:r>
    </w:p>
    <w:p>
      <w:pPr>
        <w:spacing w:after="100"/>
      </w:pPr>
      <w:r>
        <w:rPr>
          <w:rFonts w:ascii="Calibri" w:hAnsi="Calibri"/>
          <w:b w:val="0"/>
          <w:i w:val="0"/>
          <w:color w:val="000000"/>
          <w:sz w:val="21"/>
        </w:rPr>
        <w:t xml:space="preserve">Document 4 is a </w:t>
      </w:r>
      <w:r>
        <w:rPr>
          <w:rFonts w:ascii="Calibri" w:hAnsi="Calibri"/>
          <w:b/>
          <w:i w:val="0"/>
          <w:color w:val="000000"/>
          <w:sz w:val="21"/>
        </w:rPr>
        <w:t>draft information memorandum for a strategic funding review</w:t>
      </w:r>
      <w:r>
        <w:rPr>
          <w:rFonts w:ascii="Calibri" w:hAnsi="Calibri"/>
          <w:b w:val="0"/>
          <w:i w:val="0"/>
          <w:color w:val="000000"/>
          <w:sz w:val="21"/>
        </w:rPr>
        <w:t xml:space="preserve">, and Document 3 lists "a new strategic investor" as a funding option. If the day turns this into a listing question: Axion is </w:t>
      </w:r>
      <w:r>
        <w:rPr>
          <w:rFonts w:ascii="Calibri" w:hAnsi="Calibri"/>
          <w:b/>
          <w:i w:val="0"/>
          <w:color w:val="000000"/>
          <w:sz w:val="21"/>
        </w:rPr>
        <w:t>eligible on the financial tests</w:t>
      </w:r>
      <w:r>
        <w:rPr>
          <w:rFonts w:ascii="Calibri" w:hAnsi="Calibri"/>
          <w:b w:val="0"/>
          <w:i w:val="0"/>
          <w:color w:val="000000"/>
          <w:sz w:val="21"/>
        </w:rPr>
        <w:t xml:space="preserve"> — PBT of R325m easily clears the R15m Main Board profit threshold, and net assets of about R5.4bn clear the R500m alternative asset route. The obstacles are </w:t>
      </w:r>
      <w:r>
        <w:rPr>
          <w:rFonts w:ascii="Calibri" w:hAnsi="Calibri"/>
          <w:b/>
          <w:i w:val="0"/>
          <w:color w:val="000000"/>
          <w:sz w:val="21"/>
        </w:rPr>
        <w:t>structural</w:t>
      </w:r>
      <w:r>
        <w:rPr>
          <w:rFonts w:ascii="Calibri" w:hAnsi="Calibri"/>
          <w:b w:val="0"/>
          <w:i w:val="0"/>
          <w:color w:val="000000"/>
          <w:sz w:val="21"/>
        </w:rPr>
        <w:t xml:space="preserve">: at least 25 million issued shares, a </w:t>
      </w:r>
      <w:r>
        <w:rPr>
          <w:rFonts w:ascii="Calibri" w:hAnsi="Calibri"/>
          <w:b/>
          <w:i w:val="0"/>
          <w:color w:val="000000"/>
          <w:sz w:val="21"/>
        </w:rPr>
        <w:t>10% free float</w:t>
      </w:r>
      <w:r>
        <w:rPr>
          <w:rFonts w:ascii="Calibri" w:hAnsi="Calibri"/>
          <w:b w:val="0"/>
          <w:i w:val="0"/>
          <w:color w:val="000000"/>
          <w:sz w:val="21"/>
        </w:rPr>
        <w:t xml:space="preserve"> and </w:t>
      </w:r>
      <w:r>
        <w:rPr>
          <w:rFonts w:ascii="Calibri" w:hAnsi="Calibri"/>
          <w:b/>
          <w:i w:val="0"/>
          <w:color w:val="000000"/>
          <w:sz w:val="21"/>
        </w:rPr>
        <w:t>100 public shareholders</w:t>
      </w:r>
      <w:r>
        <w:rPr>
          <w:rFonts w:ascii="Calibri" w:hAnsi="Calibri"/>
          <w:b w:val="0"/>
          <w:i w:val="0"/>
          <w:color w:val="000000"/>
          <w:sz w:val="21"/>
        </w:rPr>
        <w:t xml:space="preserve">, none of which a privately held company has. Also unconfirmed: whether the three years are </w:t>
      </w:r>
      <w:r>
        <w:rPr>
          <w:rFonts w:ascii="Calibri" w:hAnsi="Calibri"/>
          <w:b/>
          <w:i w:val="0"/>
          <w:color w:val="000000"/>
          <w:sz w:val="21"/>
        </w:rPr>
        <w:t>audited</w:t>
      </w:r>
      <w:r>
        <w:rPr>
          <w:rFonts w:ascii="Calibri" w:hAnsi="Calibri"/>
          <w:b w:val="0"/>
          <w:i w:val="0"/>
          <w:color w:val="000000"/>
          <w:sz w:val="21"/>
        </w:rPr>
        <w:t>, the JSE-defined NAV, the share register, 12-month control history and sponsor appointment.</w:t>
      </w:r>
    </w:p>
    <w:p>
      <w:pPr>
        <w:pStyle w:val="Heading2"/>
      </w:pPr>
      <w:r/>
      <w:r>
        <w:rPr>
          <w:rFonts w:ascii="Calibri" w:hAnsi="Calibri"/>
          <w:color w:val="000000"/>
        </w:rPr>
        <w:t>The four sentences that decide four different tasks</w:t>
      </w:r>
    </w:p>
    <w:p>
      <w:pPr>
        <w:pStyle w:val="ListNumber"/>
        <w:spacing w:after="60"/>
        <w:ind w:left="425"/>
      </w:pPr>
      <w:r/>
      <w:r>
        <w:rPr>
          <w:rFonts w:ascii="Calibri" w:hAnsi="Calibri"/>
          <w:b/>
          <w:i w:val="0"/>
          <w:color w:val="000000"/>
          <w:sz w:val="21"/>
        </w:rPr>
        <w:t>"Axion does not provide financing to its customers."</w:t>
      </w:r>
      <w:r>
        <w:rPr>
          <w:rFonts w:ascii="Calibri" w:hAnsi="Calibri"/>
          <w:b w:val="0"/>
          <w:i w:val="0"/>
          <w:color w:val="000000"/>
          <w:sz w:val="21"/>
        </w:rPr>
        <w:t xml:space="preserve"> Closes the significant financing component under IFRS 15 </w:t>
      </w:r>
      <w:r>
        <w:rPr>
          <w:rFonts w:ascii="Calibri" w:hAnsi="Calibri"/>
          <w:b/>
          <w:i w:val="0"/>
          <w:color w:val="000000"/>
          <w:sz w:val="21"/>
        </w:rPr>
        <w:t>and</w:t>
      </w:r>
      <w:r>
        <w:rPr>
          <w:rFonts w:ascii="Calibri" w:hAnsi="Calibri"/>
          <w:b w:val="0"/>
          <w:i w:val="0"/>
          <w:color w:val="000000"/>
          <w:sz w:val="21"/>
        </w:rPr>
        <w:t xml:space="preserve"> the specified main business activity test under IFRS 18.</w:t>
      </w:r>
    </w:p>
    <w:p>
      <w:pPr>
        <w:pStyle w:val="ListNumber"/>
        <w:spacing w:after="60"/>
        <w:ind w:left="425"/>
      </w:pPr>
      <w:r/>
      <w:r>
        <w:rPr>
          <w:rFonts w:ascii="Calibri" w:hAnsi="Calibri"/>
          <w:b/>
          <w:i w:val="0"/>
          <w:color w:val="000000"/>
          <w:sz w:val="21"/>
        </w:rPr>
        <w:t>"Customers may contract for capacity before they begin using it."</w:t>
      </w:r>
      <w:r>
        <w:rPr>
          <w:rFonts w:ascii="Calibri" w:hAnsi="Calibri"/>
          <w:b w:val="0"/>
          <w:i w:val="0"/>
          <w:color w:val="000000"/>
          <w:sz w:val="21"/>
        </w:rPr>
        <w:t xml:space="preserve"> Stand-ready obligation, and the 5 MW gap.</w:t>
      </w:r>
    </w:p>
    <w:p>
      <w:pPr>
        <w:pStyle w:val="ListNumber"/>
        <w:spacing w:after="60"/>
        <w:ind w:left="425"/>
      </w:pPr>
      <w:r/>
      <w:r>
        <w:rPr>
          <w:rFonts w:ascii="Calibri" w:hAnsi="Calibri"/>
          <w:b/>
          <w:i w:val="0"/>
          <w:color w:val="000000"/>
          <w:sz w:val="21"/>
        </w:rPr>
        <w:t>"Purchase commitments may begin before the new facility is fully utilised."</w:t>
      </w:r>
      <w:r>
        <w:rPr>
          <w:rFonts w:ascii="Calibri" w:hAnsi="Calibri"/>
          <w:b w:val="0"/>
          <w:i w:val="0"/>
          <w:color w:val="000000"/>
          <w:sz w:val="21"/>
        </w:rPr>
        <w:t xml:space="preserve"> IAS 37 onerous contract on a long-term offtake.</w:t>
      </w:r>
    </w:p>
    <w:p>
      <w:pPr>
        <w:pStyle w:val="ListNumber"/>
        <w:spacing w:after="60"/>
        <w:ind w:left="425"/>
      </w:pPr>
      <w:r/>
      <w:r>
        <w:rPr>
          <w:rFonts w:ascii="Calibri" w:hAnsi="Calibri"/>
          <w:b/>
          <w:i w:val="0"/>
          <w:color w:val="000000"/>
          <w:sz w:val="21"/>
        </w:rPr>
        <w:t>"Not included in Axion external communications."</w:t>
      </w:r>
      <w:r>
        <w:rPr>
          <w:rFonts w:ascii="Calibri" w:hAnsi="Calibri"/>
          <w:b w:val="0"/>
          <w:i w:val="0"/>
          <w:color w:val="000000"/>
          <w:sz w:val="21"/>
        </w:rPr>
        <w:t xml:space="preserve"> Decides the MPM question — net interest not capitalised is not an MPM.</w:t>
      </w:r>
    </w:p>
    <w:p>
      <w:pPr>
        <w:pStyle w:val="Heading2"/>
      </w:pPr>
      <w:r/>
      <w:r>
        <w:rPr>
          <w:rFonts w:ascii="Calibri" w:hAnsi="Calibri"/>
          <w:color w:val="000000"/>
        </w:rPr>
        <w:t>The management accounting angle I must not miss</w:t>
      </w:r>
    </w:p>
    <w:p>
      <w:pPr>
        <w:spacing w:after="100"/>
      </w:pPr>
      <w:r>
        <w:rPr>
          <w:rFonts w:ascii="Calibri" w:hAnsi="Calibri"/>
          <w:b w:val="0"/>
          <w:i w:val="0"/>
          <w:color w:val="000000"/>
          <w:sz w:val="21"/>
        </w:rPr>
        <w:t xml:space="preserve">Only </w:t>
      </w:r>
      <w:r>
        <w:rPr>
          <w:rFonts w:ascii="Calibri" w:hAnsi="Calibri"/>
          <w:b/>
          <w:i w:val="0"/>
          <w:color w:val="000000"/>
          <w:sz w:val="21"/>
        </w:rPr>
        <w:t>5 MW</w:t>
      </w:r>
      <w:r>
        <w:rPr>
          <w:rFonts w:ascii="Calibri" w:hAnsi="Calibri"/>
          <w:b w:val="0"/>
          <w:i w:val="0"/>
          <w:color w:val="000000"/>
          <w:sz w:val="21"/>
        </w:rPr>
        <w:t xml:space="preserve"> of installed capacity is left to sell. If the day gives me competing customers, that is a </w:t>
      </w:r>
      <w:r>
        <w:rPr>
          <w:rFonts w:ascii="Calibri" w:hAnsi="Calibri"/>
          <w:b/>
          <w:i w:val="0"/>
          <w:color w:val="000000"/>
          <w:sz w:val="21"/>
        </w:rPr>
        <w:t>limiting factor</w:t>
      </w:r>
      <w:r>
        <w:rPr>
          <w:rFonts w:ascii="Calibri" w:hAnsi="Calibri"/>
          <w:b w:val="0"/>
          <w:i w:val="0"/>
          <w:color w:val="000000"/>
          <w:sz w:val="21"/>
        </w:rPr>
        <w:t xml:space="preserve"> problem. Rank on </w:t>
      </w:r>
      <w:r>
        <w:rPr>
          <w:rFonts w:ascii="Calibri" w:hAnsi="Calibri"/>
          <w:b/>
          <w:i w:val="0"/>
          <w:color w:val="000000"/>
          <w:sz w:val="21"/>
        </w:rPr>
        <w:t>contribution per MW</w:t>
      </w:r>
      <w:r>
        <w:rPr>
          <w:rFonts w:ascii="Calibri" w:hAnsi="Calibri"/>
          <w:b w:val="0"/>
          <w:i w:val="0"/>
          <w:color w:val="000000"/>
          <w:sz w:val="21"/>
        </w:rPr>
        <w:t xml:space="preserve"> = capacity fees + power margin + interconnection + ancillary, less the customer's electricity, variable support costs and credit losses, for each MW reserved. Then adjust for what the number does not capture: contract length, credit quality, power density, </w:t>
      </w:r>
      <w:r>
        <w:rPr>
          <w:rFonts w:ascii="Calibri" w:hAnsi="Calibri"/>
          <w:b/>
          <w:i w:val="0"/>
          <w:color w:val="000000"/>
          <w:sz w:val="21"/>
        </w:rPr>
        <w:t>ecosystem value</w:t>
      </w:r>
      <w:r>
        <w:rPr>
          <w:rFonts w:ascii="Calibri" w:hAnsi="Calibri"/>
          <w:b w:val="0"/>
          <w:i w:val="0"/>
          <w:color w:val="000000"/>
          <w:sz w:val="21"/>
        </w:rPr>
        <w:t xml:space="preserve"> and strategic fit. And remember the two different meanings of "5 MW" — 5 MW still to sell, and a 5 MW gap between contracted and utilised.</w:t>
      </w:r>
    </w:p>
    <w:p>
      <w:pPr>
        <w:spacing w:before="80" w:after="80"/>
        <w:pBdr>
          <w:bottom w:val="single" w:sz="6" w:color="BFBFBF" w:space="1"/>
        </w:pBdr>
      </w:pPr>
    </w:p>
    <w:p>
      <w:pPr>
        <w:pStyle w:val="Heading1"/>
      </w:pPr>
      <w:r/>
      <w:r>
        <w:rPr>
          <w:rFonts w:ascii="Calibri" w:hAnsi="Calibri"/>
          <w:color w:val="000000"/>
        </w:rPr>
        <w:t>PART 3 — Information on the day</w:t>
      </w:r>
    </w:p>
    <w:p>
      <w:pPr>
        <w:pStyle w:val="Heading2"/>
      </w:pPr>
      <w:r/>
      <w:r>
        <w:rPr>
          <w:rFonts w:ascii="Calibri" w:hAnsi="Calibri"/>
          <w:color w:val="000000"/>
        </w:rPr>
        <w:t>What the day can do to my research</w:t>
      </w:r>
    </w:p>
    <w:p>
      <w:pPr>
        <w:spacing w:after="100"/>
      </w:pPr>
      <w:r>
        <w:rPr>
          <w:rFonts w:ascii="Calibri" w:hAnsi="Calibri"/>
          <w:b w:val="0"/>
          <w:i w:val="0"/>
          <w:color w:val="000000"/>
          <w:sz w:val="21"/>
        </w:rPr>
        <w:t>Five possibilities, and I should expect at least two of them:</w:t>
      </w:r>
    </w:p>
    <w:p>
      <w:pPr>
        <w:pStyle w:val="ListBullet"/>
        <w:spacing w:after="60"/>
        <w:ind w:left="425"/>
      </w:pPr>
      <w:r/>
      <w:r>
        <w:rPr>
          <w:rFonts w:ascii="Calibri" w:hAnsi="Calibri"/>
          <w:b/>
          <w:i w:val="0"/>
          <w:color w:val="000000"/>
          <w:sz w:val="21"/>
        </w:rPr>
        <w:t>Give me the specific task</w:t>
      </w:r>
      <w:r>
        <w:rPr>
          <w:rFonts w:ascii="Calibri" w:hAnsi="Calibri"/>
          <w:b w:val="0"/>
          <w:i w:val="0"/>
          <w:color w:val="000000"/>
          <w:sz w:val="21"/>
        </w:rPr>
        <w:t xml:space="preserve"> for a topic I prepared. Lovely. Rare.</w:t>
      </w:r>
    </w:p>
    <w:p>
      <w:pPr>
        <w:pStyle w:val="ListBullet"/>
        <w:spacing w:after="60"/>
        <w:ind w:left="425"/>
      </w:pPr>
      <w:r/>
      <w:r>
        <w:rPr>
          <w:rFonts w:ascii="Calibri" w:hAnsi="Calibri"/>
          <w:b/>
          <w:i w:val="0"/>
          <w:color w:val="000000"/>
          <w:sz w:val="21"/>
        </w:rPr>
        <w:t>Supply the inputs</w:t>
      </w:r>
      <w:r>
        <w:rPr>
          <w:rFonts w:ascii="Calibri" w:hAnsi="Calibri"/>
          <w:b w:val="0"/>
          <w:i w:val="0"/>
          <w:color w:val="000000"/>
          <w:sz w:val="21"/>
        </w:rPr>
        <w:t xml:space="preserve"> I was waiting for — the contract, the figures, the capacity data.</w:t>
      </w:r>
    </w:p>
    <w:p>
      <w:pPr>
        <w:pStyle w:val="ListBullet"/>
        <w:spacing w:after="60"/>
        <w:ind w:left="425"/>
      </w:pPr>
      <w:r/>
      <w:r>
        <w:rPr>
          <w:rFonts w:ascii="Calibri" w:hAnsi="Calibri"/>
          <w:b/>
          <w:i w:val="0"/>
          <w:color w:val="000000"/>
          <w:sz w:val="21"/>
        </w:rPr>
        <w:t>Change what I expected.</w:t>
      </w:r>
      <w:r>
        <w:rPr>
          <w:rFonts w:ascii="Calibri" w:hAnsi="Calibri"/>
          <w:b w:val="0"/>
          <w:i w:val="0"/>
          <w:color w:val="000000"/>
          <w:sz w:val="21"/>
        </w:rPr>
        <w:t xml:space="preserve"> I prepared to build a valuation; they hand me one to review. I prepared the five-step revenue model; they ask me to critique three journals.</w:t>
      </w:r>
    </w:p>
    <w:p>
      <w:pPr>
        <w:pStyle w:val="ListBullet"/>
        <w:spacing w:after="60"/>
        <w:ind w:left="425"/>
      </w:pPr>
      <w:r/>
      <w:r>
        <w:rPr>
          <w:rFonts w:ascii="Calibri" w:hAnsi="Calibri"/>
          <w:b/>
          <w:i w:val="0"/>
          <w:color w:val="000000"/>
          <w:sz w:val="21"/>
        </w:rPr>
        <w:t>Change what I thought I knew — the twist.</w:t>
      </w:r>
      <w:r>
        <w:rPr>
          <w:rFonts w:ascii="Calibri" w:hAnsi="Calibri"/>
          <w:b w:val="0"/>
          <w:i w:val="0"/>
          <w:color w:val="000000"/>
          <w:sz w:val="21"/>
        </w:rPr>
        <w:t xml:space="preserve"> I thought the company was acquiring; it is being acquired. I expected management's perspective; I am given the auditor's.</w:t>
      </w:r>
    </w:p>
    <w:p>
      <w:pPr>
        <w:pStyle w:val="ListBullet"/>
        <w:spacing w:after="60"/>
        <w:ind w:left="425"/>
      </w:pPr>
      <w:r/>
      <w:r>
        <w:rPr>
          <w:rFonts w:ascii="Calibri" w:hAnsi="Calibri"/>
          <w:b/>
          <w:i w:val="0"/>
          <w:color w:val="000000"/>
          <w:sz w:val="21"/>
        </w:rPr>
        <w:t>Take me completely by surprise.</w:t>
      </w:r>
      <w:r>
        <w:rPr>
          <w:rFonts w:ascii="Calibri" w:hAnsi="Calibri"/>
          <w:b w:val="0"/>
          <w:i w:val="0"/>
          <w:color w:val="000000"/>
          <w:sz w:val="21"/>
        </w:rPr>
        <w:t xml:space="preserve"> Usually ethics. Ethics is almost never triggered in the pre-release, so I should plan to meet the dilemma for the first time on the day and rely on structure, not content.</w:t>
      </w:r>
    </w:p>
    <w:p>
      <w:pPr>
        <w:pStyle w:val="Heading2"/>
      </w:pPr>
      <w:r/>
      <w:r>
        <w:rPr>
          <w:rFonts w:ascii="Calibri" w:hAnsi="Calibri"/>
          <w:color w:val="000000"/>
        </w:rPr>
        <w:t>The rule: everything on the day is there for a reason</w:t>
      </w:r>
    </w:p>
    <w:p>
      <w:pPr>
        <w:spacing w:after="100"/>
      </w:pPr>
      <w:r>
        <w:rPr>
          <w:rFonts w:ascii="Calibri" w:hAnsi="Calibri"/>
          <w:b w:val="0"/>
          <w:i w:val="0"/>
          <w:color w:val="000000"/>
          <w:sz w:val="21"/>
        </w:rPr>
        <w:t>For every line of new information, ask four questions:</w:t>
      </w:r>
    </w:p>
    <w:p>
      <w:pPr>
        <w:pStyle w:val="ListNumber"/>
        <w:spacing w:after="60"/>
        <w:ind w:left="425"/>
      </w:pPr>
      <w:r/>
      <w:r>
        <w:rPr>
          <w:rFonts w:ascii="Calibri" w:hAnsi="Calibri"/>
          <w:b w:val="0"/>
          <w:i w:val="0"/>
          <w:color w:val="000000"/>
          <w:sz w:val="21"/>
        </w:rPr>
        <w:t>Why was I given this?</w:t>
      </w:r>
    </w:p>
    <w:p>
      <w:pPr>
        <w:pStyle w:val="ListNumber"/>
        <w:spacing w:after="60"/>
        <w:ind w:left="425"/>
      </w:pPr>
      <w:r/>
      <w:r>
        <w:rPr>
          <w:rFonts w:ascii="Calibri" w:hAnsi="Calibri"/>
          <w:b w:val="0"/>
          <w:i w:val="0"/>
          <w:color w:val="000000"/>
          <w:sz w:val="21"/>
        </w:rPr>
        <w:t>How does it change what I already knew?</w:t>
      </w:r>
    </w:p>
    <w:p>
      <w:pPr>
        <w:pStyle w:val="ListNumber"/>
        <w:spacing w:after="60"/>
        <w:ind w:left="425"/>
      </w:pPr>
      <w:r/>
      <w:r>
        <w:rPr>
          <w:rFonts w:ascii="Calibri" w:hAnsi="Calibri"/>
          <w:b w:val="0"/>
          <w:i w:val="0"/>
          <w:color w:val="000000"/>
          <w:sz w:val="21"/>
        </w:rPr>
        <w:t>What am I supposed to do with it?</w:t>
      </w:r>
    </w:p>
    <w:p>
      <w:pPr>
        <w:pStyle w:val="ListNumber"/>
        <w:spacing w:after="60"/>
        <w:ind w:left="425"/>
      </w:pPr>
      <w:r/>
      <w:r>
        <w:rPr>
          <w:rFonts w:ascii="Calibri" w:hAnsi="Calibri"/>
          <w:b w:val="0"/>
          <w:i w:val="0"/>
          <w:color w:val="000000"/>
          <w:sz w:val="21"/>
        </w:rPr>
        <w:t xml:space="preserve">How do I </w:t>
      </w:r>
      <w:r>
        <w:rPr>
          <w:rFonts w:ascii="Calibri" w:hAnsi="Calibri"/>
          <w:b/>
          <w:i w:val="0"/>
          <w:color w:val="000000"/>
          <w:sz w:val="21"/>
        </w:rPr>
        <w:t>show the marker</w:t>
      </w:r>
      <w:r>
        <w:rPr>
          <w:rFonts w:ascii="Calibri" w:hAnsi="Calibri"/>
          <w:b w:val="0"/>
          <w:i w:val="0"/>
          <w:color w:val="000000"/>
          <w:sz w:val="21"/>
        </w:rPr>
        <w:t xml:space="preserve"> that I understood its significance?</w:t>
      </w:r>
    </w:p>
    <w:p>
      <w:pPr>
        <w:spacing w:after="100"/>
      </w:pPr>
      <w:r>
        <w:rPr>
          <w:rFonts w:ascii="Calibri" w:hAnsi="Calibri"/>
          <w:b w:val="0"/>
          <w:i w:val="0"/>
          <w:color w:val="000000"/>
          <w:sz w:val="21"/>
        </w:rPr>
        <w:t>That fourth one is the one I forget. Understanding it silently earns nothing. I have to write the sentence that proves I used it.</w:t>
      </w:r>
    </w:p>
    <w:p>
      <w:pPr>
        <w:pStyle w:val="Heading2"/>
      </w:pPr>
      <w:r/>
      <w:r>
        <w:rPr>
          <w:rFonts w:ascii="Calibri" w:hAnsi="Calibri"/>
          <w:color w:val="000000"/>
        </w:rPr>
        <w:t>The hardest thing, and the one that separates grades</w:t>
      </w:r>
    </w:p>
    <w:p>
      <w:pPr>
        <w:spacing w:after="100"/>
      </w:pPr>
      <w:r>
        <w:rPr>
          <w:rFonts w:ascii="Calibri" w:hAnsi="Calibri"/>
          <w:b/>
          <w:i w:val="0"/>
          <w:color w:val="000000"/>
          <w:sz w:val="21"/>
        </w:rPr>
        <w:t>Identify which of my research is now irrelevant, and throw it away.</w:t>
      </w:r>
      <w:r>
        <w:rPr>
          <w:rFonts w:ascii="Calibri" w:hAnsi="Calibri"/>
          <w:b w:val="0"/>
          <w:i w:val="0"/>
          <w:color w:val="000000"/>
          <w:sz w:val="21"/>
        </w:rPr>
        <w:t xml:space="preserve"> Being ruthless here is the only thing that prevents dumping. If I prepared twelve pages on IFRS 16 and they ask about the power recharge under IFRS 15, those twelve pages are worth nothing today. Writing them anyway actively costs me marks and, worse, time.</w:t>
      </w:r>
    </w:p>
    <w:p>
      <w:pPr>
        <w:spacing w:after="100"/>
      </w:pPr>
      <w:r>
        <w:rPr>
          <w:rFonts w:ascii="Calibri" w:hAnsi="Calibri"/>
          <w:b w:val="0"/>
          <w:i w:val="0"/>
          <w:color w:val="000000"/>
          <w:sz w:val="21"/>
        </w:rPr>
        <w:t xml:space="preserve">The goal is to </w:t>
      </w:r>
      <w:r>
        <w:rPr>
          <w:rFonts w:ascii="Calibri" w:hAnsi="Calibri"/>
          <w:b/>
          <w:i w:val="0"/>
          <w:color w:val="000000"/>
          <w:sz w:val="21"/>
        </w:rPr>
        <w:t>answer the task</w:t>
      </w:r>
      <w:r>
        <w:rPr>
          <w:rFonts w:ascii="Calibri" w:hAnsi="Calibri"/>
          <w:b w:val="0"/>
          <w:i w:val="0"/>
          <w:color w:val="000000"/>
          <w:sz w:val="21"/>
        </w:rPr>
        <w:t>, not to apply my research. Sometimes my research turns out to be largely irrelevant. That is fine and it is normal.</w:t>
      </w:r>
    </w:p>
    <w:p>
      <w:pPr>
        <w:pStyle w:val="Heading2"/>
      </w:pPr>
      <w:r/>
      <w:r>
        <w:rPr>
          <w:rFonts w:ascii="Calibri" w:hAnsi="Calibri"/>
          <w:color w:val="000000"/>
        </w:rPr>
        <w:t>Planning the day — the mechanics</w:t>
      </w:r>
    </w:p>
    <w:p>
      <w:pPr>
        <w:pStyle w:val="ListNumber"/>
        <w:spacing w:after="60"/>
        <w:ind w:left="425"/>
      </w:pPr>
      <w:r/>
      <w:r>
        <w:rPr>
          <w:rFonts w:ascii="Calibri" w:hAnsi="Calibri"/>
          <w:b/>
          <w:i w:val="0"/>
          <w:color w:val="000000"/>
          <w:sz w:val="21"/>
        </w:rPr>
        <w:t>Read the task list first and count the tasks.</w:t>
      </w:r>
      <w:r>
        <w:rPr>
          <w:rFonts w:ascii="Calibri" w:hAnsi="Calibri"/>
          <w:b w:val="0"/>
          <w:i w:val="0"/>
          <w:color w:val="000000"/>
          <w:sz w:val="21"/>
        </w:rPr>
        <w:t xml:space="preserve"> Note the requested </w:t>
      </w:r>
      <w:r>
        <w:rPr>
          <w:rFonts w:ascii="Calibri" w:hAnsi="Calibri"/>
          <w:b/>
          <w:i w:val="0"/>
          <w:color w:val="000000"/>
          <w:sz w:val="21"/>
        </w:rPr>
        <w:t>format</w:t>
      </w:r>
      <w:r>
        <w:rPr>
          <w:rFonts w:ascii="Calibri" w:hAnsi="Calibri"/>
          <w:b w:val="0"/>
          <w:i w:val="0"/>
          <w:color w:val="000000"/>
          <w:sz w:val="21"/>
        </w:rPr>
        <w:t xml:space="preserve"> of each one — email, memo, report, minutes, slides — because that tells me the expected length and tone before I write a word.</w:t>
      </w:r>
    </w:p>
    <w:p>
      <w:pPr>
        <w:pStyle w:val="ListNumber"/>
        <w:spacing w:after="60"/>
        <w:ind w:left="425"/>
      </w:pPr>
      <w:r/>
      <w:r>
        <w:rPr>
          <w:rFonts w:ascii="Calibri" w:hAnsi="Calibri"/>
          <w:b/>
          <w:i w:val="0"/>
          <w:color w:val="000000"/>
          <w:sz w:val="21"/>
        </w:rPr>
        <w:t>Pull out the matching time plan.</w:t>
      </w:r>
      <w:r>
        <w:rPr>
          <w:rFonts w:ascii="Calibri" w:hAnsi="Calibri"/>
          <w:b w:val="0"/>
          <w:i w:val="0"/>
          <w:color w:val="000000"/>
          <w:sz w:val="21"/>
        </w:rPr>
        <w:t xml:space="preserve"> 40 minutes to read and plan, 40 minutes to check, the rest divided by the number of tasks and then flexed by difficulty. Add 5–15 minutes to two or three hard tasks and take it from the easy ones.</w:t>
      </w:r>
    </w:p>
    <w:p>
      <w:pPr>
        <w:pStyle w:val="ListNumber"/>
        <w:spacing w:after="60"/>
        <w:ind w:left="425"/>
      </w:pPr>
      <w:r/>
      <w:r>
        <w:rPr>
          <w:rFonts w:ascii="Calibri" w:hAnsi="Calibri"/>
          <w:b/>
          <w:i w:val="0"/>
          <w:color w:val="000000"/>
          <w:sz w:val="21"/>
        </w:rPr>
        <w:t>Never more than 75 minutes on any task.</w:t>
      </w:r>
      <w:r>
        <w:rPr>
          <w:rFonts w:ascii="Calibri" w:hAnsi="Calibri"/>
          <w:b w:val="0"/>
          <w:i w:val="0"/>
          <w:color w:val="000000"/>
          <w:sz w:val="21"/>
        </w:rPr>
        <w:t xml:space="preserve"> Overspending on tasks (a) and (b) is the single most reliable way to fail.</w:t>
      </w:r>
    </w:p>
    <w:p>
      <w:pPr>
        <w:pStyle w:val="ListNumber"/>
        <w:spacing w:after="60"/>
        <w:ind w:left="425"/>
      </w:pPr>
      <w:r/>
      <w:r>
        <w:rPr>
          <w:rFonts w:ascii="Calibri" w:hAnsi="Calibri"/>
          <w:b/>
          <w:i w:val="0"/>
          <w:color w:val="000000"/>
          <w:sz w:val="21"/>
        </w:rPr>
        <w:t>Never steal from the checking buffer early in the day.</w:t>
      </w:r>
      <w:r>
        <w:rPr>
          <w:rFonts w:ascii="Calibri" w:hAnsi="Calibri"/>
          <w:b w:val="0"/>
          <w:i w:val="0"/>
          <w:color w:val="000000"/>
          <w:sz w:val="21"/>
        </w:rPr>
        <w:t xml:space="preserve"> It always feels worth it at 10am. It never is at 4pm.</w:t>
      </w:r>
    </w:p>
    <w:p>
      <w:pPr>
        <w:pStyle w:val="ListNumber"/>
        <w:spacing w:after="60"/>
        <w:ind w:left="425"/>
      </w:pPr>
      <w:r/>
      <w:r>
        <w:rPr>
          <w:rFonts w:ascii="Calibri" w:hAnsi="Calibri"/>
          <w:b/>
          <w:i w:val="0"/>
          <w:color w:val="000000"/>
          <w:sz w:val="21"/>
        </w:rPr>
        <w:t>Decide the order.</w:t>
      </w:r>
      <w:r>
        <w:rPr>
          <w:rFonts w:ascii="Calibri" w:hAnsi="Calibri"/>
          <w:b w:val="0"/>
          <w:i w:val="0"/>
          <w:color w:val="000000"/>
          <w:sz w:val="21"/>
        </w:rPr>
        <w:t xml:space="preserve"> Consecutive is safest if I fluster. Strengths first builds confidence and banks time. Hardest first uses my freshest thinking. Whatever I pick, do </w:t>
      </w:r>
      <w:r>
        <w:rPr>
          <w:rFonts w:ascii="Calibri" w:hAnsi="Calibri"/>
          <w:b/>
          <w:i w:val="0"/>
          <w:color w:val="000000"/>
          <w:sz w:val="21"/>
        </w:rPr>
        <w:t>not</w:t>
      </w:r>
      <w:r>
        <w:rPr>
          <w:rFonts w:ascii="Calibri" w:hAnsi="Calibri"/>
          <w:b w:val="0"/>
          <w:i w:val="0"/>
          <w:color w:val="000000"/>
          <w:sz w:val="21"/>
        </w:rPr>
        <w:t xml:space="preserve"> leave the hardest task until I am tired.</w:t>
      </w:r>
    </w:p>
    <w:p>
      <w:pPr>
        <w:pStyle w:val="ListNumber"/>
        <w:spacing w:after="60"/>
        <w:ind w:left="425"/>
      </w:pPr>
      <w:r/>
      <w:r>
        <w:rPr>
          <w:rFonts w:ascii="Calibri" w:hAnsi="Calibri"/>
          <w:b/>
          <w:i w:val="0"/>
          <w:color w:val="000000"/>
          <w:sz w:val="21"/>
        </w:rPr>
        <w:t>Take short breaks.</w:t>
      </w:r>
      <w:r>
        <w:rPr>
          <w:rFonts w:ascii="Calibri" w:hAnsi="Calibri"/>
          <w:b w:val="0"/>
          <w:i w:val="0"/>
          <w:color w:val="000000"/>
          <w:sz w:val="21"/>
        </w:rPr>
        <w:t xml:space="preserve"> Stand up, move, reset between tasks.</w:t>
      </w:r>
    </w:p>
    <w:p>
      <w:pPr>
        <w:spacing w:after="100"/>
      </w:pPr>
      <w:r>
        <w:rPr>
          <w:rFonts w:ascii="Calibri" w:hAnsi="Calibri"/>
          <w:b/>
          <w:i w:val="0"/>
          <w:color w:val="000000"/>
          <w:sz w:val="21"/>
        </w:rPr>
        <w:t>Quick hack:</w:t>
      </w:r>
      <w:r>
        <w:rPr>
          <w:rFonts w:ascii="Calibri" w:hAnsi="Calibri"/>
          <w:b w:val="0"/>
          <w:i w:val="0"/>
          <w:color w:val="000000"/>
          <w:sz w:val="21"/>
        </w:rPr>
        <w:t xml:space="preserve"> draft the first email opening once, then copy it for the other tasks and change the recipient and subject line. Saves real minutes.</w:t>
      </w:r>
    </w:p>
    <w:p>
      <w:pPr>
        <w:pStyle w:val="Heading2"/>
      </w:pPr>
      <w:r/>
      <w:r>
        <w:rPr>
          <w:rFonts w:ascii="Calibri" w:hAnsi="Calibri"/>
          <w:color w:val="000000"/>
        </w:rPr>
        <w:t>Reading the required properly</w:t>
      </w:r>
    </w:p>
    <w:p>
      <w:pPr>
        <w:pStyle w:val="ListBullet"/>
        <w:spacing w:after="60"/>
        <w:ind w:left="425"/>
      </w:pPr>
      <w:r/>
      <w:r>
        <w:rPr>
          <w:rFonts w:ascii="Calibri" w:hAnsi="Calibri"/>
          <w:b/>
          <w:i w:val="0"/>
          <w:color w:val="000000"/>
          <w:sz w:val="21"/>
        </w:rPr>
        <w:t>Number the components</w:t>
      </w:r>
      <w:r>
        <w:rPr>
          <w:rFonts w:ascii="Calibri" w:hAnsi="Calibri"/>
          <w:b w:val="0"/>
          <w:i w:val="0"/>
          <w:color w:val="000000"/>
          <w:sz w:val="21"/>
        </w:rPr>
        <w:t xml:space="preserve"> ①②③ in the margin. Tick them off as I write. A missing component almost guarantees a non-pass.</w:t>
      </w:r>
    </w:p>
    <w:p>
      <w:pPr>
        <w:pStyle w:val="ListBullet"/>
        <w:spacing w:after="60"/>
        <w:ind w:left="425"/>
      </w:pPr>
      <w:r/>
      <w:r>
        <w:rPr>
          <w:rFonts w:ascii="Calibri" w:hAnsi="Calibri"/>
          <w:b/>
          <w:i w:val="0"/>
          <w:color w:val="000000"/>
          <w:sz w:val="21"/>
        </w:rPr>
        <w:t>Write down the scope words</w:t>
      </w:r>
      <w:r>
        <w:rPr>
          <w:rFonts w:ascii="Calibri" w:hAnsi="Calibri"/>
          <w:b w:val="0"/>
          <w:i w:val="0"/>
          <w:color w:val="000000"/>
          <w:sz w:val="21"/>
        </w:rPr>
        <w:t xml:space="preserve"> before planning: "high level", "ignore tax", "no calculations needed", "only critique what is provided", "at least three", "you may assume", "you do not need to recalculate". These are instructions, not hints — and they are there to </w:t>
      </w:r>
      <w:r>
        <w:rPr>
          <w:rFonts w:ascii="Calibri" w:hAnsi="Calibri"/>
          <w:b/>
          <w:i w:val="0"/>
          <w:color w:val="000000"/>
          <w:sz w:val="21"/>
        </w:rPr>
        <w:t>help</w:t>
      </w:r>
      <w:r>
        <w:rPr>
          <w:rFonts w:ascii="Calibri" w:hAnsi="Calibri"/>
          <w:b w:val="0"/>
          <w:i w:val="0"/>
          <w:color w:val="000000"/>
          <w:sz w:val="21"/>
        </w:rPr>
        <w:t xml:space="preserve"> me spend time well, not to trick me.</w:t>
      </w:r>
    </w:p>
    <w:p>
      <w:pPr>
        <w:pStyle w:val="ListBullet"/>
        <w:spacing w:after="60"/>
        <w:ind w:left="425"/>
      </w:pPr>
      <w:r/>
      <w:r>
        <w:rPr>
          <w:rFonts w:ascii="Calibri" w:hAnsi="Calibri"/>
          <w:b/>
          <w:i w:val="0"/>
          <w:color w:val="000000"/>
          <w:sz w:val="21"/>
        </w:rPr>
        <w:t>Identify the audience.</w:t>
      </w:r>
      <w:r>
        <w:rPr>
          <w:rFonts w:ascii="Calibri" w:hAnsi="Calibri"/>
          <w:b w:val="0"/>
          <w:i w:val="0"/>
          <w:color w:val="000000"/>
          <w:sz w:val="21"/>
        </w:rPr>
        <w:t xml:space="preserve"> CEO, CFO, board, junior colleague, audit partner, external party. Each gets a different tone, a different level of detail and a different kind of content. A board wants strategic consequence; a financial manager wants the standard applied; a junior needs coaching, not correction.</w:t>
      </w:r>
    </w:p>
    <w:p>
      <w:pPr>
        <w:pStyle w:val="ListBullet"/>
        <w:spacing w:after="60"/>
        <w:ind w:left="425"/>
      </w:pPr>
      <w:r/>
      <w:r>
        <w:rPr>
          <w:rFonts w:ascii="Calibri" w:hAnsi="Calibri"/>
          <w:b/>
          <w:i w:val="0"/>
          <w:color w:val="000000"/>
          <w:sz w:val="21"/>
        </w:rPr>
        <w:t>Ask what this person actually needs to know.</w:t>
      </w:r>
      <w:r>
        <w:rPr>
          <w:rFonts w:ascii="Calibri" w:hAnsi="Calibri"/>
          <w:b w:val="0"/>
          <w:i w:val="0"/>
          <w:color w:val="000000"/>
          <w:sz w:val="21"/>
        </w:rPr>
        <w:t xml:space="preserve"> If I can answer that in one sentence, I have the task.</w:t>
      </w:r>
    </w:p>
    <w:p>
      <w:pPr>
        <w:spacing w:after="100"/>
      </w:pPr>
      <w:r>
        <w:rPr>
          <w:rFonts w:ascii="Calibri" w:hAnsi="Calibri"/>
          <w:b w:val="0"/>
          <w:i w:val="0"/>
          <w:color w:val="000000"/>
          <w:sz w:val="21"/>
        </w:rPr>
        <w:t xml:space="preserve">"High level" means skip the intricate mechanics. It does </w:t>
      </w:r>
      <w:r>
        <w:rPr>
          <w:rFonts w:ascii="Calibri" w:hAnsi="Calibri"/>
          <w:b/>
          <w:i w:val="0"/>
          <w:color w:val="000000"/>
          <w:sz w:val="21"/>
        </w:rPr>
        <w:t>not</w:t>
      </w:r>
      <w:r>
        <w:rPr>
          <w:rFonts w:ascii="Calibri" w:hAnsi="Calibri"/>
          <w:b w:val="0"/>
          <w:i w:val="0"/>
          <w:color w:val="000000"/>
          <w:sz w:val="21"/>
        </w:rPr>
        <w:t xml:space="preserve"> mean skip the core principle, and it never excuses failing to apply the facts and dates given on the day.</w:t>
      </w:r>
    </w:p>
    <w:p>
      <w:pPr>
        <w:pStyle w:val="Heading2"/>
      </w:pPr>
      <w:r/>
      <w:r>
        <w:rPr>
          <w:rFonts w:ascii="Calibri" w:hAnsi="Calibri"/>
          <w:color w:val="000000"/>
        </w:rPr>
        <w:t>Spotting the branch</w:t>
      </w:r>
    </w:p>
    <w:p>
      <w:pPr>
        <w:spacing w:after="100"/>
      </w:pPr>
      <w:r>
        <w:rPr>
          <w:rFonts w:ascii="Calibri" w:hAnsi="Calibri"/>
          <w:b w:val="0"/>
          <w:i w:val="0"/>
          <w:color w:val="000000"/>
          <w:sz w:val="21"/>
        </w:rPr>
        <w:t xml:space="preserve">For every technical trigger I prepared, the day sends me down one path. I must </w:t>
      </w:r>
      <w:r>
        <w:rPr>
          <w:rFonts w:ascii="Calibri" w:hAnsi="Calibri"/>
          <w:b/>
          <w:i w:val="0"/>
          <w:color w:val="000000"/>
          <w:sz w:val="21"/>
        </w:rPr>
        <w:t>name the path explicitly</w:t>
      </w:r>
      <w:r>
        <w:rPr>
          <w:rFonts w:ascii="Calibri" w:hAnsi="Calibri"/>
          <w:b w:val="0"/>
          <w:i w:val="0"/>
          <w:color w:val="000000"/>
          <w:sz w:val="21"/>
        </w:rPr>
        <w:t xml:space="preserve"> in my answer, with the reason:</w:t>
      </w:r>
    </w:p>
    <w:p>
      <w:pPr>
        <w:spacing w:after="100"/>
      </w:pPr>
      <w:r>
        <w:rPr>
          <w:rFonts w:ascii="Calibri" w:hAnsi="Calibri"/>
          <w:b w:val="0"/>
          <w:i/>
          <w:color w:val="000000"/>
          <w:sz w:val="21"/>
        </w:rPr>
        <w:t>"On the basis that the board has committed the site to the Axion 2030 programme, the land is property, plant and equipment rather than investment property, because it is now held for future use as owner-occupied property and therefore falls outside IAS 40 by virtue of IAS 40.9(c)."</w:t>
      </w:r>
    </w:p>
    <w:p>
      <w:pPr>
        <w:spacing w:after="100"/>
      </w:pPr>
      <w:r>
        <w:rPr>
          <w:rFonts w:ascii="Calibri" w:hAnsi="Calibri"/>
          <w:b w:val="0"/>
          <w:i w:val="0"/>
          <w:color w:val="000000"/>
          <w:sz w:val="21"/>
        </w:rPr>
        <w:t>That one sentence shows I knew the alternatives existed, chose between them, and knew why. That is what competence looks like on paper.</w:t>
      </w:r>
    </w:p>
    <w:p>
      <w:pPr>
        <w:pStyle w:val="Heading2"/>
      </w:pPr>
      <w:r/>
      <w:r>
        <w:rPr>
          <w:rFonts w:ascii="Calibri" w:hAnsi="Calibri"/>
          <w:color w:val="000000"/>
        </w:rPr>
        <w:t>If I freeze</w:t>
      </w:r>
    </w:p>
    <w:p>
      <w:pPr>
        <w:spacing w:after="100"/>
      </w:pPr>
      <w:r>
        <w:rPr>
          <w:rFonts w:ascii="Calibri" w:hAnsi="Calibri"/>
          <w:b w:val="0"/>
          <w:i w:val="0"/>
          <w:color w:val="000000"/>
          <w:sz w:val="21"/>
        </w:rPr>
        <w:t xml:space="preserve">Something will catch me out. When it does: go back to </w:t>
      </w:r>
      <w:r>
        <w:rPr>
          <w:rFonts w:ascii="Calibri" w:hAnsi="Calibri"/>
          <w:b/>
          <w:i w:val="0"/>
          <w:color w:val="000000"/>
          <w:sz w:val="21"/>
        </w:rPr>
        <w:t>first principles</w:t>
      </w:r>
      <w:r>
        <w:rPr>
          <w:rFonts w:ascii="Calibri" w:hAnsi="Calibri"/>
          <w:b w:val="0"/>
          <w:i w:val="0"/>
          <w:color w:val="000000"/>
          <w:sz w:val="21"/>
        </w:rPr>
        <w:t xml:space="preserve">, write down what I </w:t>
      </w:r>
      <w:r>
        <w:rPr>
          <w:rFonts w:ascii="Calibri" w:hAnsi="Calibri"/>
          <w:b/>
          <w:i w:val="0"/>
          <w:color w:val="000000"/>
          <w:sz w:val="21"/>
        </w:rPr>
        <w:t>do</w:t>
      </w:r>
      <w:r>
        <w:rPr>
          <w:rFonts w:ascii="Calibri" w:hAnsi="Calibri"/>
          <w:b w:val="0"/>
          <w:i w:val="0"/>
          <w:color w:val="000000"/>
          <w:sz w:val="21"/>
        </w:rPr>
        <w:t xml:space="preserve"> know, and start writing. Movement beats paralysis. And do not panic into a major rewrite — pause, re-reason, change only what must change.</w:t>
      </w:r>
    </w:p>
    <w:p>
      <w:pPr>
        <w:spacing w:before="80" w:after="80"/>
        <w:pBdr>
          <w:bottom w:val="single" w:sz="6" w:color="BFBFBF" w:space="1"/>
        </w:pBdr>
      </w:pPr>
    </w:p>
    <w:p>
      <w:pPr>
        <w:pStyle w:val="Heading1"/>
      </w:pPr>
      <w:r/>
      <w:r>
        <w:rPr>
          <w:rFonts w:ascii="Calibri" w:hAnsi="Calibri"/>
          <w:color w:val="000000"/>
        </w:rPr>
        <w:t>PART 4 — Answering technique</w:t>
      </w:r>
    </w:p>
    <w:p>
      <w:pPr>
        <w:pStyle w:val="Heading2"/>
      </w:pPr>
      <w:r/>
      <w:r>
        <w:rPr>
          <w:rFonts w:ascii="Calibri" w:hAnsi="Calibri"/>
          <w:color w:val="000000"/>
        </w:rPr>
        <w:t>Before I write anything</w:t>
      </w:r>
    </w:p>
    <w:p>
      <w:pPr>
        <w:pStyle w:val="ListNumber"/>
        <w:spacing w:after="60"/>
        <w:ind w:left="425"/>
      </w:pPr>
      <w:r/>
      <w:r>
        <w:rPr>
          <w:rFonts w:ascii="Calibri" w:hAnsi="Calibri"/>
          <w:b/>
          <w:i w:val="0"/>
          <w:color w:val="000000"/>
          <w:sz w:val="21"/>
        </w:rPr>
        <w:t>Audience.</w:t>
      </w:r>
      <w:r>
        <w:rPr>
          <w:rFonts w:ascii="Calibri" w:hAnsi="Calibri"/>
          <w:b w:val="0"/>
          <w:i w:val="0"/>
          <w:color w:val="000000"/>
          <w:sz w:val="21"/>
        </w:rPr>
        <w:t xml:space="preserve"> Who is this for, and what do they need?</w:t>
      </w:r>
    </w:p>
    <w:p>
      <w:pPr>
        <w:pStyle w:val="ListNumber"/>
        <w:spacing w:after="60"/>
        <w:ind w:left="425"/>
      </w:pPr>
      <w:r/>
      <w:r>
        <w:rPr>
          <w:rFonts w:ascii="Calibri" w:hAnsi="Calibri"/>
          <w:b/>
          <w:i w:val="0"/>
          <w:color w:val="000000"/>
          <w:sz w:val="21"/>
        </w:rPr>
        <w:t>Components.</w:t>
      </w:r>
      <w:r>
        <w:rPr>
          <w:rFonts w:ascii="Calibri" w:hAnsi="Calibri"/>
          <w:b w:val="0"/>
          <w:i w:val="0"/>
          <w:color w:val="000000"/>
          <w:sz w:val="21"/>
        </w:rPr>
        <w:t xml:space="preserve"> Number them ①②③. The first is usually the most important.</w:t>
      </w:r>
    </w:p>
    <w:p>
      <w:pPr>
        <w:pStyle w:val="ListNumber"/>
        <w:spacing w:after="60"/>
        <w:ind w:left="425"/>
      </w:pPr>
      <w:r/>
      <w:r>
        <w:rPr>
          <w:rFonts w:ascii="Calibri" w:hAnsi="Calibri"/>
          <w:b/>
          <w:i w:val="0"/>
          <w:color w:val="000000"/>
          <w:sz w:val="21"/>
        </w:rPr>
        <w:t>Scope.</w:t>
      </w:r>
      <w:r>
        <w:rPr>
          <w:rFonts w:ascii="Calibri" w:hAnsi="Calibri"/>
          <w:b w:val="0"/>
          <w:i w:val="0"/>
          <w:color w:val="000000"/>
          <w:sz w:val="21"/>
        </w:rPr>
        <w:t xml:space="preserve"> Write the scope words down where I can see them.</w:t>
      </w:r>
    </w:p>
    <w:p>
      <w:pPr>
        <w:pStyle w:val="ListNumber"/>
        <w:spacing w:after="60"/>
        <w:ind w:left="425"/>
      </w:pPr>
      <w:r/>
      <w:r>
        <w:rPr>
          <w:rFonts w:ascii="Calibri" w:hAnsi="Calibri"/>
          <w:b/>
          <w:i w:val="0"/>
          <w:color w:val="000000"/>
          <w:sz w:val="21"/>
        </w:rPr>
        <w:t>Skeleton.</w:t>
      </w:r>
      <w:r>
        <w:rPr>
          <w:rFonts w:ascii="Calibri" w:hAnsi="Calibri"/>
          <w:b w:val="0"/>
          <w:i w:val="0"/>
          <w:color w:val="000000"/>
          <w:sz w:val="21"/>
        </w:rPr>
        <w:t xml:space="preserve"> Sub-headings first, then key words under each, then sentences. Never start writing prose into a blank page.</w:t>
      </w:r>
    </w:p>
    <w:p>
      <w:pPr>
        <w:pStyle w:val="Heading2"/>
      </w:pPr>
      <w:r/>
      <w:r>
        <w:rPr>
          <w:rFonts w:ascii="Calibri" w:hAnsi="Calibri"/>
          <w:color w:val="000000"/>
        </w:rPr>
        <w:t>While I write</w:t>
      </w:r>
    </w:p>
    <w:p>
      <w:pPr>
        <w:pStyle w:val="ListBullet"/>
        <w:spacing w:after="60"/>
        <w:ind w:left="425"/>
      </w:pPr>
      <w:r/>
      <w:r>
        <w:rPr>
          <w:rFonts w:ascii="Calibri" w:hAnsi="Calibri"/>
          <w:b/>
          <w:i w:val="0"/>
          <w:color w:val="000000"/>
          <w:sz w:val="21"/>
        </w:rPr>
        <w:t>Lead with the answer, then support it.</w:t>
      </w:r>
      <w:r>
        <w:rPr>
          <w:rFonts w:ascii="Calibri" w:hAnsi="Calibri"/>
          <w:b w:val="0"/>
          <w:i w:val="0"/>
          <w:color w:val="000000"/>
          <w:sz w:val="21"/>
        </w:rPr>
        <w:t xml:space="preserve"> Recipients read the first line. If I have a recommendation, it goes at the top.</w:t>
      </w:r>
    </w:p>
    <w:p>
      <w:pPr>
        <w:pStyle w:val="ListBullet"/>
        <w:spacing w:after="60"/>
        <w:ind w:left="425"/>
      </w:pPr>
      <w:r/>
      <w:r>
        <w:rPr>
          <w:rFonts w:ascii="Calibri" w:hAnsi="Calibri"/>
          <w:b/>
          <w:i w:val="0"/>
          <w:color w:val="000000"/>
          <w:sz w:val="21"/>
        </w:rPr>
        <w:t>Every point carries a "because".</w:t>
      </w:r>
      <w:r>
        <w:rPr>
          <w:rFonts w:ascii="Calibri" w:hAnsi="Calibri"/>
          <w:b w:val="0"/>
          <w:i w:val="0"/>
          <w:color w:val="000000"/>
          <w:sz w:val="21"/>
        </w:rPr>
        <w:t xml:space="preserve"> Add a conjunction to every point — *because*, *and*, *due to*. "That's wrong" is worthless; "that is wrong because the standard requires X and the treatment does Y, with the consequence that profit is overstated by Z" is an answer.</w:t>
      </w:r>
    </w:p>
    <w:p>
      <w:pPr>
        <w:pStyle w:val="ListBullet"/>
        <w:spacing w:after="60"/>
        <w:ind w:left="425"/>
      </w:pPr>
      <w:r/>
      <w:r>
        <w:rPr>
          <w:rFonts w:ascii="Calibri" w:hAnsi="Calibri"/>
          <w:b/>
          <w:i w:val="0"/>
          <w:color w:val="000000"/>
          <w:sz w:val="21"/>
        </w:rPr>
        <w:t>Be systematic, not scattered.</w:t>
      </w:r>
      <w:r>
        <w:rPr>
          <w:rFonts w:ascii="Calibri" w:hAnsi="Calibri"/>
          <w:b w:val="0"/>
          <w:i w:val="0"/>
          <w:color w:val="000000"/>
          <w:sz w:val="21"/>
        </w:rPr>
        <w:t xml:space="preserve"> Line by line, contract by contract, procedure by procedure.</w:t>
      </w:r>
    </w:p>
    <w:p>
      <w:pPr>
        <w:pStyle w:val="ListBullet"/>
        <w:spacing w:after="60"/>
        <w:ind w:left="425"/>
      </w:pPr>
      <w:r/>
      <w:r>
        <w:rPr>
          <w:rFonts w:ascii="Calibri" w:hAnsi="Calibri"/>
          <w:b/>
          <w:i w:val="0"/>
          <w:color w:val="000000"/>
          <w:sz w:val="21"/>
        </w:rPr>
        <w:t>Say what is correct as well as what is wrong.</w:t>
      </w:r>
      <w:r>
        <w:rPr>
          <w:rFonts w:ascii="Calibri" w:hAnsi="Calibri"/>
          <w:b w:val="0"/>
          <w:i w:val="0"/>
          <w:color w:val="000000"/>
          <w:sz w:val="21"/>
        </w:rPr>
        <w:t xml:space="preserve"> If the discount rate is right, write "the discount rate is appropriate". Unwritten knowledge is knowledge the marker cannot credit.</w:t>
      </w:r>
    </w:p>
    <w:p>
      <w:pPr>
        <w:pStyle w:val="ListBullet"/>
        <w:spacing w:after="60"/>
        <w:ind w:left="425"/>
      </w:pPr>
      <w:r/>
      <w:r>
        <w:rPr>
          <w:rFonts w:ascii="Calibri" w:hAnsi="Calibri"/>
          <w:b/>
          <w:i w:val="0"/>
          <w:color w:val="000000"/>
          <w:sz w:val="21"/>
        </w:rPr>
        <w:t>Be specific.</w:t>
      </w:r>
      <w:r>
        <w:rPr>
          <w:rFonts w:ascii="Calibri" w:hAnsi="Calibri"/>
          <w:b w:val="0"/>
          <w:i w:val="0"/>
          <w:color w:val="000000"/>
          <w:sz w:val="21"/>
        </w:rPr>
        <w:t xml:space="preserve"> "Review the payroll report" is nothing. "The financial manager compares the payroll report to each project manager's authorised overtime report and signs it" is a control.</w:t>
      </w:r>
    </w:p>
    <w:p>
      <w:pPr>
        <w:pStyle w:val="ListBullet"/>
        <w:spacing w:after="60"/>
        <w:ind w:left="425"/>
      </w:pPr>
      <w:r/>
      <w:r>
        <w:rPr>
          <w:rFonts w:ascii="Calibri" w:hAnsi="Calibri"/>
          <w:b/>
          <w:i w:val="0"/>
          <w:color w:val="000000"/>
          <w:sz w:val="21"/>
        </w:rPr>
        <w:t>Breadth and depth.</w:t>
      </w:r>
      <w:r>
        <w:rPr>
          <w:rFonts w:ascii="Calibri" w:hAnsi="Calibri"/>
          <w:b w:val="0"/>
          <w:i w:val="0"/>
          <w:color w:val="000000"/>
          <w:sz w:val="21"/>
        </w:rPr>
        <w:t xml:space="preserve"> Breadth = covering different themes. Depth = explaining why each matters. Six controls covering validity, accuracy </w:t>
      </w:r>
      <w:r>
        <w:rPr>
          <w:rFonts w:ascii="Calibri" w:hAnsi="Calibri"/>
          <w:b/>
          <w:i w:val="0"/>
          <w:color w:val="000000"/>
          <w:sz w:val="21"/>
        </w:rPr>
        <w:t>and</w:t>
      </w:r>
      <w:r>
        <w:rPr>
          <w:rFonts w:ascii="Calibri" w:hAnsi="Calibri"/>
          <w:b w:val="0"/>
          <w:i w:val="0"/>
          <w:color w:val="000000"/>
          <w:sz w:val="21"/>
        </w:rPr>
        <w:t xml:space="preserve"> completeness beat six controls all about accuracy.</w:t>
      </w:r>
    </w:p>
    <w:p>
      <w:pPr>
        <w:pStyle w:val="ListBullet"/>
        <w:spacing w:after="60"/>
        <w:ind w:left="425"/>
      </w:pPr>
      <w:r/>
      <w:r>
        <w:rPr>
          <w:rFonts w:ascii="Calibri" w:hAnsi="Calibri"/>
          <w:b/>
          <w:i w:val="0"/>
          <w:color w:val="000000"/>
          <w:sz w:val="21"/>
        </w:rPr>
        <w:t>Cross-discipline unless scoped out.</w:t>
      </w:r>
      <w:r>
        <w:rPr>
          <w:rFonts w:ascii="Calibri" w:hAnsi="Calibri"/>
          <w:b w:val="0"/>
          <w:i w:val="0"/>
          <w:color w:val="000000"/>
          <w:sz w:val="21"/>
        </w:rPr>
        <w:t xml:space="preserve"> A financial reporting answer can note the tax or audit consequence briefly. Do not go crazy — add a little extra value.</w:t>
      </w:r>
    </w:p>
    <w:p>
      <w:pPr>
        <w:pStyle w:val="ListBullet"/>
        <w:spacing w:after="60"/>
        <w:ind w:left="425"/>
      </w:pPr>
      <w:r/>
      <w:r>
        <w:rPr>
          <w:rFonts w:ascii="Calibri" w:hAnsi="Calibri"/>
          <w:b/>
          <w:i w:val="0"/>
          <w:color w:val="000000"/>
          <w:sz w:val="21"/>
        </w:rPr>
        <w:t>Use "I", "we", "our company".</w:t>
      </w:r>
      <w:r>
        <w:rPr>
          <w:rFonts w:ascii="Calibri" w:hAnsi="Calibri"/>
          <w:b w:val="0"/>
          <w:i w:val="0"/>
          <w:color w:val="000000"/>
          <w:sz w:val="21"/>
        </w:rPr>
        <w:t xml:space="preserve"> I work there.</w:t>
      </w:r>
    </w:p>
    <w:p>
      <w:pPr>
        <w:pStyle w:val="ListBullet"/>
        <w:spacing w:after="60"/>
        <w:ind w:left="425"/>
      </w:pPr>
      <w:r/>
      <w:r>
        <w:rPr>
          <w:rFonts w:ascii="Calibri" w:hAnsi="Calibri"/>
          <w:b/>
          <w:i w:val="0"/>
          <w:color w:val="000000"/>
          <w:sz w:val="21"/>
        </w:rPr>
        <w:t>Quantify wherever the facts allow</w:t>
      </w:r>
      <w:r>
        <w:rPr>
          <w:rFonts w:ascii="Calibri" w:hAnsi="Calibri"/>
          <w:b w:val="0"/>
          <w:i w:val="0"/>
          <w:color w:val="000000"/>
          <w:sz w:val="21"/>
        </w:rPr>
        <w:t>, using the figures given on the day.</w:t>
      </w:r>
    </w:p>
    <w:p>
      <w:pPr>
        <w:pStyle w:val="ListBullet"/>
        <w:spacing w:after="60"/>
        <w:ind w:left="425"/>
      </w:pPr>
      <w:r/>
      <w:r>
        <w:rPr>
          <w:rFonts w:ascii="Calibri" w:hAnsi="Calibri"/>
          <w:b/>
          <w:i w:val="0"/>
          <w:color w:val="000000"/>
          <w:sz w:val="21"/>
        </w:rPr>
        <w:t>Never write out extracts</w:t>
      </w:r>
      <w:r>
        <w:rPr>
          <w:rFonts w:ascii="Calibri" w:hAnsi="Calibri"/>
          <w:b w:val="0"/>
          <w:i w:val="0"/>
          <w:color w:val="000000"/>
          <w:sz w:val="21"/>
        </w:rPr>
        <w:t xml:space="preserve"> of IFRS, King or the Companies Act. Highlighting one key principle is fine; reproducing the book is a communication failure.</w:t>
      </w:r>
    </w:p>
    <w:p>
      <w:pPr>
        <w:pStyle w:val="ListBullet"/>
        <w:spacing w:after="60"/>
        <w:ind w:left="425"/>
      </w:pPr>
      <w:r/>
      <w:r>
        <w:rPr>
          <w:rFonts w:ascii="Calibri" w:hAnsi="Calibri"/>
          <w:b/>
          <w:i w:val="0"/>
          <w:color w:val="000000"/>
          <w:sz w:val="21"/>
        </w:rPr>
        <w:t>Never suggest a specialist</w:t>
      </w:r>
      <w:r>
        <w:rPr>
          <w:rFonts w:ascii="Calibri" w:hAnsi="Calibri"/>
          <w:b w:val="0"/>
          <w:i w:val="0"/>
          <w:color w:val="000000"/>
          <w:sz w:val="21"/>
        </w:rPr>
        <w:t xml:space="preserve"> for something I should know myself. Appropriate for genuinely complex valuation or tax; never for ordinary accounting or auditing.</w:t>
      </w:r>
    </w:p>
    <w:p>
      <w:pPr>
        <w:pStyle w:val="Heading2"/>
      </w:pPr>
      <w:r/>
      <w:r>
        <w:rPr>
          <w:rFonts w:ascii="Calibri" w:hAnsi="Calibri"/>
          <w:color w:val="000000"/>
        </w:rPr>
        <w:t>Before I move on</w:t>
      </w:r>
    </w:p>
    <w:p>
      <w:pPr>
        <w:pStyle w:val="ListBullet"/>
        <w:spacing w:after="60"/>
        <w:ind w:left="425"/>
      </w:pPr>
      <w:r/>
      <w:r>
        <w:rPr>
          <w:rFonts w:ascii="Calibri" w:hAnsi="Calibri"/>
          <w:b w:val="0"/>
          <w:i w:val="0"/>
          <w:color w:val="000000"/>
          <w:sz w:val="21"/>
        </w:rPr>
        <w:t xml:space="preserve">Does it answer the task? </w:t>
      </w:r>
      <w:r>
        <w:rPr>
          <w:rFonts w:ascii="Calibri" w:hAnsi="Calibri"/>
          <w:b/>
          <w:i w:val="0"/>
          <w:color w:val="000000"/>
          <w:sz w:val="21"/>
        </w:rPr>
        <w:t>Every</w:t>
      </w:r>
      <w:r>
        <w:rPr>
          <w:rFonts w:ascii="Calibri" w:hAnsi="Calibri"/>
          <w:b w:val="0"/>
          <w:i w:val="0"/>
          <w:color w:val="000000"/>
          <w:sz w:val="21"/>
        </w:rPr>
        <w:t xml:space="preserve"> component?</w:t>
      </w:r>
    </w:p>
    <w:p>
      <w:pPr>
        <w:pStyle w:val="ListBullet"/>
        <w:spacing w:after="60"/>
        <w:ind w:left="425"/>
      </w:pPr>
      <w:r/>
      <w:r>
        <w:rPr>
          <w:rFonts w:ascii="Calibri" w:hAnsi="Calibri"/>
          <w:b w:val="0"/>
          <w:i w:val="0"/>
          <w:color w:val="000000"/>
          <w:sz w:val="21"/>
        </w:rPr>
        <w:t>Does it meet what the recipient actually needed?</w:t>
      </w:r>
    </w:p>
    <w:p>
      <w:pPr>
        <w:pStyle w:val="ListBullet"/>
        <w:spacing w:after="60"/>
        <w:ind w:left="425"/>
      </w:pPr>
      <w:r/>
      <w:r>
        <w:rPr>
          <w:rFonts w:ascii="Calibri" w:hAnsi="Calibri"/>
          <w:b w:val="0"/>
          <w:i w:val="0"/>
          <w:color w:val="000000"/>
          <w:sz w:val="21"/>
        </w:rPr>
        <w:t xml:space="preserve">Have I </w:t>
      </w:r>
      <w:r>
        <w:rPr>
          <w:rFonts w:ascii="Calibri" w:hAnsi="Calibri"/>
          <w:b/>
          <w:i w:val="0"/>
          <w:color w:val="000000"/>
          <w:sz w:val="21"/>
        </w:rPr>
        <w:t>concluded</w:t>
      </w:r>
      <w:r>
        <w:rPr>
          <w:rFonts w:ascii="Calibri" w:hAnsi="Calibri"/>
          <w:b w:val="0"/>
          <w:i w:val="0"/>
          <w:color w:val="000000"/>
          <w:sz w:val="21"/>
        </w:rPr>
        <w:t>, where a conclusion was called for? An analysis without a recommendation is an incomplete task — especially where the numbers are close, because then the recommendation has to be carried explicitly by judgement.</w:t>
      </w:r>
    </w:p>
    <w:p>
      <w:pPr>
        <w:pStyle w:val="ListBullet"/>
        <w:spacing w:after="60"/>
        <w:ind w:left="425"/>
      </w:pPr>
      <w:r/>
      <w:r>
        <w:rPr>
          <w:rFonts w:ascii="Calibri" w:hAnsi="Calibri"/>
          <w:b w:val="0"/>
          <w:i w:val="0"/>
          <w:color w:val="000000"/>
          <w:sz w:val="21"/>
        </w:rPr>
        <w:t>Have I said what information I would still need?</w:t>
      </w:r>
    </w:p>
    <w:p>
      <w:pPr>
        <w:pStyle w:val="ListBullet"/>
        <w:spacing w:after="60"/>
        <w:ind w:left="425"/>
      </w:pPr>
      <w:r/>
      <w:r>
        <w:rPr>
          <w:rFonts w:ascii="Calibri" w:hAnsi="Calibri"/>
          <w:b w:val="0"/>
          <w:i w:val="0"/>
          <w:color w:val="000000"/>
          <w:sz w:val="21"/>
        </w:rPr>
        <w:t>Any contradiction with another task's answer? Both are mine, and contradictions create doubt about competence.</w:t>
      </w:r>
    </w:p>
    <w:p>
      <w:pPr>
        <w:pStyle w:val="ListBullet"/>
        <w:spacing w:after="60"/>
        <w:ind w:left="425"/>
      </w:pPr>
      <w:r/>
      <w:r>
        <w:rPr>
          <w:rFonts w:ascii="Calibri" w:hAnsi="Calibri"/>
          <w:b w:val="0"/>
          <w:i w:val="0"/>
          <w:color w:val="000000"/>
          <w:sz w:val="21"/>
        </w:rPr>
        <w:t>Any real name anywhere? Remove it. I sign as "Newly qualified CA(SA)".</w:t>
      </w:r>
    </w:p>
    <w:p>
      <w:pPr>
        <w:pStyle w:val="Heading2"/>
      </w:pPr>
      <w:r/>
      <w:r>
        <w:rPr>
          <w:rFonts w:ascii="Calibri" w:hAnsi="Calibri"/>
          <w:color w:val="000000"/>
        </w:rPr>
        <w:t>Formats — what each one signals</w:t>
      </w:r>
    </w:p>
    <w:tbl>
      <w:tblPr>
        <w:tblStyle w:val="TableGrid"/>
        <w:tblW w:type="auto" w:w="0"/>
        <w:tblLayout w:type="fixed"/>
        <w:tblLook w:firstColumn="1" w:firstRow="1" w:lastColumn="0" w:lastRow="0" w:noHBand="0" w:noVBand="1" w:val="04A0"/>
        <w:tblLayout w:type="fixed"/>
        <w:tblW w:w="5000" w:type="pct"/>
      </w:tblPr>
      <w:tblGrid>
        <w:gridCol w:w="1205"/>
        <w:gridCol w:w="1566"/>
        <w:gridCol w:w="6867"/>
      </w:tblGrid>
      <w:tr>
        <w:tc>
          <w:tcPr>
            <w:tcW w:type="dxa" w:w="1205"/>
            <w:shd w:val="clear" w:fill="F2F2F2"/>
          </w:tcPr>
          <w:p>
            <w:pPr>
              <w:spacing w:after="20"/>
            </w:pPr>
            <w:r/>
            <w:r>
              <w:rPr>
                <w:rFonts w:ascii="Calibri" w:hAnsi="Calibri"/>
                <w:b/>
                <w:color w:val="000000"/>
                <w:sz w:val="19"/>
              </w:rPr>
              <w:t>Format</w:t>
            </w:r>
          </w:p>
        </w:tc>
        <w:tc>
          <w:tcPr>
            <w:tcW w:type="dxa" w:w="1566"/>
            <w:shd w:val="clear" w:fill="F2F2F2"/>
          </w:tcPr>
          <w:p>
            <w:pPr>
              <w:spacing w:after="20"/>
            </w:pPr>
            <w:r/>
            <w:r>
              <w:rPr>
                <w:rFonts w:ascii="Calibri" w:hAnsi="Calibri"/>
                <w:b/>
                <w:color w:val="000000"/>
                <w:sz w:val="19"/>
              </w:rPr>
              <w:t>When</w:t>
            </w:r>
          </w:p>
        </w:tc>
        <w:tc>
          <w:tcPr>
            <w:tcW w:type="dxa" w:w="6867"/>
            <w:shd w:val="clear" w:fill="F2F2F2"/>
          </w:tcPr>
          <w:p>
            <w:pPr>
              <w:spacing w:after="20"/>
            </w:pPr>
            <w:r/>
            <w:r>
              <w:rPr>
                <w:rFonts w:ascii="Calibri" w:hAnsi="Calibri"/>
                <w:b/>
                <w:color w:val="000000"/>
                <w:sz w:val="19"/>
              </w:rPr>
              <w:t>Key rules</w:t>
            </w:r>
          </w:p>
        </w:tc>
      </w:tr>
      <w:tr>
        <w:tc>
          <w:tcPr>
            <w:tcW w:type="dxa" w:w="1205"/>
          </w:tcPr>
          <w:p>
            <w:pPr>
              <w:spacing w:after="20" w:before="0"/>
            </w:pPr>
            <w:r/>
            <w:r>
              <w:rPr>
                <w:rFonts w:ascii="Calibri" w:hAnsi="Calibri"/>
                <w:b/>
                <w:i w:val="0"/>
                <w:color w:val="000000"/>
                <w:sz w:val="19"/>
              </w:rPr>
              <w:t>Email</w:t>
            </w:r>
          </w:p>
        </w:tc>
        <w:tc>
          <w:tcPr>
            <w:tcW w:type="dxa" w:w="1566"/>
          </w:tcPr>
          <w:p>
            <w:pPr>
              <w:spacing w:after="20" w:before="0"/>
            </w:pPr>
            <w:r/>
            <w:r>
              <w:rPr>
                <w:rFonts w:ascii="Calibri" w:hAnsi="Calibri"/>
                <w:b w:val="0"/>
                <w:i w:val="0"/>
                <w:color w:val="000000"/>
                <w:sz w:val="19"/>
              </w:rPr>
              <w:t>The default. Most APC answers.</w:t>
            </w:r>
          </w:p>
        </w:tc>
        <w:tc>
          <w:tcPr>
            <w:tcW w:type="dxa" w:w="6867"/>
          </w:tcPr>
          <w:p>
            <w:pPr>
              <w:spacing w:after="20" w:before="0"/>
            </w:pPr>
            <w:r/>
            <w:r>
              <w:rPr>
                <w:rFonts w:ascii="Calibri" w:hAnsi="Calibri"/>
                <w:b w:val="0"/>
                <w:i w:val="0"/>
                <w:color w:val="000000"/>
                <w:sz w:val="19"/>
              </w:rPr>
              <w:t xml:space="preserve">Short, to the point. Crux in the first one or two lines. One idea per paragraph. Headings or numbers where there is more than one component. Close with next steps. If the content is long, put the detail in a clearly labelled </w:t>
            </w:r>
            <w:r>
              <w:rPr>
                <w:rFonts w:ascii="Calibri" w:hAnsi="Calibri"/>
                <w:b/>
                <w:i w:val="0"/>
                <w:color w:val="000000"/>
                <w:sz w:val="19"/>
              </w:rPr>
              <w:t>attachment</w:t>
            </w:r>
            <w:r>
              <w:rPr>
                <w:rFonts w:ascii="Calibri" w:hAnsi="Calibri"/>
                <w:b w:val="0"/>
                <w:i w:val="0"/>
                <w:color w:val="000000"/>
                <w:sz w:val="19"/>
              </w:rPr>
              <w:t xml:space="preserve"> and keep the email as a covering note — that also lets me lead with the conclusion.</w:t>
            </w:r>
          </w:p>
        </w:tc>
      </w:tr>
      <w:tr>
        <w:tc>
          <w:tcPr>
            <w:tcW w:type="dxa" w:w="1205"/>
          </w:tcPr>
          <w:p>
            <w:pPr>
              <w:spacing w:after="20" w:before="0"/>
            </w:pPr>
            <w:r/>
            <w:r>
              <w:rPr>
                <w:rFonts w:ascii="Calibri" w:hAnsi="Calibri"/>
                <w:b/>
                <w:i w:val="0"/>
                <w:color w:val="000000"/>
                <w:sz w:val="19"/>
              </w:rPr>
              <w:t>Memo</w:t>
            </w:r>
          </w:p>
        </w:tc>
        <w:tc>
          <w:tcPr>
            <w:tcW w:type="dxa" w:w="1566"/>
          </w:tcPr>
          <w:p>
            <w:pPr>
              <w:spacing w:after="20" w:before="0"/>
            </w:pPr>
            <w:r/>
            <w:r>
              <w:rPr>
                <w:rFonts w:ascii="Calibri" w:hAnsi="Calibri"/>
                <w:b w:val="0"/>
                <w:i w:val="0"/>
                <w:color w:val="000000"/>
                <w:sz w:val="19"/>
              </w:rPr>
              <w:t>Internal, interdepartmental.</w:t>
            </w:r>
          </w:p>
        </w:tc>
        <w:tc>
          <w:tcPr>
            <w:tcW w:type="dxa" w:w="6867"/>
          </w:tcPr>
          <w:p>
            <w:pPr>
              <w:spacing w:after="20" w:before="0"/>
            </w:pPr>
            <w:r/>
            <w:r>
              <w:rPr>
                <w:rFonts w:ascii="Calibri" w:hAnsi="Calibri"/>
                <w:b w:val="0"/>
                <w:i w:val="0"/>
                <w:color w:val="000000"/>
                <w:sz w:val="19"/>
              </w:rPr>
              <w:t xml:space="preserve">TO / FROM / DATE / SUBJECT block. Decisive but polite introduction. Body in numbered points under </w:t>
            </w:r>
            <w:r>
              <w:rPr>
                <w:rFonts w:ascii="Calibri" w:hAnsi="Calibri"/>
                <w:b/>
                <w:i w:val="0"/>
                <w:color w:val="000000"/>
                <w:sz w:val="19"/>
              </w:rPr>
              <w:t>informative headings</w:t>
            </w:r>
            <w:r>
              <w:rPr>
                <w:rFonts w:ascii="Calibri" w:hAnsi="Calibri"/>
                <w:b w:val="0"/>
                <w:i w:val="0"/>
                <w:color w:val="000000"/>
                <w:sz w:val="19"/>
              </w:rPr>
              <w:t xml:space="preserve"> so it can be skimmed. Short positive close. </w:t>
            </w:r>
            <w:r>
              <w:rPr>
                <w:rFonts w:ascii="Calibri" w:hAnsi="Calibri"/>
                <w:b/>
                <w:i w:val="0"/>
                <w:color w:val="000000"/>
                <w:sz w:val="19"/>
              </w:rPr>
              <w:t>A memo is not signed.</w:t>
            </w:r>
          </w:p>
        </w:tc>
      </w:tr>
      <w:tr>
        <w:tc>
          <w:tcPr>
            <w:tcW w:type="dxa" w:w="1205"/>
          </w:tcPr>
          <w:p>
            <w:pPr>
              <w:spacing w:after="20" w:before="0"/>
            </w:pPr>
            <w:r/>
            <w:r>
              <w:rPr>
                <w:rFonts w:ascii="Calibri" w:hAnsi="Calibri"/>
                <w:b/>
                <w:i w:val="0"/>
                <w:color w:val="000000"/>
                <w:sz w:val="19"/>
              </w:rPr>
              <w:t>Report</w:t>
            </w:r>
          </w:p>
        </w:tc>
        <w:tc>
          <w:tcPr>
            <w:tcW w:type="dxa" w:w="1566"/>
          </w:tcPr>
          <w:p>
            <w:pPr>
              <w:spacing w:after="20" w:before="0"/>
            </w:pPr>
            <w:r/>
            <w:r>
              <w:rPr>
                <w:rFonts w:ascii="Calibri" w:hAnsi="Calibri"/>
                <w:b w:val="0"/>
                <w:i w:val="0"/>
                <w:color w:val="000000"/>
                <w:sz w:val="19"/>
              </w:rPr>
              <w:t>Formal and comprehensive.</w:t>
            </w:r>
          </w:p>
        </w:tc>
        <w:tc>
          <w:tcPr>
            <w:tcW w:type="dxa" w:w="6867"/>
          </w:tcPr>
          <w:p>
            <w:pPr>
              <w:spacing w:after="20" w:before="0"/>
            </w:pPr>
            <w:r/>
            <w:r>
              <w:rPr>
                <w:rFonts w:ascii="Calibri" w:hAnsi="Calibri"/>
                <w:b w:val="0"/>
                <w:i w:val="0"/>
                <w:color w:val="000000"/>
                <w:sz w:val="19"/>
              </w:rPr>
              <w:t>Title page → abstract (~250 words, written last) → introduction (context, scope, objectives, limits, method) → discussion and findings (interpret, do not just list; state limitations) → conclusions and recommendations (introduce nothing new).</w:t>
            </w:r>
          </w:p>
        </w:tc>
      </w:tr>
      <w:tr>
        <w:tc>
          <w:tcPr>
            <w:tcW w:type="dxa" w:w="1205"/>
          </w:tcPr>
          <w:p>
            <w:pPr>
              <w:spacing w:after="20" w:before="0"/>
            </w:pPr>
            <w:r/>
            <w:r>
              <w:rPr>
                <w:rFonts w:ascii="Calibri" w:hAnsi="Calibri"/>
                <w:b/>
                <w:i w:val="0"/>
                <w:color w:val="000000"/>
                <w:sz w:val="19"/>
              </w:rPr>
              <w:t>Letter</w:t>
            </w:r>
          </w:p>
        </w:tc>
        <w:tc>
          <w:tcPr>
            <w:tcW w:type="dxa" w:w="1566"/>
          </w:tcPr>
          <w:p>
            <w:pPr>
              <w:spacing w:after="20" w:before="0"/>
            </w:pPr>
            <w:r/>
            <w:r>
              <w:rPr>
                <w:rFonts w:ascii="Calibri" w:hAnsi="Calibri"/>
                <w:b w:val="0"/>
                <w:i w:val="0"/>
                <w:color w:val="000000"/>
                <w:sz w:val="19"/>
              </w:rPr>
              <w:t>External parties.</w:t>
            </w:r>
          </w:p>
        </w:tc>
        <w:tc>
          <w:tcPr>
            <w:tcW w:type="dxa" w:w="6867"/>
          </w:tcPr>
          <w:p>
            <w:pPr>
              <w:spacing w:after="20" w:before="0"/>
            </w:pPr>
            <w:r/>
            <w:r>
              <w:rPr>
                <w:rFonts w:ascii="Calibri" w:hAnsi="Calibri"/>
                <w:b w:val="0"/>
                <w:i w:val="0"/>
                <w:color w:val="000000"/>
                <w:sz w:val="19"/>
              </w:rPr>
              <w:t>Formal. Company letterhead convention, recipient address, salutation, clear subject line, sign off properly.</w:t>
            </w:r>
          </w:p>
        </w:tc>
      </w:tr>
      <w:tr>
        <w:tc>
          <w:tcPr>
            <w:tcW w:type="dxa" w:w="1205"/>
          </w:tcPr>
          <w:p>
            <w:pPr>
              <w:spacing w:after="20" w:before="0"/>
            </w:pPr>
            <w:r/>
            <w:r>
              <w:rPr>
                <w:rFonts w:ascii="Calibri" w:hAnsi="Calibri"/>
                <w:b/>
                <w:i w:val="0"/>
                <w:color w:val="000000"/>
                <w:sz w:val="19"/>
              </w:rPr>
              <w:t>Minutes / slides</w:t>
            </w:r>
          </w:p>
        </w:tc>
        <w:tc>
          <w:tcPr>
            <w:tcW w:type="dxa" w:w="1566"/>
          </w:tcPr>
          <w:p>
            <w:pPr>
              <w:spacing w:after="20" w:before="0"/>
            </w:pPr>
            <w:r/>
            <w:r>
              <w:rPr>
                <w:rFonts w:ascii="Calibri" w:hAnsi="Calibri"/>
                <w:b w:val="0"/>
                <w:i w:val="0"/>
                <w:color w:val="000000"/>
                <w:sz w:val="19"/>
              </w:rPr>
              <w:t>As requested.</w:t>
            </w:r>
          </w:p>
        </w:tc>
        <w:tc>
          <w:tcPr>
            <w:tcW w:type="dxa" w:w="6867"/>
          </w:tcPr>
          <w:p>
            <w:pPr>
              <w:spacing w:after="20" w:before="0"/>
            </w:pPr>
            <w:r/>
            <w:r>
              <w:rPr>
                <w:rFonts w:ascii="Calibri" w:hAnsi="Calibri"/>
                <w:b w:val="0"/>
                <w:i w:val="0"/>
                <w:color w:val="000000"/>
                <w:sz w:val="19"/>
              </w:rPr>
              <w:t>Minutes: factual, who said what, decisions and actions with owners. Slides: headline per slide, few words, the point in the title.</w:t>
            </w:r>
          </w:p>
        </w:tc>
      </w:tr>
    </w:tbl>
    <w:p>
      <w:pPr>
        <w:spacing w:after="40"/>
      </w:pPr>
    </w:p>
    <w:p>
      <w:pPr>
        <w:spacing w:after="100"/>
      </w:pPr>
      <w:r>
        <w:rPr>
          <w:rFonts w:ascii="Calibri" w:hAnsi="Calibri"/>
          <w:b w:val="0"/>
          <w:i w:val="0"/>
          <w:color w:val="000000"/>
          <w:sz w:val="21"/>
        </w:rPr>
        <w:t xml:space="preserve">Subject lines must be </w:t>
      </w:r>
      <w:r>
        <w:rPr>
          <w:rFonts w:ascii="Calibri" w:hAnsi="Calibri"/>
          <w:b/>
          <w:i w:val="0"/>
          <w:color w:val="000000"/>
          <w:sz w:val="21"/>
        </w:rPr>
        <w:t>specific</w:t>
      </w:r>
      <w:r>
        <w:rPr>
          <w:rFonts w:ascii="Calibri" w:hAnsi="Calibri"/>
          <w:b w:val="0"/>
          <w:i w:val="0"/>
          <w:color w:val="000000"/>
          <w:sz w:val="21"/>
        </w:rPr>
        <w:t>. "Investment decision" is weak. "Recommendation on the renewable electricity options for the Axion 2030 programme" is right.</w:t>
      </w:r>
    </w:p>
    <w:p>
      <w:pPr>
        <w:pStyle w:val="Heading2"/>
      </w:pPr>
      <w:r/>
      <w:r>
        <w:rPr>
          <w:rFonts w:ascii="Calibri" w:hAnsi="Calibri"/>
          <w:color w:val="000000"/>
        </w:rPr>
        <w:t>Technique by task type</w:t>
      </w:r>
    </w:p>
    <w:p>
      <w:pPr>
        <w:pStyle w:val="Heading3"/>
      </w:pPr>
      <w:r/>
      <w:r>
        <w:rPr>
          <w:rFonts w:ascii="Calibri" w:hAnsi="Calibri"/>
          <w:color w:val="000000"/>
        </w:rPr>
        <w:t>Reviewing a calculation or someone else's work</w:t>
      </w:r>
    </w:p>
    <w:p>
      <w:pPr>
        <w:pStyle w:val="ListBullet"/>
        <w:spacing w:after="60"/>
        <w:ind w:left="425"/>
      </w:pPr>
      <w:r/>
      <w:r>
        <w:rPr>
          <w:rFonts w:ascii="Calibri" w:hAnsi="Calibri"/>
          <w:b w:val="0"/>
          <w:i w:val="0"/>
          <w:color w:val="000000"/>
          <w:sz w:val="21"/>
        </w:rPr>
        <w:t xml:space="preserve">Go </w:t>
      </w:r>
      <w:r>
        <w:rPr>
          <w:rFonts w:ascii="Calibri" w:hAnsi="Calibri"/>
          <w:b/>
          <w:i w:val="0"/>
          <w:color w:val="000000"/>
          <w:sz w:val="21"/>
        </w:rPr>
        <w:t>line by line</w:t>
      </w:r>
      <w:r>
        <w:rPr>
          <w:rFonts w:ascii="Calibri" w:hAnsi="Calibri"/>
          <w:b w:val="0"/>
          <w:i w:val="0"/>
          <w:color w:val="000000"/>
          <w:sz w:val="21"/>
        </w:rPr>
        <w:t>.</w:t>
      </w:r>
    </w:p>
    <w:p>
      <w:pPr>
        <w:pStyle w:val="ListBullet"/>
        <w:spacing w:after="60"/>
        <w:ind w:left="425"/>
      </w:pPr>
      <w:r/>
      <w:r>
        <w:rPr>
          <w:rFonts w:ascii="Calibri" w:hAnsi="Calibri"/>
          <w:b w:val="0"/>
          <w:i w:val="0"/>
          <w:color w:val="000000"/>
          <w:sz w:val="21"/>
        </w:rPr>
        <w:t xml:space="preserve">Say what is </w:t>
      </w:r>
      <w:r>
        <w:rPr>
          <w:rFonts w:ascii="Calibri" w:hAnsi="Calibri"/>
          <w:b/>
          <w:i w:val="0"/>
          <w:color w:val="000000"/>
          <w:sz w:val="21"/>
        </w:rPr>
        <w:t>correct</w:t>
      </w:r>
      <w:r>
        <w:rPr>
          <w:rFonts w:ascii="Calibri" w:hAnsi="Calibri"/>
          <w:b w:val="0"/>
          <w:i w:val="0"/>
          <w:color w:val="000000"/>
          <w:sz w:val="21"/>
        </w:rPr>
        <w:t xml:space="preserve"> as well as what is wrong.</w:t>
      </w:r>
    </w:p>
    <w:p>
      <w:pPr>
        <w:pStyle w:val="ListBullet"/>
        <w:spacing w:after="60"/>
        <w:ind w:left="425"/>
      </w:pPr>
      <w:r/>
      <w:r>
        <w:rPr>
          <w:rFonts w:ascii="Calibri" w:hAnsi="Calibri"/>
          <w:b w:val="0"/>
          <w:i w:val="0"/>
          <w:color w:val="000000"/>
          <w:sz w:val="21"/>
        </w:rPr>
        <w:t xml:space="preserve">Consider items wrongly </w:t>
      </w:r>
      <w:r>
        <w:rPr>
          <w:rFonts w:ascii="Calibri" w:hAnsi="Calibri"/>
          <w:b/>
          <w:i w:val="0"/>
          <w:color w:val="000000"/>
          <w:sz w:val="21"/>
        </w:rPr>
        <w:t>included</w:t>
      </w:r>
      <w:r>
        <w:rPr>
          <w:rFonts w:ascii="Calibri" w:hAnsi="Calibri"/>
          <w:b w:val="0"/>
          <w:i w:val="0"/>
          <w:color w:val="000000"/>
          <w:sz w:val="21"/>
        </w:rPr>
        <w:t xml:space="preserve"> and items wrongly </w:t>
      </w:r>
      <w:r>
        <w:rPr>
          <w:rFonts w:ascii="Calibri" w:hAnsi="Calibri"/>
          <w:b/>
          <w:i w:val="0"/>
          <w:color w:val="000000"/>
          <w:sz w:val="21"/>
        </w:rPr>
        <w:t>excluded</w:t>
      </w:r>
      <w:r>
        <w:rPr>
          <w:rFonts w:ascii="Calibri" w:hAnsi="Calibri"/>
          <w:b w:val="0"/>
          <w:i w:val="0"/>
          <w:color w:val="000000"/>
          <w:sz w:val="21"/>
        </w:rPr>
        <w:t>. The second is harder and separates competent from borderline — I always forget the omissions.</w:t>
      </w:r>
    </w:p>
    <w:p>
      <w:pPr>
        <w:pStyle w:val="ListBullet"/>
        <w:spacing w:after="60"/>
        <w:ind w:left="425"/>
      </w:pPr>
      <w:r/>
      <w:r>
        <w:rPr>
          <w:rFonts w:ascii="Calibri" w:hAnsi="Calibri"/>
          <w:b w:val="0"/>
          <w:i w:val="0"/>
          <w:color w:val="000000"/>
          <w:sz w:val="21"/>
        </w:rPr>
        <w:t xml:space="preserve">Question the reasonableness of forecasts and judgements, and give a </w:t>
      </w:r>
      <w:r>
        <w:rPr>
          <w:rFonts w:ascii="Calibri" w:hAnsi="Calibri"/>
          <w:b/>
          <w:i w:val="0"/>
          <w:color w:val="000000"/>
          <w:sz w:val="21"/>
        </w:rPr>
        <w:t>comparative or a reason</w:t>
      </w:r>
      <w:r>
        <w:rPr>
          <w:rFonts w:ascii="Calibri" w:hAnsi="Calibri"/>
          <w:b w:val="0"/>
          <w:i w:val="0"/>
          <w:color w:val="000000"/>
          <w:sz w:val="21"/>
        </w:rPr>
        <w:t xml:space="preserve"> for why I am questioning them.</w:t>
      </w:r>
    </w:p>
    <w:p>
      <w:pPr>
        <w:pStyle w:val="ListBullet"/>
        <w:spacing w:after="60"/>
        <w:ind w:left="425"/>
      </w:pPr>
      <w:r/>
      <w:r>
        <w:rPr>
          <w:rFonts w:ascii="Calibri" w:hAnsi="Calibri"/>
          <w:b w:val="0"/>
          <w:i w:val="0"/>
          <w:color w:val="000000"/>
          <w:sz w:val="21"/>
        </w:rPr>
        <w:t>Then add qualitative insight linked to the business context.</w:t>
      </w:r>
    </w:p>
    <w:p>
      <w:pPr>
        <w:pStyle w:val="ListBullet"/>
        <w:spacing w:after="60"/>
        <w:ind w:left="425"/>
      </w:pPr>
      <w:r/>
      <w:r>
        <w:rPr>
          <w:rFonts w:ascii="Calibri" w:hAnsi="Calibri"/>
          <w:b w:val="0"/>
          <w:i w:val="0"/>
          <w:color w:val="000000"/>
          <w:sz w:val="21"/>
        </w:rPr>
        <w:t>If asked only for errors, do not list the correct items at length. If asked for both, do both.</w:t>
      </w:r>
    </w:p>
    <w:p>
      <w:pPr>
        <w:pStyle w:val="ListBullet"/>
        <w:spacing w:after="60"/>
        <w:ind w:left="425"/>
      </w:pPr>
      <w:r/>
      <w:r>
        <w:rPr>
          <w:rFonts w:ascii="Calibri" w:hAnsi="Calibri"/>
          <w:b w:val="0"/>
          <w:i w:val="0"/>
          <w:color w:val="000000"/>
          <w:sz w:val="21"/>
        </w:rPr>
        <w:t xml:space="preserve">Tone: questioning and constructive. Explain the </w:t>
      </w:r>
      <w:r>
        <w:rPr>
          <w:rFonts w:ascii="Calibri" w:hAnsi="Calibri"/>
          <w:b/>
          <w:i w:val="0"/>
          <w:color w:val="000000"/>
          <w:sz w:val="21"/>
        </w:rPr>
        <w:t>principle</w:t>
      </w:r>
      <w:r>
        <w:rPr>
          <w:rFonts w:ascii="Calibri" w:hAnsi="Calibri"/>
          <w:b w:val="0"/>
          <w:i w:val="0"/>
          <w:color w:val="000000"/>
          <w:sz w:val="21"/>
        </w:rPr>
        <w:t>, not just the verdict.</w:t>
      </w:r>
    </w:p>
    <w:p>
      <w:pPr>
        <w:pStyle w:val="Heading3"/>
      </w:pPr>
      <w:r/>
      <w:r>
        <w:rPr>
          <w:rFonts w:ascii="Calibri" w:hAnsi="Calibri"/>
          <w:color w:val="000000"/>
        </w:rPr>
        <w:t>Open-ended tasks ("key factors", "key issues", "what should we consider")</w:t>
      </w:r>
    </w:p>
    <w:p>
      <w:pPr>
        <w:spacing w:after="100"/>
      </w:pPr>
      <w:r>
        <w:rPr>
          <w:rFonts w:ascii="Calibri" w:hAnsi="Calibri"/>
          <w:b w:val="0"/>
          <w:i w:val="0"/>
          <w:color w:val="000000"/>
          <w:sz w:val="21"/>
        </w:rPr>
        <w:t xml:space="preserve">These often need no conclusion — they test my thought process. "Key" means key: a short list of well-explained, </w:t>
      </w:r>
      <w:r>
        <w:rPr>
          <w:rFonts w:ascii="Calibri" w:hAnsi="Calibri"/>
          <w:b/>
          <w:i w:val="0"/>
          <w:color w:val="000000"/>
          <w:sz w:val="21"/>
        </w:rPr>
        <w:t>contextualised</w:t>
      </w:r>
      <w:r>
        <w:rPr>
          <w:rFonts w:ascii="Calibri" w:hAnsi="Calibri"/>
          <w:b w:val="0"/>
          <w:i w:val="0"/>
          <w:color w:val="000000"/>
          <w:sz w:val="21"/>
        </w:rPr>
        <w:t xml:space="preserve"> points beats a long list of generic ones. Generic answers actively count against me.</w:t>
      </w:r>
    </w:p>
    <w:p>
      <w:pPr>
        <w:pStyle w:val="Heading3"/>
      </w:pPr>
      <w:r/>
      <w:r>
        <w:rPr>
          <w:rFonts w:ascii="Calibri" w:hAnsi="Calibri"/>
          <w:color w:val="000000"/>
        </w:rPr>
        <w:t>Internal control tasks</w:t>
      </w:r>
    </w:p>
    <w:p>
      <w:pPr>
        <w:pStyle w:val="ListBullet"/>
        <w:spacing w:after="60"/>
        <w:ind w:left="425"/>
      </w:pPr>
      <w:r/>
      <w:r>
        <w:rPr>
          <w:rFonts w:ascii="Calibri" w:hAnsi="Calibri"/>
          <w:b w:val="0"/>
          <w:i w:val="0"/>
          <w:color w:val="000000"/>
          <w:sz w:val="21"/>
        </w:rPr>
        <w:t xml:space="preserve">A weakness is a </w:t>
      </w:r>
      <w:r>
        <w:rPr>
          <w:rFonts w:ascii="Calibri" w:hAnsi="Calibri"/>
          <w:b/>
          <w:i w:val="0"/>
          <w:color w:val="000000"/>
          <w:sz w:val="21"/>
        </w:rPr>
        <w:t>root cause plus what could go wrong</w:t>
      </w:r>
      <w:r>
        <w:rPr>
          <w:rFonts w:ascii="Calibri" w:hAnsi="Calibri"/>
          <w:b w:val="0"/>
          <w:i w:val="0"/>
          <w:color w:val="000000"/>
          <w:sz w:val="21"/>
        </w:rPr>
        <w:t xml:space="preserve"> — not a restatement of the process.</w:t>
      </w:r>
    </w:p>
    <w:p>
      <w:pPr>
        <w:pStyle w:val="ListBullet"/>
        <w:spacing w:after="60"/>
        <w:ind w:left="425"/>
      </w:pPr>
      <w:r/>
      <w:r>
        <w:rPr>
          <w:rFonts w:ascii="Calibri" w:hAnsi="Calibri"/>
          <w:b w:val="0"/>
          <w:i w:val="0"/>
          <w:color w:val="000000"/>
          <w:sz w:val="21"/>
        </w:rPr>
        <w:t>Every recommendation must be practical in the actual operating environment, linked to a specific weakness, and detailed enough to implement.</w:t>
      </w:r>
    </w:p>
    <w:p>
      <w:pPr>
        <w:pStyle w:val="ListBullet"/>
        <w:spacing w:after="60"/>
        <w:ind w:left="425"/>
      </w:pPr>
      <w:r/>
      <w:r>
        <w:rPr>
          <w:rFonts w:ascii="Calibri" w:hAnsi="Calibri"/>
          <w:b w:val="0"/>
          <w:i w:val="0"/>
          <w:color w:val="000000"/>
          <w:sz w:val="21"/>
        </w:rPr>
        <w:t xml:space="preserve">Cover </w:t>
      </w:r>
      <w:r>
        <w:rPr>
          <w:rFonts w:ascii="Calibri" w:hAnsi="Calibri"/>
          <w:b/>
          <w:i w:val="0"/>
          <w:color w:val="000000"/>
          <w:sz w:val="21"/>
        </w:rPr>
        <w:t>validity, accuracy and completeness</w:t>
      </w:r>
      <w:r>
        <w:rPr>
          <w:rFonts w:ascii="Calibri" w:hAnsi="Calibri"/>
          <w:b w:val="0"/>
          <w:i w:val="0"/>
          <w:color w:val="000000"/>
          <w:sz w:val="21"/>
        </w:rPr>
        <w:t xml:space="preserve"> — not six controls all about one of them.</w:t>
      </w:r>
    </w:p>
    <w:p>
      <w:pPr>
        <w:pStyle w:val="ListBullet"/>
        <w:spacing w:after="60"/>
        <w:ind w:left="425"/>
      </w:pPr>
      <w:r/>
      <w:r>
        <w:rPr>
          <w:rFonts w:ascii="Calibri" w:hAnsi="Calibri"/>
          <w:b w:val="0"/>
          <w:i w:val="0"/>
          <w:color w:val="000000"/>
          <w:sz w:val="21"/>
        </w:rPr>
        <w:t>Separate monitoring from operations. Do not give oversight staff operational duties.</w:t>
      </w:r>
    </w:p>
    <w:p>
      <w:pPr>
        <w:pStyle w:val="Heading3"/>
      </w:pPr>
      <w:r/>
      <w:r>
        <w:rPr>
          <w:rFonts w:ascii="Calibri" w:hAnsi="Calibri"/>
          <w:color w:val="000000"/>
        </w:rPr>
        <w:t>Audit tasks</w:t>
      </w:r>
    </w:p>
    <w:p>
      <w:pPr>
        <w:pStyle w:val="ListBullet"/>
        <w:spacing w:after="60"/>
        <w:ind w:left="425"/>
      </w:pPr>
      <w:r/>
      <w:r>
        <w:rPr>
          <w:rFonts w:ascii="Calibri" w:hAnsi="Calibri"/>
          <w:b w:val="0"/>
          <w:i w:val="0"/>
          <w:color w:val="000000"/>
          <w:sz w:val="21"/>
        </w:rPr>
        <w:t xml:space="preserve">Procedures must say </w:t>
      </w:r>
      <w:r>
        <w:rPr>
          <w:rFonts w:ascii="Calibri" w:hAnsi="Calibri"/>
          <w:b/>
          <w:i w:val="0"/>
          <w:color w:val="000000"/>
          <w:sz w:val="21"/>
        </w:rPr>
        <w:t>what</w:t>
      </w:r>
      <w:r>
        <w:rPr>
          <w:rFonts w:ascii="Calibri" w:hAnsi="Calibri"/>
          <w:b w:val="0"/>
          <w:i w:val="0"/>
          <w:color w:val="000000"/>
          <w:sz w:val="21"/>
        </w:rPr>
        <w:t xml:space="preserve">, </w:t>
      </w:r>
      <w:r>
        <w:rPr>
          <w:rFonts w:ascii="Calibri" w:hAnsi="Calibri"/>
          <w:b/>
          <w:i w:val="0"/>
          <w:color w:val="000000"/>
          <w:sz w:val="21"/>
        </w:rPr>
        <w:t>how</w:t>
      </w:r>
      <w:r>
        <w:rPr>
          <w:rFonts w:ascii="Calibri" w:hAnsi="Calibri"/>
          <w:b w:val="0"/>
          <w:i w:val="0"/>
          <w:color w:val="000000"/>
          <w:sz w:val="21"/>
        </w:rPr>
        <w:t xml:space="preserve">, and </w:t>
      </w:r>
      <w:r>
        <w:rPr>
          <w:rFonts w:ascii="Calibri" w:hAnsi="Calibri"/>
          <w:b/>
          <w:i w:val="0"/>
          <w:color w:val="000000"/>
          <w:sz w:val="21"/>
        </w:rPr>
        <w:t>on what evidence</w:t>
      </w:r>
      <w:r>
        <w:rPr>
          <w:rFonts w:ascii="Calibri" w:hAnsi="Calibri"/>
          <w:b w:val="0"/>
          <w:i w:val="0"/>
          <w:color w:val="000000"/>
          <w:sz w:val="21"/>
        </w:rPr>
        <w:t>.</w:t>
      </w:r>
    </w:p>
    <w:p>
      <w:pPr>
        <w:pStyle w:val="ListBullet"/>
        <w:spacing w:after="60"/>
        <w:ind w:left="425"/>
      </w:pPr>
      <w:r/>
      <w:r>
        <w:rPr>
          <w:rFonts w:ascii="Calibri" w:hAnsi="Calibri"/>
          <w:b w:val="0"/>
          <w:i w:val="0"/>
          <w:color w:val="000000"/>
          <w:sz w:val="21"/>
        </w:rPr>
        <w:t>Distinguish management's responsibilities from the auditor's.</w:t>
      </w:r>
    </w:p>
    <w:p>
      <w:pPr>
        <w:pStyle w:val="ListBullet"/>
        <w:spacing w:after="60"/>
        <w:ind w:left="425"/>
      </w:pPr>
      <w:r/>
      <w:r>
        <w:rPr>
          <w:rFonts w:ascii="Calibri" w:hAnsi="Calibri"/>
          <w:b w:val="0"/>
          <w:i w:val="0"/>
          <w:color w:val="000000"/>
          <w:sz w:val="21"/>
        </w:rPr>
        <w:t xml:space="preserve">Weigh the </w:t>
      </w:r>
      <w:r>
        <w:rPr>
          <w:rFonts w:ascii="Calibri" w:hAnsi="Calibri"/>
          <w:b/>
          <w:i w:val="0"/>
          <w:color w:val="000000"/>
          <w:sz w:val="21"/>
        </w:rPr>
        <w:t>reliability</w:t>
      </w:r>
      <w:r>
        <w:rPr>
          <w:rFonts w:ascii="Calibri" w:hAnsi="Calibri"/>
          <w:b w:val="0"/>
          <w:i w:val="0"/>
          <w:color w:val="000000"/>
          <w:sz w:val="21"/>
        </w:rPr>
        <w:t xml:space="preserve"> of evidence — internal versus external, enquiry versus corroboration.</w:t>
      </w:r>
    </w:p>
    <w:p>
      <w:pPr>
        <w:pStyle w:val="Heading3"/>
      </w:pPr>
      <w:r/>
      <w:r>
        <w:rPr>
          <w:rFonts w:ascii="Calibri" w:hAnsi="Calibri"/>
          <w:color w:val="000000"/>
        </w:rPr>
        <w:t>Tax tasks</w:t>
      </w:r>
    </w:p>
    <w:p>
      <w:pPr>
        <w:pStyle w:val="ListBullet"/>
        <w:spacing w:after="60"/>
        <w:ind w:left="425"/>
      </w:pPr>
      <w:r/>
      <w:r>
        <w:rPr>
          <w:rFonts w:ascii="Calibri" w:hAnsi="Calibri"/>
          <w:b w:val="0"/>
          <w:i w:val="0"/>
          <w:color w:val="000000"/>
          <w:sz w:val="21"/>
        </w:rPr>
        <w:t xml:space="preserve">Identify the </w:t>
      </w:r>
      <w:r>
        <w:rPr>
          <w:rFonts w:ascii="Calibri" w:hAnsi="Calibri"/>
          <w:b/>
          <w:i w:val="0"/>
          <w:color w:val="000000"/>
          <w:sz w:val="21"/>
        </w:rPr>
        <w:t>specific</w:t>
      </w:r>
      <w:r>
        <w:rPr>
          <w:rFonts w:ascii="Calibri" w:hAnsi="Calibri"/>
          <w:b w:val="0"/>
          <w:i w:val="0"/>
          <w:color w:val="000000"/>
          <w:sz w:val="21"/>
        </w:rPr>
        <w:t xml:space="preserve"> provision the facts engage, not the nearest plausible one.</w:t>
      </w:r>
    </w:p>
    <w:p>
      <w:pPr>
        <w:pStyle w:val="ListBullet"/>
        <w:spacing w:after="60"/>
        <w:ind w:left="425"/>
      </w:pPr>
      <w:r/>
      <w:r>
        <w:rPr>
          <w:rFonts w:ascii="Calibri" w:hAnsi="Calibri"/>
          <w:b w:val="0"/>
          <w:i w:val="0"/>
          <w:color w:val="000000"/>
          <w:sz w:val="21"/>
        </w:rPr>
        <w:t>Work through its requirements, exceptions, exclusions and reliefs.</w:t>
      </w:r>
    </w:p>
    <w:p>
      <w:pPr>
        <w:pStyle w:val="ListBullet"/>
        <w:spacing w:after="60"/>
        <w:ind w:left="425"/>
      </w:pPr>
      <w:r/>
      <w:r>
        <w:rPr>
          <w:rFonts w:ascii="Calibri" w:hAnsi="Calibri"/>
          <w:b w:val="0"/>
          <w:i w:val="0"/>
          <w:color w:val="000000"/>
          <w:sz w:val="21"/>
        </w:rPr>
        <w:t>Use the financial statement extracts to identify which balances need tax revision.</w:t>
      </w:r>
    </w:p>
    <w:p>
      <w:pPr>
        <w:pStyle w:val="Heading3"/>
      </w:pPr>
      <w:r/>
      <w:r>
        <w:rPr>
          <w:rFonts w:ascii="Calibri" w:hAnsi="Calibri"/>
          <w:color w:val="000000"/>
        </w:rPr>
        <w:t>Ethics tasks</w:t>
      </w:r>
    </w:p>
    <w:p>
      <w:pPr>
        <w:spacing w:after="100"/>
      </w:pPr>
      <w:r>
        <w:rPr>
          <w:rFonts w:ascii="Calibri" w:hAnsi="Calibri"/>
          <w:b w:val="0"/>
          <w:i w:val="0"/>
          <w:color w:val="000000"/>
          <w:sz w:val="21"/>
        </w:rPr>
        <w:t>Structure every one of them the same way, because I will not have prepared the content:</w:t>
      </w:r>
    </w:p>
    <w:p>
      <w:pPr>
        <w:pStyle w:val="ListNumber"/>
        <w:spacing w:after="60"/>
        <w:ind w:left="425"/>
      </w:pPr>
      <w:r/>
      <w:r>
        <w:rPr>
          <w:rFonts w:ascii="Calibri" w:hAnsi="Calibri"/>
          <w:b/>
          <w:i w:val="0"/>
          <w:color w:val="000000"/>
          <w:sz w:val="21"/>
        </w:rPr>
        <w:t>What is the dilemma or concern?</w:t>
      </w:r>
      <w:r>
        <w:rPr>
          <w:rFonts w:ascii="Calibri" w:hAnsi="Calibri"/>
          <w:b w:val="0"/>
          <w:i w:val="0"/>
          <w:color w:val="000000"/>
          <w:sz w:val="21"/>
        </w:rPr>
        <w:t xml:space="preserve"> Describe it precisely. If I cannot articulate it, I cannot resolve it.</w:t>
      </w:r>
    </w:p>
    <w:p>
      <w:pPr>
        <w:pStyle w:val="ListNumber"/>
        <w:spacing w:after="60"/>
        <w:ind w:left="425"/>
      </w:pPr>
      <w:r/>
      <w:r>
        <w:rPr>
          <w:rFonts w:ascii="Calibri" w:hAnsi="Calibri"/>
          <w:b/>
          <w:i w:val="0"/>
          <w:color w:val="000000"/>
          <w:sz w:val="21"/>
        </w:rPr>
        <w:t>What bears on it?</w:t>
      </w:r>
      <w:r>
        <w:rPr>
          <w:rFonts w:ascii="Calibri" w:hAnsi="Calibri"/>
          <w:b w:val="0"/>
          <w:i w:val="0"/>
          <w:color w:val="000000"/>
          <w:sz w:val="21"/>
        </w:rPr>
        <w:t xml:space="preserve"> The facts, plus the frameworks — SAICA Code fundamental principles and the five threats; King V ethical and effective leadership, organisational ethics, corporate citizenship, stakeholder inclusivity; the Companies Act (s75 conflicts, s76 duties, s77 liability, s72(4) social and ethics committee); NOCLAR.</w:t>
      </w:r>
    </w:p>
    <w:p>
      <w:pPr>
        <w:pStyle w:val="ListNumber"/>
        <w:spacing w:after="60"/>
        <w:ind w:left="425"/>
      </w:pPr>
      <w:r/>
      <w:r>
        <w:rPr>
          <w:rFonts w:ascii="Calibri" w:hAnsi="Calibri"/>
          <w:b/>
          <w:i w:val="0"/>
          <w:color w:val="000000"/>
          <w:sz w:val="21"/>
        </w:rPr>
        <w:t>What should be done?</w:t>
      </w:r>
      <w:r>
        <w:rPr>
          <w:rFonts w:ascii="Calibri" w:hAnsi="Calibri"/>
          <w:b w:val="0"/>
          <w:i w:val="0"/>
          <w:color w:val="000000"/>
          <w:sz w:val="21"/>
        </w:rPr>
        <w:t xml:space="preserve"> Balanced discussion of the alternatives, then a clear course of action, in a respectful tone. "Consider" for the optional; state the mandatory plainly.</w:t>
      </w:r>
    </w:p>
    <w:p>
      <w:pPr>
        <w:spacing w:after="100"/>
      </w:pPr>
      <w:r>
        <w:rPr>
          <w:rFonts w:ascii="Calibri" w:hAnsi="Calibri"/>
          <w:b w:val="0"/>
          <w:i w:val="0"/>
          <w:color w:val="000000"/>
          <w:sz w:val="21"/>
        </w:rPr>
        <w:t>There is no such thing as a task that is "a business question, not an ethical question". Business is an ethical endeavour. Look for the ethical dimension in every task.</w:t>
      </w:r>
    </w:p>
    <w:p>
      <w:pPr>
        <w:spacing w:after="100"/>
      </w:pPr>
      <w:r>
        <w:rPr>
          <w:rFonts w:ascii="Calibri" w:hAnsi="Calibri"/>
          <w:b w:val="0"/>
          <w:i w:val="0"/>
          <w:color w:val="000000"/>
          <w:sz w:val="21"/>
        </w:rPr>
        <w:t xml:space="preserve">And consider </w:t>
      </w:r>
      <w:r>
        <w:rPr>
          <w:rFonts w:ascii="Calibri" w:hAnsi="Calibri"/>
          <w:b/>
          <w:i w:val="0"/>
          <w:color w:val="000000"/>
          <w:sz w:val="21"/>
        </w:rPr>
        <w:t>more than one stakeholder group</w:t>
      </w:r>
      <w:r>
        <w:rPr>
          <w:rFonts w:ascii="Calibri" w:hAnsi="Calibri"/>
          <w:b w:val="0"/>
          <w:i w:val="0"/>
          <w:color w:val="000000"/>
          <w:sz w:val="21"/>
        </w:rPr>
        <w:t xml:space="preserve"> — I consistently write only about the company.</w:t>
      </w:r>
    </w:p>
    <w:p>
      <w:pPr>
        <w:pStyle w:val="Heading2"/>
      </w:pPr>
      <w:r/>
      <w:r>
        <w:rPr>
          <w:rFonts w:ascii="Calibri" w:hAnsi="Calibri"/>
          <w:color w:val="000000"/>
        </w:rPr>
        <w:t>The things markers actually penalise — my personal list</w:t>
      </w:r>
    </w:p>
    <w:p>
      <w:pPr>
        <w:spacing w:after="100"/>
      </w:pPr>
      <w:r>
        <w:rPr>
          <w:rFonts w:ascii="Calibri" w:hAnsi="Calibri"/>
          <w:b w:val="0"/>
          <w:i w:val="0"/>
          <w:color w:val="000000"/>
          <w:sz w:val="21"/>
        </w:rPr>
        <w:t>These repeat every single year. Read this page before I start writing.</w:t>
      </w:r>
    </w:p>
    <w:p>
      <w:pPr>
        <w:pStyle w:val="ListNumber"/>
        <w:spacing w:after="60"/>
        <w:ind w:left="425"/>
      </w:pPr>
      <w:r/>
      <w:r>
        <w:rPr>
          <w:rFonts w:ascii="Calibri" w:hAnsi="Calibri"/>
          <w:b/>
          <w:i w:val="0"/>
          <w:color w:val="000000"/>
          <w:sz w:val="21"/>
        </w:rPr>
        <w:t>Spending too long on the first one or two tasks.</w:t>
      </w:r>
      <w:r>
        <w:rPr>
          <w:rFonts w:ascii="Calibri" w:hAnsi="Calibri"/>
          <w:b w:val="0"/>
          <w:i w:val="0"/>
          <w:color w:val="000000"/>
          <w:sz w:val="21"/>
        </w:rPr>
        <w:t xml:space="preserve"> People who go big early hardly ever finish. Not finishing is close to fatal.</w:t>
      </w:r>
    </w:p>
    <w:p>
      <w:pPr>
        <w:pStyle w:val="ListNumber"/>
        <w:spacing w:after="60"/>
        <w:ind w:left="425"/>
      </w:pPr>
      <w:r/>
      <w:r>
        <w:rPr>
          <w:rFonts w:ascii="Calibri" w:hAnsi="Calibri"/>
          <w:b/>
          <w:i w:val="0"/>
          <w:color w:val="000000"/>
          <w:sz w:val="21"/>
        </w:rPr>
        <w:t>Not answering every part of the task.</w:t>
      </w:r>
    </w:p>
    <w:p>
      <w:pPr>
        <w:pStyle w:val="ListNumber"/>
        <w:spacing w:after="60"/>
        <w:ind w:left="425"/>
      </w:pPr>
      <w:r/>
      <w:r>
        <w:rPr>
          <w:rFonts w:ascii="Calibri" w:hAnsi="Calibri"/>
          <w:b/>
          <w:i w:val="0"/>
          <w:color w:val="000000"/>
          <w:sz w:val="21"/>
        </w:rPr>
        <w:t>Ignoring the information on the day.</w:t>
      </w:r>
      <w:r>
        <w:rPr>
          <w:rFonts w:ascii="Calibri" w:hAnsi="Calibri"/>
          <w:b w:val="0"/>
          <w:i w:val="0"/>
          <w:color w:val="000000"/>
          <w:sz w:val="21"/>
        </w:rPr>
        <w:t xml:space="preserve"> The most common cause of a Limited Competence.</w:t>
      </w:r>
    </w:p>
    <w:p>
      <w:pPr>
        <w:pStyle w:val="ListNumber"/>
        <w:spacing w:after="60"/>
        <w:ind w:left="425"/>
      </w:pPr>
      <w:r/>
      <w:r>
        <w:rPr>
          <w:rFonts w:ascii="Calibri" w:hAnsi="Calibri"/>
          <w:b/>
          <w:i w:val="0"/>
          <w:color w:val="000000"/>
          <w:sz w:val="21"/>
        </w:rPr>
        <w:t>Forgetting the pre-release context.</w:t>
      </w:r>
      <w:r>
        <w:rPr>
          <w:rFonts w:ascii="Calibri" w:hAnsi="Calibri"/>
          <w:b w:val="0"/>
          <w:i w:val="0"/>
          <w:color w:val="000000"/>
          <w:sz w:val="21"/>
        </w:rPr>
        <w:t xml:space="preserve"> Recommending a cash distribution for a cash-constrained business shows I do not understand the company.</w:t>
      </w:r>
    </w:p>
    <w:p>
      <w:pPr>
        <w:pStyle w:val="ListNumber"/>
        <w:spacing w:after="60"/>
        <w:ind w:left="425"/>
      </w:pPr>
      <w:r/>
      <w:r>
        <w:rPr>
          <w:rFonts w:ascii="Calibri" w:hAnsi="Calibri"/>
          <w:b/>
          <w:i w:val="0"/>
          <w:color w:val="000000"/>
          <w:sz w:val="21"/>
        </w:rPr>
        <w:t>Not explaining why.</w:t>
      </w:r>
    </w:p>
    <w:p>
      <w:pPr>
        <w:pStyle w:val="ListNumber"/>
        <w:spacing w:after="60"/>
        <w:ind w:left="425"/>
      </w:pPr>
      <w:r/>
      <w:r>
        <w:rPr>
          <w:rFonts w:ascii="Calibri" w:hAnsi="Calibri"/>
          <w:b/>
          <w:i w:val="0"/>
          <w:color w:val="000000"/>
          <w:sz w:val="21"/>
        </w:rPr>
        <w:t>Dumping technical content.</w:t>
      </w:r>
      <w:r>
        <w:rPr>
          <w:rFonts w:ascii="Calibri" w:hAnsi="Calibri"/>
          <w:b w:val="0"/>
          <w:i w:val="0"/>
          <w:color w:val="000000"/>
          <w:sz w:val="21"/>
        </w:rPr>
        <w:t xml:space="preserve"> Earns nothing and signals weak communication.</w:t>
      </w:r>
    </w:p>
    <w:p>
      <w:pPr>
        <w:pStyle w:val="ListNumber"/>
        <w:spacing w:after="60"/>
        <w:ind w:left="425"/>
      </w:pPr>
      <w:r/>
      <w:r>
        <w:rPr>
          <w:rFonts w:ascii="Calibri" w:hAnsi="Calibri"/>
          <w:b/>
          <w:i w:val="0"/>
          <w:color w:val="000000"/>
          <w:sz w:val="21"/>
        </w:rPr>
        <w:t>Thinking the goal is to apply my research.</w:t>
      </w:r>
      <w:r>
        <w:rPr>
          <w:rFonts w:ascii="Calibri" w:hAnsi="Calibri"/>
          <w:b w:val="0"/>
          <w:i w:val="0"/>
          <w:color w:val="000000"/>
          <w:sz w:val="21"/>
        </w:rPr>
        <w:t xml:space="preserve"> The goal is to answer the task.</w:t>
      </w:r>
    </w:p>
    <w:p>
      <w:pPr>
        <w:pStyle w:val="ListNumber"/>
        <w:spacing w:after="60"/>
        <w:ind w:left="425"/>
      </w:pPr>
      <w:r/>
      <w:r>
        <w:rPr>
          <w:rFonts w:ascii="Calibri" w:hAnsi="Calibri"/>
          <w:b/>
          <w:i w:val="0"/>
          <w:color w:val="000000"/>
          <w:sz w:val="21"/>
        </w:rPr>
        <w:t>Fundamental errors</w:t>
      </w:r>
      <w:r>
        <w:rPr>
          <w:rFonts w:ascii="Calibri" w:hAnsi="Calibri"/>
          <w:b w:val="0"/>
          <w:i w:val="0"/>
          <w:color w:val="000000"/>
          <w:sz w:val="21"/>
        </w:rPr>
        <w:t xml:space="preserve"> — depreciation in a cash flow forecast, "IFRS says" something it does not, revenue only when cash is received. One of these casts doubt over everything else I wrote.</w:t>
      </w:r>
    </w:p>
    <w:p>
      <w:pPr>
        <w:pStyle w:val="ListNumber"/>
        <w:spacing w:after="60"/>
        <w:ind w:left="425"/>
      </w:pPr>
      <w:r/>
      <w:r>
        <w:rPr>
          <w:rFonts w:ascii="Calibri" w:hAnsi="Calibri"/>
          <w:b/>
          <w:i w:val="0"/>
          <w:color w:val="000000"/>
          <w:sz w:val="21"/>
        </w:rPr>
        <w:t>Writing as an outsider</w:t>
      </w:r>
      <w:r>
        <w:rPr>
          <w:rFonts w:ascii="Calibri" w:hAnsi="Calibri"/>
          <w:b w:val="0"/>
          <w:i w:val="0"/>
          <w:color w:val="000000"/>
          <w:sz w:val="21"/>
        </w:rPr>
        <w:t xml:space="preserve"> instead of as an employee.</w:t>
      </w:r>
    </w:p>
    <w:p>
      <w:pPr>
        <w:pStyle w:val="ListNumber"/>
        <w:spacing w:after="60"/>
        <w:ind w:left="425"/>
      </w:pPr>
      <w:r/>
      <w:r>
        <w:rPr>
          <w:rFonts w:ascii="Calibri" w:hAnsi="Calibri"/>
          <w:b/>
          <w:i w:val="0"/>
          <w:color w:val="000000"/>
          <w:sz w:val="21"/>
        </w:rPr>
        <w:t>Freezing over what I do not know.</w:t>
      </w:r>
    </w:p>
    <w:p>
      <w:pPr>
        <w:pStyle w:val="ListNumber"/>
        <w:spacing w:after="60"/>
        <w:ind w:left="425"/>
      </w:pPr>
      <w:r/>
      <w:r>
        <w:rPr>
          <w:rFonts w:ascii="Calibri" w:hAnsi="Calibri"/>
          <w:b/>
          <w:i w:val="0"/>
          <w:color w:val="000000"/>
          <w:sz w:val="21"/>
        </w:rPr>
        <w:t>Saying or doing anything unethical</w:t>
      </w:r>
      <w:r>
        <w:rPr>
          <w:rFonts w:ascii="Calibri" w:hAnsi="Calibri"/>
          <w:b w:val="0"/>
          <w:i w:val="0"/>
          <w:color w:val="000000"/>
          <w:sz w:val="21"/>
        </w:rPr>
        <w:t>, including offering to share confidential information. Nothing else I write will save that task.</w:t>
      </w:r>
    </w:p>
    <w:p>
      <w:pPr>
        <w:pStyle w:val="ListNumber"/>
        <w:spacing w:after="60"/>
        <w:ind w:left="425"/>
      </w:pPr>
      <w:r/>
      <w:r>
        <w:rPr>
          <w:rFonts w:ascii="Calibri" w:hAnsi="Calibri"/>
          <w:b/>
          <w:i w:val="0"/>
          <w:color w:val="000000"/>
          <w:sz w:val="21"/>
        </w:rPr>
        <w:t>Not stating the obvious.</w:t>
      </w:r>
      <w:r>
        <w:rPr>
          <w:rFonts w:ascii="Calibri" w:hAnsi="Calibri"/>
          <w:b w:val="0"/>
          <w:i w:val="0"/>
          <w:color w:val="000000"/>
          <w:sz w:val="21"/>
        </w:rPr>
        <w:t xml:space="preserve"> If a procedure is correct, write "Correct".</w:t>
      </w:r>
    </w:p>
    <w:p>
      <w:pPr>
        <w:pStyle w:val="ListNumber"/>
        <w:spacing w:after="60"/>
        <w:ind w:left="425"/>
      </w:pPr>
      <w:r/>
      <w:r>
        <w:rPr>
          <w:rFonts w:ascii="Calibri" w:hAnsi="Calibri"/>
          <w:b/>
          <w:i w:val="0"/>
          <w:color w:val="000000"/>
          <w:sz w:val="21"/>
        </w:rPr>
        <w:t>Panicking into major rewrites.</w:t>
      </w:r>
    </w:p>
    <w:p>
      <w:pPr>
        <w:pStyle w:val="ListNumber"/>
        <w:spacing w:after="60"/>
        <w:ind w:left="425"/>
      </w:pPr>
      <w:r/>
      <w:r>
        <w:rPr>
          <w:rFonts w:ascii="Calibri" w:hAnsi="Calibri"/>
          <w:b/>
          <w:i w:val="0"/>
          <w:color w:val="000000"/>
          <w:sz w:val="21"/>
        </w:rPr>
        <w:t>Under-performing on financial reporting.</w:t>
      </w:r>
      <w:r>
        <w:rPr>
          <w:rFonts w:ascii="Calibri" w:hAnsi="Calibri"/>
          <w:b w:val="0"/>
          <w:i w:val="0"/>
          <w:color w:val="000000"/>
          <w:sz w:val="21"/>
        </w:rPr>
        <w:t xml:space="preserve"> SAICA uses FR as the key indicator of competence, and there is usually more than one FR task. Never leave an FR task thin.</w:t>
      </w:r>
    </w:p>
    <w:p>
      <w:pPr>
        <w:pStyle w:val="ListNumber"/>
        <w:spacing w:after="60"/>
        <w:ind w:left="425"/>
      </w:pPr>
      <w:r/>
      <w:r>
        <w:rPr>
          <w:rFonts w:ascii="Calibri" w:hAnsi="Calibri"/>
          <w:b/>
          <w:i w:val="0"/>
          <w:color w:val="000000"/>
          <w:sz w:val="21"/>
        </w:rPr>
        <w:t>Not checking, so contradictions survive.</w:t>
      </w:r>
    </w:p>
    <w:p>
      <w:pPr>
        <w:pStyle w:val="ListNumber"/>
        <w:spacing w:after="60"/>
        <w:ind w:left="425"/>
      </w:pPr>
      <w:r/>
      <w:r>
        <w:rPr>
          <w:rFonts w:ascii="Calibri" w:hAnsi="Calibri"/>
          <w:b/>
          <w:i w:val="0"/>
          <w:color w:val="000000"/>
          <w:sz w:val="21"/>
        </w:rPr>
        <w:t>Deferring to a specialist</w:t>
      </w:r>
      <w:r>
        <w:rPr>
          <w:rFonts w:ascii="Calibri" w:hAnsi="Calibri"/>
          <w:b w:val="0"/>
          <w:i w:val="0"/>
          <w:color w:val="000000"/>
          <w:sz w:val="21"/>
        </w:rPr>
        <w:t xml:space="preserve"> where I should know the answer.</w:t>
      </w:r>
    </w:p>
    <w:p>
      <w:pPr>
        <w:pStyle w:val="ListNumber"/>
        <w:spacing w:after="60"/>
        <w:ind w:left="425"/>
      </w:pPr>
      <w:r/>
      <w:r>
        <w:rPr>
          <w:rFonts w:ascii="Calibri" w:hAnsi="Calibri"/>
          <w:b/>
          <w:i w:val="0"/>
          <w:color w:val="000000"/>
          <w:sz w:val="21"/>
        </w:rPr>
        <w:t>Using my real name.</w:t>
      </w:r>
      <w:r>
        <w:rPr>
          <w:rFonts w:ascii="Calibri" w:hAnsi="Calibri"/>
          <w:b w:val="0"/>
          <w:i w:val="0"/>
          <w:color w:val="000000"/>
          <w:sz w:val="21"/>
        </w:rPr>
        <w:t xml:space="preserve"> Ever.</w:t>
      </w:r>
    </w:p>
    <w:p>
      <w:pPr>
        <w:pStyle w:val="Heading2"/>
      </w:pPr>
      <w:r/>
      <w:r>
        <w:rPr>
          <w:rFonts w:ascii="Calibri" w:hAnsi="Calibri"/>
          <w:color w:val="000000"/>
        </w:rPr>
        <w:t>Failures of scope — the biggest time-waster</w:t>
      </w:r>
    </w:p>
    <w:p>
      <w:pPr>
        <w:spacing w:after="100"/>
      </w:pPr>
      <w:r>
        <w:rPr>
          <w:rFonts w:ascii="Calibri" w:hAnsi="Calibri"/>
          <w:b w:val="0"/>
          <w:i w:val="0"/>
          <w:color w:val="000000"/>
          <w:sz w:val="21"/>
        </w:rPr>
        <w:t xml:space="preserve">Answering </w:t>
      </w:r>
      <w:r>
        <w:rPr>
          <w:rFonts w:ascii="Calibri" w:hAnsi="Calibri"/>
          <w:b/>
          <w:i w:val="0"/>
          <w:color w:val="000000"/>
          <w:sz w:val="21"/>
        </w:rPr>
        <w:t>wider than asked</w:t>
      </w:r>
      <w:r>
        <w:rPr>
          <w:rFonts w:ascii="Calibri" w:hAnsi="Calibri"/>
          <w:b w:val="0"/>
          <w:i w:val="0"/>
          <w:color w:val="000000"/>
          <w:sz w:val="21"/>
        </w:rPr>
        <w:t xml:space="preserve"> was the single largest source of lost time and lost grades in the August QE. Candidates set out the whole five-step revenue model when asked only to review journals; built DCF and IRR models when told the analysis was an initial screening; proposed new audit procedures when told to critique only what was given.</w:t>
      </w:r>
    </w:p>
    <w:p>
      <w:pPr>
        <w:spacing w:after="100"/>
      </w:pPr>
      <w:r>
        <w:rPr>
          <w:rFonts w:ascii="Calibri" w:hAnsi="Calibri"/>
          <w:b w:val="0"/>
          <w:i w:val="0"/>
          <w:color w:val="000000"/>
          <w:sz w:val="21"/>
        </w:rPr>
        <w:t>Also: unnecessary definitions. If there is no doubt that something is a contract, do not define a contract.</w:t>
      </w:r>
    </w:p>
    <w:p>
      <w:pPr>
        <w:pStyle w:val="Heading2"/>
      </w:pPr>
      <w:r/>
      <w:r>
        <w:rPr>
          <w:rFonts w:ascii="Calibri" w:hAnsi="Calibri"/>
          <w:color w:val="000000"/>
        </w:rPr>
        <w:t>Failures of depth and breadth</w:t>
      </w:r>
    </w:p>
    <w:p>
      <w:pPr>
        <w:pStyle w:val="ListBullet"/>
        <w:spacing w:after="60"/>
        <w:ind w:left="425"/>
      </w:pPr>
      <w:r/>
      <w:r>
        <w:rPr>
          <w:rFonts w:ascii="Calibri" w:hAnsi="Calibri"/>
          <w:b w:val="0"/>
          <w:i w:val="0"/>
          <w:color w:val="000000"/>
          <w:sz w:val="21"/>
        </w:rPr>
        <w:t>Identifying an issue without explaining why it matters or what the consequence is.</w:t>
      </w:r>
    </w:p>
    <w:p>
      <w:pPr>
        <w:pStyle w:val="ListBullet"/>
        <w:spacing w:after="60"/>
        <w:ind w:left="425"/>
      </w:pPr>
      <w:r/>
      <w:r>
        <w:rPr>
          <w:rFonts w:ascii="Calibri" w:hAnsi="Calibri"/>
          <w:b w:val="0"/>
          <w:i w:val="0"/>
          <w:color w:val="000000"/>
          <w:sz w:val="21"/>
        </w:rPr>
        <w:t>Stating a question without the reason it is relevant. Not "why has an after-tax rate been used?" but "why an after-tax rate, given that these are pre-tax cash flows and should therefore be discounted at a pre-tax rate?"</w:t>
      </w:r>
    </w:p>
    <w:p>
      <w:pPr>
        <w:pStyle w:val="ListBullet"/>
        <w:spacing w:after="60"/>
        <w:ind w:left="425"/>
      </w:pPr>
      <w:r/>
      <w:r>
        <w:rPr>
          <w:rFonts w:ascii="Calibri" w:hAnsi="Calibri"/>
          <w:b w:val="0"/>
          <w:i w:val="0"/>
          <w:color w:val="000000"/>
          <w:sz w:val="21"/>
        </w:rPr>
        <w:t>Naming a framework without applying it.</w:t>
      </w:r>
    </w:p>
    <w:p>
      <w:pPr>
        <w:pStyle w:val="ListBullet"/>
        <w:spacing w:after="60"/>
        <w:ind w:left="425"/>
      </w:pPr>
      <w:r/>
      <w:r>
        <w:rPr>
          <w:rFonts w:ascii="Calibri" w:hAnsi="Calibri"/>
          <w:b w:val="0"/>
          <w:i w:val="0"/>
          <w:color w:val="000000"/>
          <w:sz w:val="21"/>
        </w:rPr>
        <w:t>Points too brief to stand — half sentences, bare bullets, no application.</w:t>
      </w:r>
    </w:p>
    <w:p>
      <w:pPr>
        <w:pStyle w:val="ListBullet"/>
        <w:spacing w:after="60"/>
        <w:ind w:left="425"/>
      </w:pPr>
      <w:r/>
      <w:r>
        <w:rPr>
          <w:rFonts w:ascii="Calibri" w:hAnsi="Calibri"/>
          <w:b w:val="0"/>
          <w:i w:val="0"/>
          <w:color w:val="000000"/>
          <w:sz w:val="21"/>
        </w:rPr>
        <w:t>Vague recommendations: "improve controls", "increase monitoring". Specify who, what, where, how often, and to what end.</w:t>
      </w:r>
    </w:p>
    <w:p>
      <w:pPr>
        <w:pStyle w:val="ListBullet"/>
        <w:spacing w:after="60"/>
        <w:ind w:left="425"/>
      </w:pPr>
      <w:r/>
      <w:r>
        <w:rPr>
          <w:rFonts w:ascii="Calibri" w:hAnsi="Calibri"/>
          <w:b w:val="0"/>
          <w:i w:val="0"/>
          <w:color w:val="000000"/>
          <w:sz w:val="21"/>
        </w:rPr>
        <w:t xml:space="preserve">Giving the </w:t>
      </w:r>
      <w:r>
        <w:rPr>
          <w:rFonts w:ascii="Calibri" w:hAnsi="Calibri"/>
          <w:b/>
          <w:i w:val="0"/>
          <w:color w:val="000000"/>
          <w:sz w:val="21"/>
        </w:rPr>
        <w:t>same reason</w:t>
      </w:r>
      <w:r>
        <w:rPr>
          <w:rFonts w:ascii="Calibri" w:hAnsi="Calibri"/>
          <w:b w:val="0"/>
          <w:i w:val="0"/>
          <w:color w:val="000000"/>
          <w:sz w:val="21"/>
        </w:rPr>
        <w:t xml:space="preserve"> for several different items. If that happens, I have stopped thinking.</w:t>
      </w:r>
    </w:p>
    <w:p>
      <w:pPr>
        <w:pStyle w:val="ListBullet"/>
        <w:spacing w:after="60"/>
        <w:ind w:left="425"/>
      </w:pPr>
      <w:r/>
      <w:r>
        <w:rPr>
          <w:rFonts w:ascii="Calibri" w:hAnsi="Calibri"/>
          <w:b w:val="0"/>
          <w:i w:val="0"/>
          <w:color w:val="000000"/>
          <w:sz w:val="21"/>
        </w:rPr>
        <w:t>Raising one or two obvious issues when the case contains five.</w:t>
      </w:r>
    </w:p>
    <w:p>
      <w:pPr>
        <w:pStyle w:val="ListBullet"/>
        <w:spacing w:after="60"/>
        <w:ind w:left="425"/>
      </w:pPr>
      <w:r/>
      <w:r>
        <w:rPr>
          <w:rFonts w:ascii="Calibri" w:hAnsi="Calibri"/>
          <w:b w:val="0"/>
          <w:i w:val="0"/>
          <w:color w:val="000000"/>
          <w:sz w:val="21"/>
        </w:rPr>
        <w:t>Repeating the same point in different words and counting it as coverage.</w:t>
      </w:r>
    </w:p>
    <w:p>
      <w:pPr>
        <w:pStyle w:val="ListBullet"/>
        <w:spacing w:after="60"/>
        <w:ind w:left="425"/>
      </w:pPr>
      <w:r/>
      <w:r>
        <w:rPr>
          <w:rFonts w:ascii="Calibri" w:hAnsi="Calibri"/>
          <w:b w:val="0"/>
          <w:i w:val="0"/>
          <w:color w:val="000000"/>
          <w:sz w:val="21"/>
        </w:rPr>
        <w:t xml:space="preserve">Reviewing items in isolation when they operate as a </w:t>
      </w:r>
      <w:r>
        <w:rPr>
          <w:rFonts w:ascii="Calibri" w:hAnsi="Calibri"/>
          <w:b/>
          <w:i w:val="0"/>
          <w:color w:val="000000"/>
          <w:sz w:val="21"/>
        </w:rPr>
        <w:t>set</w:t>
      </w:r>
      <w:r>
        <w:rPr>
          <w:rFonts w:ascii="Calibri" w:hAnsi="Calibri"/>
          <w:b w:val="0"/>
          <w:i w:val="0"/>
          <w:color w:val="000000"/>
          <w:sz w:val="21"/>
        </w:rPr>
        <w:t xml:space="preserve"> — KPIs work together, controls work together, reconciling items must be dealt with as a whole.</w:t>
      </w:r>
    </w:p>
    <w:p>
      <w:pPr>
        <w:pStyle w:val="Heading2"/>
      </w:pPr>
      <w:r/>
      <w:r>
        <w:rPr>
          <w:rFonts w:ascii="Calibri" w:hAnsi="Calibri"/>
          <w:color w:val="000000"/>
        </w:rPr>
        <w:t>Failures of judgement</w:t>
      </w:r>
    </w:p>
    <w:p>
      <w:pPr>
        <w:pStyle w:val="ListBullet"/>
        <w:spacing w:after="60"/>
        <w:ind w:left="425"/>
      </w:pPr>
      <w:r/>
      <w:r>
        <w:rPr>
          <w:rFonts w:ascii="Calibri" w:hAnsi="Calibri"/>
          <w:b/>
          <w:i w:val="0"/>
          <w:color w:val="000000"/>
          <w:sz w:val="21"/>
        </w:rPr>
        <w:t>No conclusion</w:t>
      </w:r>
      <w:r>
        <w:rPr>
          <w:rFonts w:ascii="Calibri" w:hAnsi="Calibri"/>
          <w:b w:val="0"/>
          <w:i w:val="0"/>
          <w:color w:val="000000"/>
          <w:sz w:val="21"/>
        </w:rPr>
        <w:t xml:space="preserve"> where a recommendation was asked for.</w:t>
      </w:r>
    </w:p>
    <w:p>
      <w:pPr>
        <w:pStyle w:val="ListBullet"/>
        <w:spacing w:after="60"/>
        <w:ind w:left="425"/>
      </w:pPr>
      <w:r/>
      <w:r>
        <w:rPr>
          <w:rFonts w:ascii="Calibri" w:hAnsi="Calibri"/>
          <w:b w:val="0"/>
          <w:i w:val="0"/>
          <w:color w:val="000000"/>
          <w:sz w:val="21"/>
        </w:rPr>
        <w:t>Leaving qualitative factors as a list instead of converting them into a decision the recipient can act on.</w:t>
      </w:r>
    </w:p>
    <w:p>
      <w:pPr>
        <w:pStyle w:val="ListBullet"/>
        <w:spacing w:after="60"/>
        <w:ind w:left="425"/>
      </w:pPr>
      <w:r/>
      <w:r>
        <w:rPr>
          <w:rFonts w:ascii="Calibri" w:hAnsi="Calibri"/>
          <w:b w:val="0"/>
          <w:i w:val="0"/>
          <w:color w:val="000000"/>
          <w:sz w:val="21"/>
        </w:rPr>
        <w:t>Accepting management's or a tool's numbers without professional scepticism.</w:t>
      </w:r>
    </w:p>
    <w:p>
      <w:pPr>
        <w:pStyle w:val="ListBullet"/>
        <w:spacing w:after="60"/>
        <w:ind w:left="425"/>
      </w:pPr>
      <w:r/>
      <w:r>
        <w:rPr>
          <w:rFonts w:ascii="Calibri" w:hAnsi="Calibri"/>
          <w:b w:val="0"/>
          <w:i w:val="0"/>
          <w:color w:val="000000"/>
          <w:sz w:val="21"/>
        </w:rPr>
        <w:t>Answering from the wrong perspective — the counterparty's rather than my employer's.</w:t>
      </w:r>
    </w:p>
    <w:p>
      <w:pPr>
        <w:pStyle w:val="ListBullet"/>
        <w:spacing w:after="60"/>
        <w:ind w:left="425"/>
      </w:pPr>
      <w:r/>
      <w:r>
        <w:rPr>
          <w:rFonts w:ascii="Calibri" w:hAnsi="Calibri"/>
          <w:b w:val="0"/>
          <w:i w:val="0"/>
          <w:color w:val="000000"/>
          <w:sz w:val="21"/>
        </w:rPr>
        <w:t xml:space="preserve">Strategic points that are not contextualised to </w:t>
      </w:r>
      <w:r>
        <w:rPr>
          <w:rFonts w:ascii="Calibri" w:hAnsi="Calibri"/>
          <w:b/>
          <w:i w:val="0"/>
          <w:color w:val="000000"/>
          <w:sz w:val="21"/>
        </w:rPr>
        <w:t>this</w:t>
      </w:r>
      <w:r>
        <w:rPr>
          <w:rFonts w:ascii="Calibri" w:hAnsi="Calibri"/>
          <w:b w:val="0"/>
          <w:i w:val="0"/>
          <w:color w:val="000000"/>
          <w:sz w:val="21"/>
        </w:rPr>
        <w:t xml:space="preserve"> business.</w:t>
      </w:r>
    </w:p>
    <w:p>
      <w:pPr>
        <w:pStyle w:val="ListBullet"/>
        <w:spacing w:after="60"/>
        <w:ind w:left="425"/>
      </w:pPr>
      <w:r/>
      <w:r>
        <w:rPr>
          <w:rFonts w:ascii="Calibri" w:hAnsi="Calibri"/>
          <w:b w:val="0"/>
          <w:i w:val="0"/>
          <w:color w:val="000000"/>
          <w:sz w:val="21"/>
        </w:rPr>
        <w:t>Recommendations that are not pragmatic for this company at this stage of its life.</w:t>
      </w:r>
    </w:p>
    <w:p>
      <w:pPr>
        <w:pStyle w:val="Heading2"/>
      </w:pPr>
      <w:r/>
      <w:r>
        <w:rPr>
          <w:rFonts w:ascii="Calibri" w:hAnsi="Calibri"/>
          <w:color w:val="000000"/>
        </w:rPr>
        <w:t>What the grades actually mean</w:t>
      </w:r>
    </w:p>
    <w:tbl>
      <w:tblPr>
        <w:tblStyle w:val="TableGrid"/>
        <w:tblW w:type="auto" w:w="0"/>
        <w:tblLayout w:type="fixed"/>
        <w:tblLook w:firstColumn="1" w:firstRow="1" w:lastColumn="0" w:lastRow="0" w:noHBand="0" w:noVBand="1" w:val="04A0"/>
        <w:tblLayout w:type="fixed"/>
        <w:tblW w:w="5000" w:type="pct"/>
      </w:tblPr>
      <w:tblGrid>
        <w:gridCol w:w="1807"/>
        <w:gridCol w:w="7831"/>
      </w:tblGrid>
      <w:tr>
        <w:tc>
          <w:tcPr>
            <w:tcW w:type="dxa" w:w="1807"/>
            <w:shd w:val="clear" w:fill="F2F2F2"/>
          </w:tcPr>
          <w:p>
            <w:pPr>
              <w:spacing w:after="20"/>
            </w:pPr>
            <w:r/>
            <w:r>
              <w:rPr>
                <w:rFonts w:ascii="Calibri" w:hAnsi="Calibri"/>
                <w:b/>
                <w:color w:val="000000"/>
                <w:sz w:val="19"/>
              </w:rPr>
              <w:t>Grade</w:t>
            </w:r>
          </w:p>
        </w:tc>
        <w:tc>
          <w:tcPr>
            <w:tcW w:type="dxa" w:w="7831"/>
            <w:shd w:val="clear" w:fill="F2F2F2"/>
          </w:tcPr>
          <w:p>
            <w:pPr>
              <w:spacing w:after="20"/>
            </w:pPr>
            <w:r/>
            <w:r>
              <w:rPr>
                <w:rFonts w:ascii="Calibri" w:hAnsi="Calibri"/>
                <w:b/>
                <w:color w:val="000000"/>
                <w:sz w:val="19"/>
              </w:rPr>
              <w:t>Meaning</w:t>
            </w:r>
          </w:p>
        </w:tc>
      </w:tr>
      <w:tr>
        <w:tc>
          <w:tcPr>
            <w:tcW w:type="dxa" w:w="1807"/>
          </w:tcPr>
          <w:p>
            <w:pPr>
              <w:spacing w:after="20" w:before="0"/>
            </w:pPr>
            <w:r/>
            <w:r>
              <w:rPr>
                <w:rFonts w:ascii="Calibri" w:hAnsi="Calibri"/>
                <w:b/>
                <w:i w:val="0"/>
                <w:color w:val="000000"/>
                <w:sz w:val="19"/>
              </w:rPr>
              <w:t>HC</w:t>
            </w:r>
            <w:r>
              <w:rPr>
                <w:rFonts w:ascii="Calibri" w:hAnsi="Calibri"/>
                <w:b w:val="0"/>
                <w:i w:val="0"/>
                <w:color w:val="000000"/>
                <w:sz w:val="19"/>
              </w:rPr>
              <w:t xml:space="preserve"> Highly competent</w:t>
            </w:r>
          </w:p>
        </w:tc>
        <w:tc>
          <w:tcPr>
            <w:tcW w:type="dxa" w:w="7831"/>
          </w:tcPr>
          <w:p>
            <w:pPr>
              <w:spacing w:after="20" w:before="0"/>
            </w:pPr>
            <w:r/>
            <w:r>
              <w:rPr>
                <w:rFonts w:ascii="Calibri" w:hAnsi="Calibri"/>
                <w:b w:val="0"/>
                <w:i w:val="0"/>
                <w:color w:val="000000"/>
                <w:sz w:val="19"/>
              </w:rPr>
              <w:t>Great answer. No major faults.</w:t>
            </w:r>
          </w:p>
        </w:tc>
      </w:tr>
      <w:tr>
        <w:tc>
          <w:tcPr>
            <w:tcW w:type="dxa" w:w="1807"/>
          </w:tcPr>
          <w:p>
            <w:pPr>
              <w:spacing w:after="20" w:before="0"/>
            </w:pPr>
            <w:r/>
            <w:r>
              <w:rPr>
                <w:rFonts w:ascii="Calibri" w:hAnsi="Calibri"/>
                <w:b/>
                <w:i w:val="0"/>
                <w:color w:val="000000"/>
                <w:sz w:val="19"/>
              </w:rPr>
              <w:t>C</w:t>
            </w:r>
            <w:r>
              <w:rPr>
                <w:rFonts w:ascii="Calibri" w:hAnsi="Calibri"/>
                <w:b w:val="0"/>
                <w:i w:val="0"/>
                <w:color w:val="000000"/>
                <w:sz w:val="19"/>
              </w:rPr>
              <w:t xml:space="preserve"> Competent</w:t>
            </w:r>
          </w:p>
        </w:tc>
        <w:tc>
          <w:tcPr>
            <w:tcW w:type="dxa" w:w="7831"/>
          </w:tcPr>
          <w:p>
            <w:pPr>
              <w:spacing w:after="20" w:before="0"/>
            </w:pPr>
            <w:r/>
            <w:r>
              <w:rPr>
                <w:rFonts w:ascii="Calibri" w:hAnsi="Calibri"/>
                <w:b w:val="0"/>
                <w:i w:val="0"/>
                <w:color w:val="000000"/>
                <w:sz w:val="19"/>
              </w:rPr>
              <w:t xml:space="preserve">Good answer. Useful. Would be complimented on it. Could be improved. </w:t>
            </w:r>
            <w:r>
              <w:rPr>
                <w:rFonts w:ascii="Calibri" w:hAnsi="Calibri"/>
                <w:b/>
                <w:i w:val="0"/>
                <w:color w:val="000000"/>
                <w:sz w:val="19"/>
              </w:rPr>
              <w:t>This is a pass.</w:t>
            </w:r>
          </w:p>
        </w:tc>
      </w:tr>
      <w:tr>
        <w:tc>
          <w:tcPr>
            <w:tcW w:type="dxa" w:w="1807"/>
          </w:tcPr>
          <w:p>
            <w:pPr>
              <w:spacing w:after="20" w:before="0"/>
            </w:pPr>
            <w:r/>
            <w:r>
              <w:rPr>
                <w:rFonts w:ascii="Calibri" w:hAnsi="Calibri"/>
                <w:b/>
                <w:i w:val="0"/>
                <w:color w:val="000000"/>
                <w:sz w:val="19"/>
              </w:rPr>
              <w:t>BC</w:t>
            </w:r>
            <w:r>
              <w:rPr>
                <w:rFonts w:ascii="Calibri" w:hAnsi="Calibri"/>
                <w:b w:val="0"/>
                <w:i w:val="0"/>
                <w:color w:val="000000"/>
                <w:sz w:val="19"/>
              </w:rPr>
              <w:t xml:space="preserve"> Borderline</w:t>
            </w:r>
          </w:p>
        </w:tc>
        <w:tc>
          <w:tcPr>
            <w:tcW w:type="dxa" w:w="7831"/>
          </w:tcPr>
          <w:p>
            <w:pPr>
              <w:spacing w:after="20" w:before="0"/>
            </w:pPr>
            <w:r/>
            <w:r>
              <w:rPr>
                <w:rFonts w:ascii="Calibri" w:hAnsi="Calibri"/>
                <w:b w:val="0"/>
                <w:i w:val="0"/>
                <w:color w:val="000000"/>
                <w:sz w:val="19"/>
              </w:rPr>
              <w:t>Not currently useful, but could become useful. Not a pass.</w:t>
            </w:r>
          </w:p>
        </w:tc>
      </w:tr>
      <w:tr>
        <w:tc>
          <w:tcPr>
            <w:tcW w:type="dxa" w:w="1807"/>
          </w:tcPr>
          <w:p>
            <w:pPr>
              <w:spacing w:after="20" w:before="0"/>
            </w:pPr>
            <w:r/>
            <w:r>
              <w:rPr>
                <w:rFonts w:ascii="Calibri" w:hAnsi="Calibri"/>
                <w:b/>
                <w:i w:val="0"/>
                <w:color w:val="000000"/>
                <w:sz w:val="19"/>
              </w:rPr>
              <w:t>LC</w:t>
            </w:r>
            <w:r>
              <w:rPr>
                <w:rFonts w:ascii="Calibri" w:hAnsi="Calibri"/>
                <w:b w:val="0"/>
                <w:i w:val="0"/>
                <w:color w:val="000000"/>
                <w:sz w:val="19"/>
              </w:rPr>
              <w:t xml:space="preserve"> Limited competence</w:t>
            </w:r>
          </w:p>
        </w:tc>
        <w:tc>
          <w:tcPr>
            <w:tcW w:type="dxa" w:w="7831"/>
          </w:tcPr>
          <w:p>
            <w:pPr>
              <w:spacing w:after="20" w:before="0"/>
            </w:pPr>
            <w:r/>
            <w:r>
              <w:rPr>
                <w:rFonts w:ascii="Calibri" w:hAnsi="Calibri"/>
                <w:b w:val="0"/>
                <w:i w:val="0"/>
                <w:color w:val="000000"/>
                <w:sz w:val="19"/>
              </w:rPr>
              <w:t>Missed the boat. Fail.</w:t>
            </w:r>
          </w:p>
        </w:tc>
      </w:tr>
      <w:tr>
        <w:tc>
          <w:tcPr>
            <w:tcW w:type="dxa" w:w="1807"/>
          </w:tcPr>
          <w:p>
            <w:pPr>
              <w:spacing w:after="20" w:before="0"/>
            </w:pPr>
            <w:r/>
            <w:r>
              <w:rPr>
                <w:rFonts w:ascii="Calibri" w:hAnsi="Calibri"/>
                <w:b/>
                <w:i w:val="0"/>
                <w:color w:val="000000"/>
                <w:sz w:val="19"/>
              </w:rPr>
              <w:t>NA</w:t>
            </w:r>
            <w:r>
              <w:rPr>
                <w:rFonts w:ascii="Calibri" w:hAnsi="Calibri"/>
                <w:b w:val="0"/>
                <w:i w:val="0"/>
                <w:color w:val="000000"/>
                <w:sz w:val="19"/>
              </w:rPr>
              <w:t xml:space="preserve"> No attempt</w:t>
            </w:r>
          </w:p>
        </w:tc>
        <w:tc>
          <w:tcPr>
            <w:tcW w:type="dxa" w:w="7831"/>
          </w:tcPr>
          <w:p>
            <w:pPr>
              <w:spacing w:after="20" w:before="0"/>
            </w:pPr>
            <w:r/>
            <w:r>
              <w:rPr>
                <w:rFonts w:ascii="Calibri" w:hAnsi="Calibri"/>
                <w:b w:val="0"/>
                <w:i w:val="0"/>
                <w:color w:val="000000"/>
                <w:sz w:val="19"/>
              </w:rPr>
              <w:t>Viewed very negatively — a competent person gets through their work.</w:t>
            </w:r>
          </w:p>
        </w:tc>
      </w:tr>
    </w:tbl>
    <w:p>
      <w:pPr>
        <w:spacing w:after="40"/>
      </w:pPr>
    </w:p>
    <w:p>
      <w:pPr>
        <w:spacing w:after="100"/>
      </w:pPr>
      <w:r>
        <w:rPr>
          <w:rFonts w:ascii="Calibri" w:hAnsi="Calibri"/>
          <w:b w:val="0"/>
          <w:i w:val="0"/>
          <w:color w:val="000000"/>
          <w:sz w:val="21"/>
        </w:rPr>
        <w:t xml:space="preserve">A Competent answer does </w:t>
      </w:r>
      <w:r>
        <w:rPr>
          <w:rFonts w:ascii="Calibri" w:hAnsi="Calibri"/>
          <w:b/>
          <w:i w:val="0"/>
          <w:color w:val="000000"/>
          <w:sz w:val="21"/>
        </w:rPr>
        <w:t>not</w:t>
      </w:r>
      <w:r>
        <w:rPr>
          <w:rFonts w:ascii="Calibri" w:hAnsi="Calibri"/>
          <w:b w:val="0"/>
          <w:i w:val="0"/>
          <w:color w:val="000000"/>
          <w:sz w:val="21"/>
        </w:rPr>
        <w:t xml:space="preserve"> have to be perfect. It has to be </w:t>
      </w:r>
      <w:r>
        <w:rPr>
          <w:rFonts w:ascii="Calibri" w:hAnsi="Calibri"/>
          <w:b/>
          <w:i w:val="0"/>
          <w:color w:val="000000"/>
          <w:sz w:val="21"/>
        </w:rPr>
        <w:t>useful to the person who asked for it</w:t>
      </w:r>
      <w:r>
        <w:rPr>
          <w:rFonts w:ascii="Calibri" w:hAnsi="Calibri"/>
          <w:b w:val="0"/>
          <w:i w:val="0"/>
          <w:color w:val="000000"/>
          <w:sz w:val="21"/>
        </w:rPr>
        <w:t>. On a seven-task paper, roughly four C's is the usual threshold, with financial reporting weighted most heavily as an indicator.</w:t>
      </w:r>
    </w:p>
    <w:p>
      <w:pPr>
        <w:spacing w:after="100"/>
      </w:pPr>
      <w:r>
        <w:rPr>
          <w:rFonts w:ascii="Calibri" w:hAnsi="Calibri"/>
          <w:b/>
          <w:i w:val="0"/>
          <w:color w:val="000000"/>
          <w:sz w:val="21"/>
        </w:rPr>
        <w:t>So if I am short of time on a task: get breadth first.</w:t>
      </w:r>
      <w:r>
        <w:rPr>
          <w:rFonts w:ascii="Calibri" w:hAnsi="Calibri"/>
          <w:b/>
          <w:i w:val="0"/>
          <w:color w:val="000000"/>
          <w:sz w:val="21"/>
        </w:rPr>
        <w:t xml:space="preserve"> A shorter point on each component beats a complete answer to one of them. A missing component almost guarantees a non-pass; a thin one does not.</w:t>
      </w:r>
    </w:p>
    <w:p>
      <w:pPr>
        <w:pStyle w:val="Heading2"/>
      </w:pPr>
      <w:r/>
      <w:r>
        <w:rPr>
          <w:rFonts w:ascii="Calibri" w:hAnsi="Calibri"/>
          <w:color w:val="000000"/>
        </w:rPr>
        <w:t>My own reminders page</w:t>
      </w:r>
    </w:p>
    <w:p>
      <w:pPr>
        <w:pStyle w:val="ListBullet"/>
        <w:spacing w:after="60"/>
        <w:ind w:left="425"/>
      </w:pPr>
      <w:r/>
      <w:r>
        <w:rPr>
          <w:rFonts w:ascii="Calibri" w:hAnsi="Calibri"/>
          <w:b w:val="0"/>
          <w:i w:val="0"/>
          <w:color w:val="000000"/>
          <w:sz w:val="21"/>
        </w:rPr>
        <w:t xml:space="preserve">Read the task list and count the tasks </w:t>
      </w:r>
      <w:r>
        <w:rPr>
          <w:rFonts w:ascii="Calibri" w:hAnsi="Calibri"/>
          <w:b/>
          <w:i w:val="0"/>
          <w:color w:val="000000"/>
          <w:sz w:val="21"/>
        </w:rPr>
        <w:t>before</w:t>
      </w:r>
      <w:r>
        <w:rPr>
          <w:rFonts w:ascii="Calibri" w:hAnsi="Calibri"/>
          <w:b w:val="0"/>
          <w:i w:val="0"/>
          <w:color w:val="000000"/>
          <w:sz w:val="21"/>
        </w:rPr>
        <w:t xml:space="preserve"> anything else.</w:t>
      </w:r>
    </w:p>
    <w:p>
      <w:pPr>
        <w:pStyle w:val="ListBullet"/>
        <w:spacing w:after="60"/>
        <w:ind w:left="425"/>
      </w:pPr>
      <w:r/>
      <w:r>
        <w:rPr>
          <w:rFonts w:ascii="Calibri" w:hAnsi="Calibri"/>
          <w:b w:val="0"/>
          <w:i w:val="0"/>
          <w:color w:val="000000"/>
          <w:sz w:val="21"/>
        </w:rPr>
        <w:t>Number the components. Tick them off.</w:t>
      </w:r>
    </w:p>
    <w:p>
      <w:pPr>
        <w:pStyle w:val="ListBullet"/>
        <w:spacing w:after="60"/>
        <w:ind w:left="425"/>
      </w:pPr>
      <w:r/>
      <w:r>
        <w:rPr>
          <w:rFonts w:ascii="Calibri" w:hAnsi="Calibri"/>
          <w:b w:val="0"/>
          <w:i w:val="0"/>
          <w:color w:val="000000"/>
          <w:sz w:val="21"/>
        </w:rPr>
        <w:t>Write the scope words at the top of my planning page.</w:t>
      </w:r>
    </w:p>
    <w:p>
      <w:pPr>
        <w:pStyle w:val="ListBullet"/>
        <w:spacing w:after="60"/>
        <w:ind w:left="425"/>
      </w:pPr>
      <w:r/>
      <w:r>
        <w:rPr>
          <w:rFonts w:ascii="Calibri" w:hAnsi="Calibri"/>
          <w:b w:val="0"/>
          <w:i w:val="0"/>
          <w:color w:val="000000"/>
          <w:sz w:val="21"/>
        </w:rPr>
        <w:t>Name the branch explicitly and give the reason.</w:t>
      </w:r>
    </w:p>
    <w:p>
      <w:pPr>
        <w:pStyle w:val="ListBullet"/>
        <w:spacing w:after="60"/>
        <w:ind w:left="425"/>
      </w:pPr>
      <w:r/>
      <w:r>
        <w:rPr>
          <w:rFonts w:ascii="Calibri" w:hAnsi="Calibri"/>
          <w:b w:val="0"/>
          <w:i w:val="0"/>
          <w:color w:val="000000"/>
          <w:sz w:val="21"/>
        </w:rPr>
        <w:t>Use the numbers they gave me today.</w:t>
      </w:r>
    </w:p>
    <w:p>
      <w:pPr>
        <w:pStyle w:val="ListBullet"/>
        <w:spacing w:after="60"/>
        <w:ind w:left="425"/>
      </w:pPr>
      <w:r/>
      <w:r>
        <w:rPr>
          <w:rFonts w:ascii="Calibri" w:hAnsi="Calibri"/>
          <w:b w:val="0"/>
          <w:i w:val="0"/>
          <w:color w:val="000000"/>
          <w:sz w:val="21"/>
        </w:rPr>
        <w:t>Say what is right as well as what is wrong.</w:t>
      </w:r>
    </w:p>
    <w:p>
      <w:pPr>
        <w:pStyle w:val="ListBullet"/>
        <w:spacing w:after="60"/>
        <w:ind w:left="425"/>
      </w:pPr>
      <w:r/>
      <w:r>
        <w:rPr>
          <w:rFonts w:ascii="Calibri" w:hAnsi="Calibri"/>
          <w:b w:val="0"/>
          <w:i w:val="0"/>
          <w:color w:val="000000"/>
          <w:sz w:val="21"/>
        </w:rPr>
        <w:t>Every point gets a "because".</w:t>
      </w:r>
    </w:p>
    <w:p>
      <w:pPr>
        <w:pStyle w:val="ListBullet"/>
        <w:spacing w:after="60"/>
        <w:ind w:left="425"/>
      </w:pPr>
      <w:r/>
      <w:r>
        <w:rPr>
          <w:rFonts w:ascii="Calibri" w:hAnsi="Calibri"/>
          <w:b w:val="0"/>
          <w:i w:val="0"/>
          <w:color w:val="000000"/>
          <w:sz w:val="21"/>
        </w:rPr>
        <w:t>Conclude. Then say what information I still need.</w:t>
      </w:r>
    </w:p>
    <w:p>
      <w:pPr>
        <w:pStyle w:val="ListBullet"/>
        <w:spacing w:after="60"/>
        <w:ind w:left="425"/>
      </w:pPr>
      <w:r/>
      <w:r>
        <w:rPr>
          <w:rFonts w:ascii="Calibri" w:hAnsi="Calibri"/>
          <w:b w:val="0"/>
          <w:i w:val="0"/>
          <w:color w:val="000000"/>
          <w:sz w:val="21"/>
        </w:rPr>
        <w:t>Watch the clock — 75 minutes maximum, and protect the checking buffer.</w:t>
      </w:r>
    </w:p>
    <w:p>
      <w:pPr>
        <w:pStyle w:val="ListBullet"/>
        <w:spacing w:after="60"/>
        <w:ind w:left="425"/>
      </w:pPr>
      <w:r/>
      <w:r>
        <w:rPr>
          <w:rFonts w:ascii="Calibri" w:hAnsi="Calibri"/>
          <w:b w:val="0"/>
          <w:i w:val="0"/>
          <w:color w:val="000000"/>
          <w:sz w:val="21"/>
        </w:rPr>
        <w:t>No real name.</w:t>
      </w:r>
    </w:p>
    <w:sectPr w:rsidR="00FC693F" w:rsidRPr="0006063C" w:rsidSect="00034616">
      <w:footerReference w:type="default" r:id="rId9"/>
      <w:pgSz w:w="11906" w:h="16838"/>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00000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