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spacing w:after="40" w:before="0" w:line="250" w:lineRule="auto"/>
      </w:pPr>
      <w:r>
        <w:rPr>
          <w:rFonts w:ascii="Arial" w:cs="Arial" w:eastAsia="Arial" w:hAnsi="Arial"/>
          <w:b/>
          <w:bCs/>
          <w:i w:val="false"/>
          <w:iCs w:val="false"/>
          <w:color w:val="000000"/>
          <w:sz w:val="32"/>
          <w:szCs w:val="32"/>
        </w:rPr>
        <w:t xml:space="preserve">Axion — Renewable Energy Tax Research</w:t>
      </w:r>
    </w:p>
    <w:p>
      <w:pPr>
        <w:keepNext w:val="false"/>
        <w:spacing w:after="140" w:before="0" w:line="250" w:lineRule="auto"/>
      </w:pPr>
      <w:r>
        <w:rPr>
          <w:rFonts w:ascii="Arial" w:cs="Arial" w:eastAsia="Arial" w:hAnsi="Arial"/>
          <w:b w:val="false"/>
          <w:bCs w:val="false"/>
          <w:i w:val="false"/>
          <w:iCs w:val="false"/>
          <w:color w:val="000000"/>
          <w:sz w:val="19"/>
          <w:szCs w:val="19"/>
        </w:rPr>
        <w:t xml:space="preserve">Trigger 9  |  APC 2026 September Qualifying Exam  |  Axion Digital Infrastructure (Pty) Ltd  |  Document 7, page 18</w:t>
      </w:r>
    </w:p>
    <w:tbl>
      <w:tblPr>
        <w:tblW w:type="dxa" w:w="10300"/>
        <w:tblBorders>
          <w:top w:val="single" w:color="auto" w:sz="4"/>
          <w:left w:val="single" w:color="auto" w:sz="4"/>
          <w:bottom w:val="single" w:color="auto" w:sz="4"/>
          <w:right w:val="single" w:color="auto" w:sz="4"/>
          <w:insideH w:val="single" w:color="auto" w:sz="4"/>
          <w:insideV w:val="single" w:color="auto" w:sz="4"/>
        </w:tblBorders>
      </w:tblPr>
      <w:tblGrid>
        <w:gridCol w:w="10300"/>
      </w:tblGrid>
      <w:tr>
        <w:tc>
          <w:tcPr>
            <w:tcW w:type="dxa" w:w="10300"/>
            <w:tcBorders>
              <w:top w:val="single" w:color="888888" w:sz="4" w:space="6"/>
              <w:left w:val="single" w:color="888888" w:sz="4" w:space="6"/>
              <w:bottom w:val="single" w:color="888888" w:sz="4" w:space="6"/>
              <w:right w:val="single" w:color="888888" w:sz="4" w:space="6"/>
            </w:tcBorders>
            <w:tcMar>
              <w:top w:type="dxa" w:w="110"/>
              <w:left w:type="dxa" w:w="130"/>
              <w:bottom w:type="dxa" w:w="110"/>
              <w:right w:type="dxa" w:w="130"/>
            </w:tcMar>
          </w:tcPr>
          <w:p>
            <w:pPr>
              <w:keepNext w:val="false"/>
              <w:spacing w:after="60" w:before="0" w:line="250" w:lineRule="auto"/>
            </w:pPr>
            <w:r>
              <w:rPr>
                <w:rFonts w:ascii="Arial" w:cs="Arial" w:eastAsia="Arial" w:hAnsi="Arial"/>
                <w:b/>
                <w:bCs/>
                <w:i w:val="false"/>
                <w:iCs w:val="false"/>
                <w:color w:val="000000"/>
                <w:sz w:val="18"/>
                <w:szCs w:val="18"/>
              </w:rPr>
              <w:t xml:space="preserve">How this document works.</w:t>
            </w:r>
            <w:r>
              <w:rPr>
                <w:rFonts w:ascii="Arial" w:cs="Arial" w:eastAsia="Arial" w:hAnsi="Arial"/>
                <w:b w:val="false"/>
                <w:bCs w:val="false"/>
                <w:i w:val="false"/>
                <w:iCs w:val="false"/>
                <w:color w:val="000000"/>
                <w:sz w:val="18"/>
                <w:szCs w:val="18"/>
              </w:rPr>
              <w:t xml:space="preserve"> Every provision is a two-column table. The </w:t>
            </w:r>
            <w:r>
              <w:rPr>
                <w:rFonts w:ascii="Arial" w:cs="Arial" w:eastAsia="Arial" w:hAnsi="Arial"/>
                <w:b/>
                <w:bCs/>
                <w:i w:val="false"/>
                <w:iCs w:val="false"/>
                <w:color w:val="000000"/>
                <w:sz w:val="18"/>
                <w:szCs w:val="18"/>
              </w:rPr>
              <w:t xml:space="preserve">left column, in black</w:t>
            </w:r>
            <w:r>
              <w:rPr>
                <w:rFonts w:ascii="Arial" w:cs="Arial" w:eastAsia="Arial" w:hAnsi="Arial"/>
                <w:b w:val="false"/>
                <w:bCs w:val="false"/>
                <w:i w:val="false"/>
                <w:iCs w:val="false"/>
                <w:color w:val="000000"/>
                <w:sz w:val="18"/>
                <w:szCs w:val="18"/>
              </w:rPr>
              <w:t xml:space="preserve">, is the legislation paraphrased into bullets — what you need to quote and apply. The **right column, in </w:t>
            </w:r>
            <w:r>
              <w:rPr>
                <w:rFonts w:ascii="Arial" w:cs="Arial" w:eastAsia="Arial" w:hAnsi="Arial"/>
                <w:b w:val="false"/>
                <w:bCs w:val="false"/>
                <w:i w:val="false"/>
                <w:iCs w:val="false"/>
                <w:color w:val="0070C0"/>
                <w:sz w:val="18"/>
                <w:szCs w:val="18"/>
              </w:rPr>
              <w:t xml:space="preserve">blue</w:t>
            </w:r>
            <w:r>
              <w:rPr>
                <w:rFonts w:ascii="Arial" w:cs="Arial" w:eastAsia="Arial" w:hAnsi="Arial"/>
                <w:b w:val="false"/>
                <w:bCs w:val="false"/>
                <w:i w:val="false"/>
                <w:iCs w:val="false"/>
                <w:color w:val="000000"/>
                <w:sz w:val="18"/>
                <w:szCs w:val="18"/>
              </w:rPr>
              <w:t xml:space="preserve">**, applies it to Axion and works a number.</w:t>
            </w:r>
          </w:p>
          <w:p>
            <w:pPr>
              <w:keepNext w:val="false"/>
              <w:spacing w:after="60" w:before="0" w:line="250" w:lineRule="auto"/>
            </w:pPr>
            <w:r>
              <w:rPr>
                <w:rFonts w:ascii="Arial" w:cs="Arial" w:eastAsia="Arial" w:hAnsi="Arial"/>
                <w:b/>
                <w:bCs/>
                <w:i w:val="false"/>
                <w:iCs w:val="false"/>
                <w:color w:val="000000"/>
                <w:sz w:val="18"/>
                <w:szCs w:val="18"/>
              </w:rPr>
              <w:t xml:space="preserve">Where a fact is missing</w:t>
            </w:r>
            <w:r>
              <w:rPr>
                <w:rFonts w:ascii="Arial" w:cs="Arial" w:eastAsia="Arial" w:hAnsi="Arial"/>
                <w:b w:val="false"/>
                <w:bCs w:val="false"/>
                <w:i w:val="false"/>
                <w:iCs w:val="false"/>
                <w:color w:val="000000"/>
                <w:sz w:val="18"/>
                <w:szCs w:val="18"/>
              </w:rPr>
              <w:t xml:space="preserve"> the right column says **</w:t>
            </w:r>
            <w:r>
              <w:rPr>
                <w:rFonts w:ascii="Arial" w:cs="Arial" w:eastAsia="Arial" w:hAnsi="Arial"/>
                <w:b w:val="false"/>
                <w:bCs w:val="false"/>
                <w:i w:val="false"/>
                <w:iCs w:val="false"/>
                <w:color w:val="0070C0"/>
                <w:sz w:val="18"/>
                <w:szCs w:val="18"/>
              </w:rPr>
              <w:t xml:space="preserve">[WAITING FOR INPUT — information on the day</w:t>
            </w:r>
            <w:r>
              <w:rPr>
                <w:rFonts w:ascii="Arial" w:cs="Arial" w:eastAsia="Arial" w:hAnsi="Arial"/>
                <w:b w:val="false"/>
                <w:bCs w:val="false"/>
                <w:i w:val="false"/>
                <w:iCs w:val="false"/>
                <w:color w:val="000000"/>
                <w:sz w:val="18"/>
                <w:szCs w:val="18"/>
              </w:rPr>
              <w:t xml:space="preserve">]** and then applies the law anyway on an assumed number, so that on the day you replace one figure and the answer falls out.</w:t>
            </w:r>
          </w:p>
          <w:p>
            <w:pPr>
              <w:keepNext w:val="false"/>
              <w:spacing w:after="0" w:before="0" w:line="250" w:lineRule="auto"/>
            </w:pPr>
            <w:r>
              <w:rPr>
                <w:rFonts w:ascii="Arial" w:cs="Arial" w:eastAsia="Arial" w:hAnsi="Arial"/>
                <w:b/>
                <w:bCs/>
                <w:i w:val="false"/>
                <w:iCs w:val="false"/>
                <w:color w:val="000000"/>
                <w:sz w:val="18"/>
                <w:szCs w:val="18"/>
              </w:rPr>
              <w:t xml:space="preserve">All rates in this document have been verified.</w:t>
            </w:r>
            <w:r>
              <w:rPr>
                <w:rFonts w:ascii="Arial" w:cs="Arial" w:eastAsia="Arial" w:hAnsi="Arial"/>
                <w:b w:val="false"/>
                <w:bCs w:val="false"/>
                <w:i w:val="false"/>
                <w:iCs w:val="false"/>
                <w:color w:val="000000"/>
                <w:sz w:val="18"/>
                <w:szCs w:val="18"/>
              </w:rPr>
              <w:t xml:space="preserve"> See the rate card below and the verification note at the end.</w:t>
            </w:r>
          </w:p>
        </w:tc>
      </w:tr>
    </w:tbl>
    <w:p>
      <w:pPr>
        <w:keepNext w:val="false"/>
        <w:spacing w:after="0" w:before="0" w:line="250" w:lineRule="auto"/>
      </w:pPr>
      <w:r>
        <w:rPr>
          <w:rFonts w:ascii="Arial" w:cs="Arial" w:eastAsia="Arial" w:hAnsi="Arial"/>
          <w:sz w:val="10"/>
          <w:szCs w:val="10"/>
        </w:rPr>
        <w:t xml:space="preserve"/>
      </w:r>
    </w:p>
    <w:p>
      <w:pPr>
        <w:keepNext/>
        <w:pBdr>
          <w:bottom w:val="single" w:color="000000" w:sz="8" w:space="2"/>
        </w:pBdr>
        <w:spacing w:after="110" w:before="260" w:line="250" w:lineRule="auto"/>
      </w:pPr>
      <w:r>
        <w:rPr>
          <w:rFonts w:ascii="Arial" w:cs="Arial" w:eastAsia="Arial" w:hAnsi="Arial"/>
          <w:b/>
          <w:bCs/>
          <w:i w:val="false"/>
          <w:iCs w:val="false"/>
          <w:color w:val="000000"/>
          <w:sz w:val="26"/>
          <w:szCs w:val="26"/>
        </w:rPr>
        <w:t xml:space="preserve">Rate card — verified, and current for the 2026/27 year</w:t>
      </w:r>
    </w:p>
    <w:tbl>
      <w:tblPr>
        <w:tblW w:type="dxa" w:w="10300"/>
        <w:tblBorders>
          <w:top w:val="single" w:color="auto" w:sz="4"/>
          <w:left w:val="single" w:color="auto" w:sz="4"/>
          <w:bottom w:val="single" w:color="auto" w:sz="4"/>
          <w:right w:val="single" w:color="auto" w:sz="4"/>
          <w:insideH w:val="single" w:color="auto" w:sz="4"/>
          <w:insideV w:val="single" w:color="auto" w:sz="4"/>
        </w:tblBorders>
      </w:tblPr>
      <w:tblGrid>
        <w:gridCol w:w="4326"/>
        <w:gridCol w:w="2266"/>
        <w:gridCol w:w="3708"/>
      </w:tblGrid>
      <w:tr>
        <w:trPr>
          <w:tblHeader/>
        </w:trPr>
        <w:tc>
          <w:tcPr>
            <w:tcW w:type="dxa" w:w="4326"/>
            <w:tcBorders>
              <w:top w:val="single" w:color="888888" w:sz="4"/>
              <w:left w:val="single" w:color="888888" w:sz="4"/>
              <w:bottom w:val="single" w:color="888888" w:sz="4"/>
              <w:right w:val="single" w:color="888888" w:sz="4"/>
            </w:tcBorders>
            <w:shd w:fill="E8E8E8" w:val="clear"/>
            <w:tcMar>
              <w:top w:type="dxa" w:w="60"/>
              <w:left w:type="dxa" w:w="80"/>
              <w:bottom w:type="dxa" w:w="60"/>
              <w:right w:type="dxa" w:w="80"/>
            </w:tcMar>
            <w:vAlign w:val="center"/>
          </w:tcPr>
          <w:p>
            <w:pPr>
              <w:keepNext w:val="false"/>
              <w:spacing w:after="0" w:before="0" w:line="250" w:lineRule="auto"/>
            </w:pPr>
            <w:r>
              <w:rPr>
                <w:rFonts w:ascii="Arial" w:cs="Arial" w:eastAsia="Arial" w:hAnsi="Arial"/>
                <w:b/>
                <w:bCs/>
                <w:i w:val="false"/>
                <w:iCs w:val="false"/>
                <w:color w:val="000000"/>
                <w:sz w:val="18"/>
                <w:szCs w:val="18"/>
              </w:rPr>
              <w:t xml:space="preserve">Item</w:t>
            </w:r>
          </w:p>
        </w:tc>
        <w:tc>
          <w:tcPr>
            <w:tcW w:type="dxa" w:w="2266"/>
            <w:tcBorders>
              <w:top w:val="single" w:color="888888" w:sz="4"/>
              <w:left w:val="single" w:color="888888" w:sz="4"/>
              <w:bottom w:val="single" w:color="888888" w:sz="4"/>
              <w:right w:val="single" w:color="888888" w:sz="4"/>
            </w:tcBorders>
            <w:shd w:fill="E8E8E8" w:val="clear"/>
            <w:tcMar>
              <w:top w:type="dxa" w:w="60"/>
              <w:left w:type="dxa" w:w="80"/>
              <w:bottom w:type="dxa" w:w="60"/>
              <w:right w:type="dxa" w:w="80"/>
            </w:tcMar>
            <w:vAlign w:val="center"/>
          </w:tcPr>
          <w:p>
            <w:pPr>
              <w:keepNext w:val="false"/>
              <w:spacing w:after="0" w:before="0" w:line="250" w:lineRule="auto"/>
            </w:pPr>
            <w:r>
              <w:rPr>
                <w:rFonts w:ascii="Arial" w:cs="Arial" w:eastAsia="Arial" w:hAnsi="Arial"/>
                <w:b/>
                <w:bCs/>
                <w:i w:val="false"/>
                <w:iCs w:val="false"/>
                <w:color w:val="000000"/>
                <w:sz w:val="18"/>
                <w:szCs w:val="18"/>
              </w:rPr>
              <w:t xml:space="preserve">Rate</w:t>
            </w:r>
          </w:p>
        </w:tc>
        <w:tc>
          <w:tcPr>
            <w:tcW w:type="dxa" w:w="3708"/>
            <w:tcBorders>
              <w:top w:val="single" w:color="888888" w:sz="4"/>
              <w:left w:val="single" w:color="888888" w:sz="4"/>
              <w:bottom w:val="single" w:color="888888" w:sz="4"/>
              <w:right w:val="single" w:color="888888" w:sz="4"/>
            </w:tcBorders>
            <w:shd w:fill="E8E8E8" w:val="clear"/>
            <w:tcMar>
              <w:top w:type="dxa" w:w="60"/>
              <w:left w:type="dxa" w:w="80"/>
              <w:bottom w:type="dxa" w:w="60"/>
              <w:right w:type="dxa" w:w="80"/>
            </w:tcMar>
            <w:vAlign w:val="center"/>
          </w:tcPr>
          <w:p>
            <w:pPr>
              <w:keepNext w:val="false"/>
              <w:spacing w:after="0" w:before="0" w:line="250" w:lineRule="auto"/>
            </w:pPr>
            <w:r>
              <w:rPr>
                <w:rFonts w:ascii="Arial" w:cs="Arial" w:eastAsia="Arial" w:hAnsi="Arial"/>
                <w:b/>
                <w:bCs/>
                <w:i w:val="false"/>
                <w:iCs w:val="false"/>
                <w:color w:val="000000"/>
                <w:sz w:val="18"/>
                <w:szCs w:val="18"/>
              </w:rPr>
              <w:t xml:space="preserve">Note</w:t>
            </w:r>
          </w:p>
        </w:tc>
      </w:tr>
      <w:tr>
        <w:tc>
          <w:tcPr>
            <w:tcW w:type="dxa" w:w="4326"/>
            <w:tcBorders>
              <w:top w:val="single" w:color="888888" w:sz="4"/>
              <w:left w:val="single" w:color="888888" w:sz="4"/>
              <w:bottom w:val="single" w:color="888888" w:sz="4"/>
              <w:right w:val="single" w:color="888888" w:sz="4"/>
            </w:tcBorders>
            <w:shd w:fill="F2F2F2" w:val="clear"/>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Corporate income tax</w:t>
            </w:r>
          </w:p>
        </w:tc>
        <w:tc>
          <w:tcPr>
            <w:tcW w:type="dxa" w:w="2266"/>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0000"/>
                <w:sz w:val="18"/>
                <w:szCs w:val="18"/>
              </w:rPr>
              <w:t xml:space="preserve">27%</w:t>
            </w:r>
          </w:p>
        </w:tc>
        <w:tc>
          <w:tcPr>
            <w:tcW w:type="dxa" w:w="3708"/>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Years of assessment ending on or after 31 March 2023. Unchanged in the February 2026 Budget</w:t>
            </w:r>
          </w:p>
        </w:tc>
      </w:tr>
      <w:tr>
        <w:tc>
          <w:tcPr>
            <w:tcW w:type="dxa" w:w="4326"/>
            <w:tcBorders>
              <w:top w:val="single" w:color="888888" w:sz="4"/>
              <w:left w:val="single" w:color="888888" w:sz="4"/>
              <w:bottom w:val="single" w:color="888888" w:sz="4"/>
              <w:right w:val="single" w:color="888888" w:sz="4"/>
            </w:tcBorders>
            <w:shd w:fill="F2F2F2" w:val="clear"/>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Dividends tax</w:t>
            </w:r>
          </w:p>
        </w:tc>
        <w:tc>
          <w:tcPr>
            <w:tcW w:type="dxa" w:w="2266"/>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0000"/>
                <w:sz w:val="18"/>
                <w:szCs w:val="18"/>
              </w:rPr>
              <w:t xml:space="preserve">20%</w:t>
            </w:r>
          </w:p>
        </w:tc>
        <w:tc>
          <w:tcPr>
            <w:tcW w:type="dxa" w:w="3708"/>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Unchanged</w:t>
            </w:r>
          </w:p>
        </w:tc>
      </w:tr>
      <w:tr>
        <w:tc>
          <w:tcPr>
            <w:tcW w:type="dxa" w:w="4326"/>
            <w:tcBorders>
              <w:top w:val="single" w:color="888888" w:sz="4"/>
              <w:left w:val="single" w:color="888888" w:sz="4"/>
              <w:bottom w:val="single" w:color="888888" w:sz="4"/>
              <w:right w:val="single" w:color="888888" w:sz="4"/>
            </w:tcBorders>
            <w:shd w:fill="F2F2F2" w:val="clear"/>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CGT inclusion rate — company</w:t>
            </w:r>
          </w:p>
        </w:tc>
        <w:tc>
          <w:tcPr>
            <w:tcW w:type="dxa" w:w="2266"/>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0000"/>
                <w:sz w:val="18"/>
                <w:szCs w:val="18"/>
              </w:rPr>
              <w:t xml:space="preserve">80%</w:t>
            </w:r>
          </w:p>
        </w:tc>
        <w:tc>
          <w:tcPr>
            <w:tcW w:type="dxa" w:w="3708"/>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Effective CGT rate </w:t>
            </w:r>
            <w:r>
              <w:rPr>
                <w:rFonts w:ascii="Arial" w:cs="Arial" w:eastAsia="Arial" w:hAnsi="Arial"/>
                <w:b/>
                <w:bCs/>
                <w:i w:val="false"/>
                <w:iCs w:val="false"/>
                <w:color w:val="000000"/>
                <w:sz w:val="18"/>
                <w:szCs w:val="18"/>
              </w:rPr>
              <w:t xml:space="preserve">21.6%</w:t>
            </w:r>
            <w:r>
              <w:rPr>
                <w:rFonts w:ascii="Arial" w:cs="Arial" w:eastAsia="Arial" w:hAnsi="Arial"/>
                <w:b w:val="false"/>
                <w:bCs w:val="false"/>
                <w:i w:val="false"/>
                <w:iCs w:val="false"/>
                <w:color w:val="000000"/>
                <w:sz w:val="18"/>
                <w:szCs w:val="18"/>
              </w:rPr>
              <w:t xml:space="preserve"> (80% × 27%)</w:t>
            </w:r>
          </w:p>
        </w:tc>
      </w:tr>
      <w:tr>
        <w:tc>
          <w:tcPr>
            <w:tcW w:type="dxa" w:w="4326"/>
            <w:tcBorders>
              <w:top w:val="single" w:color="888888" w:sz="4"/>
              <w:left w:val="single" w:color="888888" w:sz="4"/>
              <w:bottom w:val="single" w:color="888888" w:sz="4"/>
              <w:right w:val="single" w:color="888888" w:sz="4"/>
            </w:tcBorders>
            <w:shd w:fill="F2F2F2" w:val="clear"/>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VAT</w:t>
            </w:r>
          </w:p>
        </w:tc>
        <w:tc>
          <w:tcPr>
            <w:tcW w:type="dxa" w:w="2266"/>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0000"/>
                <w:sz w:val="18"/>
                <w:szCs w:val="18"/>
              </w:rPr>
              <w:t xml:space="preserve">15%</w:t>
            </w:r>
          </w:p>
        </w:tc>
        <w:tc>
          <w:tcPr>
            <w:tcW w:type="dxa" w:w="3708"/>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Standard rate</w:t>
            </w:r>
          </w:p>
        </w:tc>
      </w:tr>
      <w:tr>
        <w:tc>
          <w:tcPr>
            <w:tcW w:type="dxa" w:w="4326"/>
            <w:tcBorders>
              <w:top w:val="single" w:color="888888" w:sz="4"/>
              <w:left w:val="single" w:color="888888" w:sz="4"/>
              <w:bottom w:val="single" w:color="888888" w:sz="4"/>
              <w:right w:val="single" w:color="888888" w:sz="4"/>
            </w:tcBorders>
            <w:shd w:fill="F2F2F2" w:val="clear"/>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s12B — renewable plant</w:t>
            </w:r>
          </w:p>
        </w:tc>
        <w:tc>
          <w:tcPr>
            <w:tcW w:type="dxa" w:w="2266"/>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0000"/>
                <w:sz w:val="18"/>
                <w:szCs w:val="18"/>
              </w:rPr>
              <w:t xml:space="preserve">50 / 30 / 20</w:t>
            </w:r>
          </w:p>
        </w:tc>
        <w:tc>
          <w:tcPr>
            <w:tcW w:type="dxa" w:w="3708"/>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Over three years. Not apportioned for part of a year</w:t>
            </w:r>
          </w:p>
        </w:tc>
      </w:tr>
      <w:tr>
        <w:tc>
          <w:tcPr>
            <w:tcW w:type="dxa" w:w="4326"/>
            <w:tcBorders>
              <w:top w:val="single" w:color="888888" w:sz="4"/>
              <w:left w:val="single" w:color="888888" w:sz="4"/>
              <w:bottom w:val="single" w:color="888888" w:sz="4"/>
              <w:right w:val="single" w:color="888888" w:sz="4"/>
            </w:tcBorders>
            <w:shd w:fill="F2F2F2" w:val="clear"/>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s12B — PV solar not exceeding 1MW</w:t>
            </w:r>
          </w:p>
        </w:tc>
        <w:tc>
          <w:tcPr>
            <w:tcW w:type="dxa" w:w="2266"/>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0000"/>
                <w:sz w:val="18"/>
                <w:szCs w:val="18"/>
              </w:rPr>
              <w:t xml:space="preserve">100%</w:t>
            </w:r>
          </w:p>
        </w:tc>
        <w:tc>
          <w:tcPr>
            <w:tcW w:type="dxa" w:w="3708"/>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Full write-off in year brought into use. Applies since 2015</w:t>
            </w:r>
          </w:p>
        </w:tc>
      </w:tr>
      <w:tr>
        <w:tc>
          <w:tcPr>
            <w:tcW w:type="dxa" w:w="4326"/>
            <w:tcBorders>
              <w:top w:val="single" w:color="888888" w:sz="4"/>
              <w:left w:val="single" w:color="888888" w:sz="4"/>
              <w:bottom w:val="single" w:color="888888" w:sz="4"/>
              <w:right w:val="single" w:color="888888" w:sz="4"/>
            </w:tcBorders>
            <w:shd w:fill="F2F2F2" w:val="clear"/>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s12BA — enhanced allowance</w:t>
            </w:r>
          </w:p>
        </w:tc>
        <w:tc>
          <w:tcPr>
            <w:tcW w:type="dxa" w:w="2266"/>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0000"/>
                <w:sz w:val="18"/>
                <w:szCs w:val="18"/>
              </w:rPr>
              <w:t xml:space="preserve">125%</w:t>
            </w:r>
          </w:p>
        </w:tc>
        <w:tc>
          <w:tcPr>
            <w:tcW w:type="dxa" w:w="3708"/>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0000"/>
                <w:sz w:val="18"/>
                <w:szCs w:val="18"/>
              </w:rPr>
              <w:t xml:space="preserve">EXPIRED.</w:t>
            </w:r>
            <w:r>
              <w:rPr>
                <w:rFonts w:ascii="Arial" w:cs="Arial" w:eastAsia="Arial" w:hAnsi="Arial"/>
                <w:b w:val="false"/>
                <w:bCs w:val="false"/>
                <w:i w:val="false"/>
                <w:iCs w:val="false"/>
                <w:color w:val="000000"/>
                <w:sz w:val="18"/>
                <w:szCs w:val="18"/>
              </w:rPr>
              <w:t xml:space="preserve"> Assets brought into use before 1 March 2025 only</w:t>
            </w:r>
          </w:p>
        </w:tc>
      </w:tr>
      <w:tr>
        <w:tc>
          <w:tcPr>
            <w:tcW w:type="dxa" w:w="4326"/>
            <w:tcBorders>
              <w:top w:val="single" w:color="888888" w:sz="4"/>
              <w:left w:val="single" w:color="888888" w:sz="4"/>
              <w:bottom w:val="single" w:color="888888" w:sz="4"/>
              <w:right w:val="single" w:color="888888" w:sz="4"/>
            </w:tcBorders>
            <w:shd w:fill="F2F2F2" w:val="clear"/>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s12U — roads and fences</w:t>
            </w:r>
          </w:p>
        </w:tc>
        <w:tc>
          <w:tcPr>
            <w:tcW w:type="dxa" w:w="2266"/>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0000"/>
                <w:sz w:val="18"/>
                <w:szCs w:val="18"/>
              </w:rPr>
              <w:t xml:space="preserve">100%</w:t>
            </w:r>
          </w:p>
        </w:tc>
        <w:tc>
          <w:tcPr>
            <w:tcW w:type="dxa" w:w="3708"/>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In year incurred. Only where generation exceeds 5MW</w:t>
            </w:r>
          </w:p>
        </w:tc>
      </w:tr>
      <w:tr>
        <w:tc>
          <w:tcPr>
            <w:tcW w:type="dxa" w:w="4326"/>
            <w:tcBorders>
              <w:top w:val="single" w:color="888888" w:sz="4"/>
              <w:left w:val="single" w:color="888888" w:sz="4"/>
              <w:bottom w:val="single" w:color="888888" w:sz="4"/>
              <w:right w:val="single" w:color="888888" w:sz="4"/>
            </w:tcBorders>
            <w:shd w:fill="F2F2F2" w:val="clear"/>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s12L — energy efficiency savings</w:t>
            </w:r>
          </w:p>
        </w:tc>
        <w:tc>
          <w:tcPr>
            <w:tcW w:type="dxa" w:w="2266"/>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0000"/>
                <w:sz w:val="18"/>
                <w:szCs w:val="18"/>
              </w:rPr>
              <w:t xml:space="preserve">95c per kWh</w:t>
            </w:r>
          </w:p>
        </w:tc>
        <w:tc>
          <w:tcPr>
            <w:tcW w:type="dxa" w:w="3708"/>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Verified savings. Extended to 31 December 2030</w:t>
            </w:r>
          </w:p>
        </w:tc>
      </w:tr>
      <w:tr>
        <w:tc>
          <w:tcPr>
            <w:tcW w:type="dxa" w:w="4326"/>
            <w:tcBorders>
              <w:top w:val="single" w:color="888888" w:sz="4"/>
              <w:left w:val="single" w:color="888888" w:sz="4"/>
              <w:bottom w:val="single" w:color="888888" w:sz="4"/>
              <w:right w:val="single" w:color="888888" w:sz="4"/>
            </w:tcBorders>
            <w:shd w:fill="F2F2F2" w:val="clear"/>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s12C — manufacturing plant</w:t>
            </w:r>
          </w:p>
        </w:tc>
        <w:tc>
          <w:tcPr>
            <w:tcW w:type="dxa" w:w="2266"/>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0000"/>
                <w:sz w:val="18"/>
                <w:szCs w:val="18"/>
              </w:rPr>
              <w:t xml:space="preserve">40 / 20 / 20 / 20</w:t>
            </w:r>
          </w:p>
        </w:tc>
        <w:tc>
          <w:tcPr>
            <w:tcW w:type="dxa" w:w="3708"/>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New and unused. Not relevant to Axion — see below</w:t>
            </w:r>
          </w:p>
        </w:tc>
      </w:tr>
      <w:tr>
        <w:tc>
          <w:tcPr>
            <w:tcW w:type="dxa" w:w="4326"/>
            <w:tcBorders>
              <w:top w:val="single" w:color="888888" w:sz="4"/>
              <w:left w:val="single" w:color="888888" w:sz="4"/>
              <w:bottom w:val="single" w:color="888888" w:sz="4"/>
              <w:right w:val="single" w:color="888888" w:sz="4"/>
            </w:tcBorders>
            <w:shd w:fill="F2F2F2" w:val="clear"/>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s13quin — commercial buildings</w:t>
            </w:r>
          </w:p>
        </w:tc>
        <w:tc>
          <w:tcPr>
            <w:tcW w:type="dxa" w:w="2266"/>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0000"/>
                <w:sz w:val="18"/>
                <w:szCs w:val="18"/>
              </w:rPr>
              <w:t xml:space="preserve">5%</w:t>
            </w:r>
          </w:p>
        </w:tc>
        <w:tc>
          <w:tcPr>
            <w:tcW w:type="dxa" w:w="3708"/>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New and unused buildings and improvements</w:t>
            </w:r>
          </w:p>
        </w:tc>
      </w:tr>
      <w:tr>
        <w:tc>
          <w:tcPr>
            <w:tcW w:type="dxa" w:w="4326"/>
            <w:tcBorders>
              <w:top w:val="single" w:color="888888" w:sz="4"/>
              <w:left w:val="single" w:color="888888" w:sz="4"/>
              <w:bottom w:val="single" w:color="888888" w:sz="4"/>
              <w:right w:val="single" w:color="888888" w:sz="4"/>
            </w:tcBorders>
            <w:shd w:fill="F2F2F2" w:val="clear"/>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s20 — assessed loss set-off</w:t>
            </w:r>
          </w:p>
        </w:tc>
        <w:tc>
          <w:tcPr>
            <w:tcW w:type="dxa" w:w="2266"/>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0000"/>
                <w:sz w:val="18"/>
                <w:szCs w:val="18"/>
              </w:rPr>
              <w:t xml:space="preserve">Higher of R1m or 80%</w:t>
            </w:r>
          </w:p>
        </w:tc>
        <w:tc>
          <w:tcPr>
            <w:tcW w:type="dxa" w:w="3708"/>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Of taxable income. Years ending on or after 31 March 2023</w:t>
            </w:r>
          </w:p>
        </w:tc>
      </w:tr>
    </w:tbl>
    <w:p>
      <w:pPr>
        <w:keepNext w:val="false"/>
        <w:spacing w:after="0" w:before="0" w:line="250" w:lineRule="auto"/>
      </w:pPr>
      <w:r>
        <w:rPr>
          <w:rFonts w:ascii="Arial" w:cs="Arial" w:eastAsia="Arial" w:hAnsi="Arial"/>
          <w:sz w:val="12"/>
          <w:szCs w:val="12"/>
        </w:rPr>
        <w:t xml:space="preserve"/>
      </w:r>
    </w:p>
    <w:p>
      <w:pPr>
        <w:keepNext/>
        <w:pBdr>
          <w:bottom w:val="single" w:color="000000" w:sz="8" w:space="2"/>
        </w:pBdr>
        <w:spacing w:after="110" w:before="260" w:line="250" w:lineRule="auto"/>
      </w:pPr>
      <w:r>
        <w:rPr>
          <w:rFonts w:ascii="Arial" w:cs="Arial" w:eastAsia="Arial" w:hAnsi="Arial"/>
          <w:b/>
          <w:bCs/>
          <w:i w:val="false"/>
          <w:iCs w:val="false"/>
          <w:color w:val="000000"/>
          <w:sz w:val="26"/>
          <w:szCs w:val="26"/>
        </w:rPr>
        <w:t xml:space="preserve">Exam-day decision tree — start here</w:t>
      </w:r>
    </w:p>
    <w:p>
      <w:pPr>
        <w:keepNext w:val="false"/>
        <w:spacing w:after="100" w:before="0" w:line="250" w:lineRule="auto"/>
      </w:pPr>
      <w:r>
        <w:rPr>
          <w:rFonts w:ascii="Arial" w:cs="Arial" w:eastAsia="Arial" w:hAnsi="Arial"/>
          <w:b w:val="false"/>
          <w:bCs w:val="false"/>
          <w:i/>
          <w:iCs/>
          <w:color w:val="000000"/>
          <w:sz w:val="18"/>
          <w:szCs w:val="18"/>
        </w:rPr>
        <w:t xml:space="preserve">Read the facts on the day, answer these five questions in order, then go to the tables they point at. This is designed to stop you writing about sections that do not apply.</w:t>
      </w:r>
    </w:p>
    <w:tbl>
      <w:tblPr>
        <w:tblW w:type="dxa" w:w="10300"/>
        <w:tblBorders>
          <w:top w:val="single" w:color="auto" w:sz="4"/>
          <w:left w:val="single" w:color="auto" w:sz="4"/>
          <w:bottom w:val="single" w:color="auto" w:sz="4"/>
          <w:right w:val="single" w:color="auto" w:sz="4"/>
          <w:insideH w:val="single" w:color="auto" w:sz="4"/>
          <w:insideV w:val="single" w:color="auto" w:sz="4"/>
        </w:tblBorders>
      </w:tblPr>
      <w:tblGrid>
        <w:gridCol w:w="721"/>
        <w:gridCol w:w="4120"/>
        <w:gridCol w:w="5459"/>
      </w:tblGrid>
      <w:tr>
        <w:trPr>
          <w:tblHeader/>
        </w:trPr>
        <w:tc>
          <w:tcPr>
            <w:tcW w:type="dxa" w:w="721"/>
            <w:tcBorders>
              <w:top w:val="single" w:color="888888" w:sz="4"/>
              <w:left w:val="single" w:color="888888" w:sz="4"/>
              <w:bottom w:val="single" w:color="888888" w:sz="4"/>
              <w:right w:val="single" w:color="888888" w:sz="4"/>
            </w:tcBorders>
            <w:shd w:fill="E8E8E8" w:val="clear"/>
            <w:tcMar>
              <w:top w:type="dxa" w:w="60"/>
              <w:left w:type="dxa" w:w="80"/>
              <w:bottom w:type="dxa" w:w="60"/>
              <w:right w:type="dxa" w:w="80"/>
            </w:tcMar>
            <w:vAlign w:val="center"/>
          </w:tcPr>
          <w:p>
            <w:pPr>
              <w:keepNext w:val="false"/>
              <w:spacing w:after="0" w:before="0" w:line="250" w:lineRule="auto"/>
            </w:pPr>
            <w:r>
              <w:rPr>
                <w:rFonts w:ascii="Arial" w:cs="Arial" w:eastAsia="Arial" w:hAnsi="Arial"/>
                <w:sz w:val="18"/>
                <w:szCs w:val="18"/>
              </w:rPr>
              <w:t xml:space="preserve"/>
            </w:r>
          </w:p>
        </w:tc>
        <w:tc>
          <w:tcPr>
            <w:tcW w:type="dxa" w:w="4120"/>
            <w:tcBorders>
              <w:top w:val="single" w:color="888888" w:sz="4"/>
              <w:left w:val="single" w:color="888888" w:sz="4"/>
              <w:bottom w:val="single" w:color="888888" w:sz="4"/>
              <w:right w:val="single" w:color="888888" w:sz="4"/>
            </w:tcBorders>
            <w:shd w:fill="E8E8E8" w:val="clear"/>
            <w:tcMar>
              <w:top w:type="dxa" w:w="60"/>
              <w:left w:type="dxa" w:w="80"/>
              <w:bottom w:type="dxa" w:w="60"/>
              <w:right w:type="dxa" w:w="80"/>
            </w:tcMar>
            <w:vAlign w:val="center"/>
          </w:tcPr>
          <w:p>
            <w:pPr>
              <w:keepNext w:val="false"/>
              <w:spacing w:after="0" w:before="0" w:line="250" w:lineRule="auto"/>
            </w:pPr>
            <w:r>
              <w:rPr>
                <w:rFonts w:ascii="Arial" w:cs="Arial" w:eastAsia="Arial" w:hAnsi="Arial"/>
                <w:b/>
                <w:bCs/>
                <w:i w:val="false"/>
                <w:iCs w:val="false"/>
                <w:color w:val="000000"/>
                <w:sz w:val="18"/>
                <w:szCs w:val="18"/>
              </w:rPr>
              <w:t xml:space="preserve">Question</w:t>
            </w:r>
          </w:p>
        </w:tc>
        <w:tc>
          <w:tcPr>
            <w:tcW w:type="dxa" w:w="5459"/>
            <w:tcBorders>
              <w:top w:val="single" w:color="888888" w:sz="4"/>
              <w:left w:val="single" w:color="888888" w:sz="4"/>
              <w:bottom w:val="single" w:color="888888" w:sz="4"/>
              <w:right w:val="single" w:color="888888" w:sz="4"/>
            </w:tcBorders>
            <w:shd w:fill="E8E8E8" w:val="clear"/>
            <w:tcMar>
              <w:top w:type="dxa" w:w="60"/>
              <w:left w:type="dxa" w:w="80"/>
              <w:bottom w:type="dxa" w:w="60"/>
              <w:right w:type="dxa" w:w="80"/>
            </w:tcMar>
            <w:vAlign w:val="center"/>
          </w:tcPr>
          <w:p>
            <w:pPr>
              <w:keepNext w:val="false"/>
              <w:spacing w:after="0" w:before="0" w:line="250" w:lineRule="auto"/>
            </w:pPr>
            <w:r>
              <w:rPr>
                <w:rFonts w:ascii="Arial" w:cs="Arial" w:eastAsia="Arial" w:hAnsi="Arial"/>
                <w:b/>
                <w:bCs/>
                <w:i w:val="false"/>
                <w:iCs w:val="false"/>
                <w:color w:val="000000"/>
                <w:sz w:val="18"/>
                <w:szCs w:val="18"/>
              </w:rPr>
              <w:t xml:space="preserve">Where it takes you</w:t>
            </w:r>
          </w:p>
        </w:tc>
      </w:tr>
      <w:tr>
        <w:tc>
          <w:tcPr>
            <w:tcW w:type="dxa" w:w="721"/>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1</w:t>
            </w:r>
          </w:p>
        </w:tc>
        <w:tc>
          <w:tcPr>
            <w:tcW w:type="dxa" w:w="4120"/>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0000"/>
                <w:sz w:val="18"/>
                <w:szCs w:val="18"/>
              </w:rPr>
              <w:t xml:space="preserve">Who owns the generation plant?</w:t>
            </w:r>
            <w:r>
              <w:rPr>
                <w:rFonts w:ascii="Arial" w:cs="Arial" w:eastAsia="Arial" w:hAnsi="Arial"/>
                <w:b w:val="false"/>
                <w:bCs w:val="false"/>
                <w:i w:val="false"/>
                <w:iCs w:val="false"/>
                <w:color w:val="000000"/>
                <w:sz w:val="18"/>
                <w:szCs w:val="18"/>
              </w:rPr>
              <w:t xml:space="preserve"> Axion itself, a partnership or joint operation, or a separate company?</w:t>
            </w:r>
          </w:p>
        </w:tc>
        <w:tc>
          <w:tcPr>
            <w:tcW w:type="dxa" w:w="5459"/>
            <w:tcBorders>
              <w:top w:val="single" w:color="888888" w:sz="4"/>
              <w:left w:val="single" w:color="888888" w:sz="4"/>
              <w:bottom w:val="single" w:color="888888" w:sz="4"/>
              <w:right w:val="single" w:color="888888" w:sz="4"/>
            </w:tcBorders>
            <w:tcMar>
              <w:top w:type="dxa" w:w="60"/>
              <w:left w:type="dxa" w:w="80"/>
              <w:bottom w:type="dxa" w:w="60"/>
              <w:right w:type="dxa" w:w="80"/>
            </w:tcMar>
          </w:tcPr>
          <w:p>
            <w:pPr>
              <w:pStyle w:val="ListParagraph"/>
              <w:numPr>
                <w:ilvl w:val="0"/>
                <w:numId w:val="2"/>
              </w:numPr>
              <w:spacing w:after="40" w:before="0" w:line="250" w:lineRule="auto"/>
            </w:pPr>
            <w:r>
              <w:rPr>
                <w:rFonts w:ascii="Arial" w:cs="Arial" w:eastAsia="Arial" w:hAnsi="Arial"/>
                <w:b/>
                <w:bCs/>
                <w:i w:val="false"/>
                <w:iCs w:val="false"/>
                <w:color w:val="0070C0"/>
                <w:sz w:val="18"/>
                <w:szCs w:val="18"/>
              </w:rPr>
              <w:t xml:space="preserve">Axion owns</w:t>
            </w:r>
            <w:r>
              <w:rPr>
                <w:rFonts w:ascii="Arial" w:cs="Arial" w:eastAsia="Arial" w:hAnsi="Arial"/>
                <w:b w:val="false"/>
                <w:bCs w:val="false"/>
                <w:i w:val="false"/>
                <w:iCs w:val="false"/>
                <w:color w:val="0070C0"/>
                <w:sz w:val="18"/>
                <w:szCs w:val="18"/>
              </w:rPr>
              <w:t xml:space="preserve"> → Axion claims s12B, s12U, s12L in its own return. Go to Tables 1–4.</w:t>
            </w:r>
          </w:p>
          <w:p>
            <w:pPr>
              <w:pStyle w:val="ListParagraph"/>
              <w:numPr>
                <w:ilvl w:val="0"/>
                <w:numId w:val="2"/>
              </w:numPr>
              <w:spacing w:after="40" w:before="0" w:line="250" w:lineRule="auto"/>
            </w:pPr>
            <w:r>
              <w:rPr>
                <w:rFonts w:ascii="Arial" w:cs="Arial" w:eastAsia="Arial" w:hAnsi="Arial"/>
                <w:b/>
                <w:bCs/>
                <w:i w:val="false"/>
                <w:iCs w:val="false"/>
                <w:color w:val="0070C0"/>
                <w:sz w:val="18"/>
                <w:szCs w:val="18"/>
              </w:rPr>
              <w:t xml:space="preserve">Partnership or joint operation</w:t>
            </w:r>
            <w:r>
              <w:rPr>
                <w:rFonts w:ascii="Arial" w:cs="Arial" w:eastAsia="Arial" w:hAnsi="Arial"/>
                <w:b w:val="false"/>
                <w:bCs w:val="false"/>
                <w:i w:val="false"/>
                <w:iCs w:val="false"/>
                <w:color w:val="0070C0"/>
                <w:sz w:val="18"/>
                <w:szCs w:val="18"/>
              </w:rPr>
              <w:t xml:space="preserve"> → s24H, Axion claims its </w:t>
            </w:r>
            <w:r>
              <w:rPr>
                <w:rFonts w:ascii="Arial" w:cs="Arial" w:eastAsia="Arial" w:hAnsi="Arial"/>
                <w:b/>
                <w:bCs/>
                <w:i w:val="false"/>
                <w:iCs w:val="false"/>
                <w:color w:val="0070C0"/>
                <w:sz w:val="18"/>
                <w:szCs w:val="18"/>
              </w:rPr>
              <w:t xml:space="preserve">share</w:t>
            </w:r>
            <w:r>
              <w:rPr>
                <w:rFonts w:ascii="Arial" w:cs="Arial" w:eastAsia="Arial" w:hAnsi="Arial"/>
                <w:b w:val="false"/>
                <w:bCs w:val="false"/>
                <w:i w:val="false"/>
                <w:iCs w:val="false"/>
                <w:color w:val="0070C0"/>
                <w:sz w:val="18"/>
                <w:szCs w:val="18"/>
              </w:rPr>
              <w:t xml:space="preserve">. Go to Table 14.</w:t>
            </w:r>
          </w:p>
          <w:p>
            <w:pPr>
              <w:pStyle w:val="ListParagraph"/>
              <w:numPr>
                <w:ilvl w:val="0"/>
                <w:numId w:val="2"/>
              </w:numPr>
              <w:spacing w:after="40" w:before="0" w:line="250" w:lineRule="auto"/>
            </w:pPr>
            <w:r>
              <w:rPr>
                <w:rFonts w:ascii="Arial" w:cs="Arial" w:eastAsia="Arial" w:hAnsi="Arial"/>
                <w:b/>
                <w:bCs/>
                <w:i w:val="false"/>
                <w:iCs w:val="false"/>
                <w:color w:val="0070C0"/>
                <w:sz w:val="18"/>
                <w:szCs w:val="18"/>
              </w:rPr>
              <w:t xml:space="preserve">Separate company</w:t>
            </w:r>
            <w:r>
              <w:rPr>
                <w:rFonts w:ascii="Arial" w:cs="Arial" w:eastAsia="Arial" w:hAnsi="Arial"/>
                <w:b w:val="false"/>
                <w:bCs w:val="false"/>
                <w:i w:val="false"/>
                <w:iCs w:val="false"/>
                <w:color w:val="0070C0"/>
                <w:sz w:val="18"/>
                <w:szCs w:val="18"/>
              </w:rPr>
              <w:t xml:space="preserve"> → the SPV claims, Axion claims nothing. Axion’s only deduction is s11(a) on electricity bought. Go to Tables 9 and 14.</w:t>
            </w:r>
          </w:p>
          <w:p>
            <w:pPr>
              <w:pStyle w:val="ListParagraph"/>
              <w:numPr>
                <w:ilvl w:val="0"/>
                <w:numId w:val="2"/>
              </w:numPr>
              <w:spacing w:after="0" w:before="0" w:line="250" w:lineRule="auto"/>
            </w:pPr>
            <w:r>
              <w:rPr>
                <w:rFonts w:ascii="Arial" w:cs="Arial" w:eastAsia="Arial" w:hAnsi="Arial"/>
                <w:b/>
                <w:bCs/>
                <w:i w:val="false"/>
                <w:iCs w:val="false"/>
                <w:color w:val="0070C0"/>
                <w:sz w:val="18"/>
                <w:szCs w:val="18"/>
              </w:rPr>
              <w:t xml:space="preserve">PPA only — Axion owns nothing</w:t>
            </w:r>
            <w:r>
              <w:rPr>
                <w:rFonts w:ascii="Arial" w:cs="Arial" w:eastAsia="Arial" w:hAnsi="Arial"/>
                <w:b w:val="false"/>
                <w:bCs w:val="false"/>
                <w:i w:val="false"/>
                <w:iCs w:val="false"/>
                <w:color w:val="0070C0"/>
                <w:sz w:val="18"/>
                <w:szCs w:val="18"/>
              </w:rPr>
              <w:t xml:space="preserve"> → no capital allowance at all. Go to Table 9.</w:t>
            </w:r>
          </w:p>
        </w:tc>
      </w:tr>
      <w:tr>
        <w:tc>
          <w:tcPr>
            <w:tcW w:type="dxa" w:w="721"/>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2</w:t>
            </w:r>
          </w:p>
        </w:tc>
        <w:tc>
          <w:tcPr>
            <w:tcW w:type="dxa" w:w="4120"/>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0000"/>
                <w:sz w:val="18"/>
                <w:szCs w:val="18"/>
              </w:rPr>
              <w:t xml:space="preserve">What is the generation capacity in MW, and what technology?</w:t>
            </w:r>
          </w:p>
        </w:tc>
        <w:tc>
          <w:tcPr>
            <w:tcW w:type="dxa" w:w="5459"/>
            <w:tcBorders>
              <w:top w:val="single" w:color="888888" w:sz="4"/>
              <w:left w:val="single" w:color="888888" w:sz="4"/>
              <w:bottom w:val="single" w:color="888888" w:sz="4"/>
              <w:right w:val="single" w:color="888888" w:sz="4"/>
            </w:tcBorders>
            <w:tcMar>
              <w:top w:type="dxa" w:w="60"/>
              <w:left w:type="dxa" w:w="80"/>
              <w:bottom w:type="dxa" w:w="60"/>
              <w:right w:type="dxa" w:w="80"/>
            </w:tcMar>
          </w:tcPr>
          <w:p>
            <w:pPr>
              <w:pStyle w:val="ListParagraph"/>
              <w:numPr>
                <w:ilvl w:val="0"/>
                <w:numId w:val="2"/>
              </w:numPr>
              <w:spacing w:after="40" w:before="0" w:line="250" w:lineRule="auto"/>
            </w:pPr>
            <w:r>
              <w:rPr>
                <w:rFonts w:ascii="Arial" w:cs="Arial" w:eastAsia="Arial" w:hAnsi="Arial"/>
                <w:b/>
                <w:bCs/>
                <w:i w:val="false"/>
                <w:iCs w:val="false"/>
                <w:color w:val="0070C0"/>
                <w:sz w:val="18"/>
                <w:szCs w:val="18"/>
              </w:rPr>
              <w:t xml:space="preserve">PV solar not exceeding 1MW</w:t>
            </w:r>
            <w:r>
              <w:rPr>
                <w:rFonts w:ascii="Arial" w:cs="Arial" w:eastAsia="Arial" w:hAnsi="Arial"/>
                <w:b w:val="false"/>
                <w:bCs w:val="false"/>
                <w:i w:val="false"/>
                <w:iCs w:val="false"/>
                <w:color w:val="0070C0"/>
                <w:sz w:val="18"/>
                <w:szCs w:val="18"/>
              </w:rPr>
              <w:t xml:space="preserve"> → 100% write-off under s12B.</w:t>
            </w:r>
          </w:p>
          <w:p>
            <w:pPr>
              <w:pStyle w:val="ListParagraph"/>
              <w:numPr>
                <w:ilvl w:val="0"/>
                <w:numId w:val="2"/>
              </w:numPr>
              <w:spacing w:after="40" w:before="0" w:line="250" w:lineRule="auto"/>
            </w:pPr>
            <w:r>
              <w:rPr>
                <w:rFonts w:ascii="Arial" w:cs="Arial" w:eastAsia="Arial" w:hAnsi="Arial"/>
                <w:b/>
                <w:bCs/>
                <w:i w:val="false"/>
                <w:iCs w:val="false"/>
                <w:color w:val="0070C0"/>
                <w:sz w:val="18"/>
                <w:szCs w:val="18"/>
              </w:rPr>
              <w:t xml:space="preserve">PV solar above 1MW, or any wind, or concentrated solar, or hydro not exceeding 30MW, or biomass</w:t>
            </w:r>
            <w:r>
              <w:rPr>
                <w:rFonts w:ascii="Arial" w:cs="Arial" w:eastAsia="Arial" w:hAnsi="Arial"/>
                <w:b w:val="false"/>
                <w:bCs w:val="false"/>
                <w:i w:val="false"/>
                <w:iCs w:val="false"/>
                <w:color w:val="0070C0"/>
                <w:sz w:val="18"/>
                <w:szCs w:val="18"/>
              </w:rPr>
              <w:t xml:space="preserve"> → 50/30/20 under s12B.</w:t>
            </w:r>
          </w:p>
          <w:p>
            <w:pPr>
              <w:pStyle w:val="ListParagraph"/>
              <w:numPr>
                <w:ilvl w:val="0"/>
                <w:numId w:val="2"/>
              </w:numPr>
              <w:spacing w:after="40" w:before="0" w:line="250" w:lineRule="auto"/>
            </w:pPr>
            <w:r>
              <w:rPr>
                <w:rFonts w:ascii="Arial" w:cs="Arial" w:eastAsia="Arial" w:hAnsi="Arial"/>
                <w:b/>
                <w:bCs/>
                <w:i w:val="false"/>
                <w:iCs w:val="false"/>
                <w:color w:val="0070C0"/>
                <w:sz w:val="18"/>
                <w:szCs w:val="18"/>
              </w:rPr>
              <w:t xml:space="preserve">Generation exceeds 5MW</w:t>
            </w:r>
            <w:r>
              <w:rPr>
                <w:rFonts w:ascii="Arial" w:cs="Arial" w:eastAsia="Arial" w:hAnsi="Arial"/>
                <w:b w:val="false"/>
                <w:bCs w:val="false"/>
                <w:i w:val="false"/>
                <w:iCs w:val="false"/>
                <w:color w:val="0070C0"/>
                <w:sz w:val="18"/>
                <w:szCs w:val="18"/>
              </w:rPr>
              <w:t xml:space="preserve"> → s12U also available for roads and fences. Below 5MW it is not.</w:t>
            </w:r>
          </w:p>
          <w:p>
            <w:pPr>
              <w:pStyle w:val="ListParagraph"/>
              <w:numPr>
                <w:ilvl w:val="0"/>
                <w:numId w:val="2"/>
              </w:numPr>
              <w:spacing w:after="0" w:before="0" w:line="250" w:lineRule="auto"/>
            </w:pPr>
            <w:r>
              <w:rPr>
                <w:rFonts w:ascii="Arial" w:cs="Arial" w:eastAsia="Arial" w:hAnsi="Arial"/>
                <w:b/>
                <w:bCs/>
                <w:i w:val="false"/>
                <w:iCs w:val="false"/>
                <w:color w:val="0070C0"/>
                <w:sz w:val="18"/>
                <w:szCs w:val="18"/>
              </w:rPr>
              <w:t xml:space="preserve">Hydro above 30MW</w:t>
            </w:r>
            <w:r>
              <w:rPr>
                <w:rFonts w:ascii="Arial" w:cs="Arial" w:eastAsia="Arial" w:hAnsi="Arial"/>
                <w:b w:val="false"/>
                <w:bCs w:val="false"/>
                <w:i w:val="false"/>
                <w:iCs w:val="false"/>
                <w:color w:val="0070C0"/>
                <w:sz w:val="18"/>
                <w:szCs w:val="18"/>
              </w:rPr>
              <w:t xml:space="preserve"> → falls outside s12B entirely. Go to s11(e), Table 5.</w:t>
            </w:r>
          </w:p>
        </w:tc>
      </w:tr>
      <w:tr>
        <w:tc>
          <w:tcPr>
            <w:tcW w:type="dxa" w:w="721"/>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3</w:t>
            </w:r>
          </w:p>
        </w:tc>
        <w:tc>
          <w:tcPr>
            <w:tcW w:type="dxa" w:w="4120"/>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0000"/>
                <w:sz w:val="18"/>
                <w:szCs w:val="18"/>
              </w:rPr>
              <w:t xml:space="preserve">When is the asset brought into use, relative to 30 June?</w:t>
            </w:r>
          </w:p>
        </w:tc>
        <w:tc>
          <w:tcPr>
            <w:tcW w:type="dxa" w:w="5459"/>
            <w:tcBorders>
              <w:top w:val="single" w:color="888888" w:sz="4"/>
              <w:left w:val="single" w:color="888888" w:sz="4"/>
              <w:bottom w:val="single" w:color="888888" w:sz="4"/>
              <w:right w:val="single" w:color="888888" w:sz="4"/>
            </w:tcBorders>
            <w:tcMar>
              <w:top w:type="dxa" w:w="60"/>
              <w:left w:type="dxa" w:w="80"/>
              <w:bottom w:type="dxa" w:w="60"/>
              <w:right w:type="dxa" w:w="80"/>
            </w:tcMar>
          </w:tcPr>
          <w:p>
            <w:pPr>
              <w:pStyle w:val="ListParagraph"/>
              <w:numPr>
                <w:ilvl w:val="0"/>
                <w:numId w:val="2"/>
              </w:numPr>
              <w:spacing w:after="40" w:before="0" w:line="250" w:lineRule="auto"/>
            </w:pPr>
            <w:r>
              <w:rPr>
                <w:rFonts w:ascii="Arial" w:cs="Arial" w:eastAsia="Arial" w:hAnsi="Arial"/>
                <w:b w:val="false"/>
                <w:bCs w:val="false"/>
                <w:i w:val="false"/>
                <w:iCs w:val="false"/>
                <w:color w:val="0070C0"/>
                <w:sz w:val="18"/>
                <w:szCs w:val="18"/>
              </w:rPr>
              <w:t xml:space="preserve">No apportionment. A day either side of year end moves the </w:t>
            </w:r>
            <w:r>
              <w:rPr>
                <w:rFonts w:ascii="Arial" w:cs="Arial" w:eastAsia="Arial" w:hAnsi="Arial"/>
                <w:b/>
                <w:bCs/>
                <w:i w:val="false"/>
                <w:iCs w:val="false"/>
                <w:color w:val="0070C0"/>
                <w:sz w:val="18"/>
                <w:szCs w:val="18"/>
              </w:rPr>
              <w:t xml:space="preserve">whole</w:t>
            </w:r>
            <w:r>
              <w:rPr>
                <w:rFonts w:ascii="Arial" w:cs="Arial" w:eastAsia="Arial" w:hAnsi="Arial"/>
                <w:b w:val="false"/>
                <w:bCs w:val="false"/>
                <w:i w:val="false"/>
                <w:iCs w:val="false"/>
                <w:color w:val="0070C0"/>
                <w:sz w:val="18"/>
                <w:szCs w:val="18"/>
              </w:rPr>
              <w:t xml:space="preserve"> first-year allowance. Quantify it — it is a real recommendation you can make.</w:t>
            </w:r>
          </w:p>
          <w:p>
            <w:pPr>
              <w:pStyle w:val="ListParagraph"/>
              <w:numPr>
                <w:ilvl w:val="0"/>
                <w:numId w:val="2"/>
              </w:numPr>
              <w:spacing w:after="0" w:before="0" w:line="250" w:lineRule="auto"/>
            </w:pPr>
            <w:r>
              <w:rPr>
                <w:rFonts w:ascii="Arial" w:cs="Arial" w:eastAsia="Arial" w:hAnsi="Arial"/>
                <w:b w:val="false"/>
                <w:bCs w:val="false"/>
                <w:i w:val="false"/>
                <w:iCs w:val="false"/>
                <w:color w:val="0070C0"/>
                <w:sz w:val="18"/>
                <w:szCs w:val="18"/>
              </w:rPr>
              <w:t xml:space="preserve">If the grid connection delays commissioning, </w:t>
            </w:r>
            <w:r>
              <w:rPr>
                <w:rFonts w:ascii="Arial" w:cs="Arial" w:eastAsia="Arial" w:hAnsi="Arial"/>
                <w:b/>
                <w:bCs/>
                <w:i w:val="false"/>
                <w:iCs w:val="false"/>
                <w:color w:val="0070C0"/>
                <w:sz w:val="18"/>
                <w:szCs w:val="18"/>
              </w:rPr>
              <w:t xml:space="preserve">no allowance arises at all</w:t>
            </w:r>
            <w:r>
              <w:rPr>
                <w:rFonts w:ascii="Arial" w:cs="Arial" w:eastAsia="Arial" w:hAnsi="Arial"/>
                <w:b w:val="false"/>
                <w:bCs w:val="false"/>
                <w:i w:val="false"/>
                <w:iCs w:val="false"/>
                <w:color w:val="0070C0"/>
                <w:sz w:val="18"/>
                <w:szCs w:val="18"/>
              </w:rPr>
              <w:t xml:space="preserve"> until the asset is brought into use.</w:t>
            </w:r>
          </w:p>
        </w:tc>
      </w:tr>
      <w:tr>
        <w:tc>
          <w:tcPr>
            <w:tcW w:type="dxa" w:w="721"/>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4</w:t>
            </w:r>
          </w:p>
        </w:tc>
        <w:tc>
          <w:tcPr>
            <w:tcW w:type="dxa" w:w="4120"/>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0000"/>
                <w:sz w:val="18"/>
                <w:szCs w:val="18"/>
              </w:rPr>
              <w:t xml:space="preserve">Is the asset new and unused?</w:t>
            </w:r>
          </w:p>
        </w:tc>
        <w:tc>
          <w:tcPr>
            <w:tcW w:type="dxa" w:w="5459"/>
            <w:tcBorders>
              <w:top w:val="single" w:color="888888" w:sz="4"/>
              <w:left w:val="single" w:color="888888" w:sz="4"/>
              <w:bottom w:val="single" w:color="888888" w:sz="4"/>
              <w:right w:val="single" w:color="888888" w:sz="4"/>
            </w:tcBorders>
            <w:tcMar>
              <w:top w:type="dxa" w:w="60"/>
              <w:left w:type="dxa" w:w="80"/>
              <w:bottom w:type="dxa" w:w="60"/>
              <w:right w:type="dxa" w:w="80"/>
            </w:tcMar>
          </w:tcPr>
          <w:p>
            <w:pPr>
              <w:pStyle w:val="ListParagraph"/>
              <w:numPr>
                <w:ilvl w:val="0"/>
                <w:numId w:val="2"/>
              </w:numPr>
              <w:spacing w:after="40" w:before="0" w:line="250" w:lineRule="auto"/>
            </w:pPr>
            <w:r>
              <w:rPr>
                <w:rFonts w:ascii="Arial" w:cs="Arial" w:eastAsia="Arial" w:hAnsi="Arial"/>
                <w:b w:val="false"/>
                <w:bCs w:val="false"/>
                <w:i w:val="false"/>
                <w:iCs w:val="false"/>
                <w:color w:val="0070C0"/>
                <w:sz w:val="18"/>
                <w:szCs w:val="18"/>
              </w:rPr>
              <w:t xml:space="preserve">s12B does </w:t>
            </w:r>
            <w:r>
              <w:rPr>
                <w:rFonts w:ascii="Arial" w:cs="Arial" w:eastAsia="Arial" w:hAnsi="Arial"/>
                <w:b/>
                <w:bCs/>
                <w:i w:val="false"/>
                <w:iCs w:val="false"/>
                <w:color w:val="0070C0"/>
                <w:sz w:val="18"/>
                <w:szCs w:val="18"/>
              </w:rPr>
              <w:t xml:space="preserve">not</w:t>
            </w:r>
            <w:r>
              <w:rPr>
                <w:rFonts w:ascii="Arial" w:cs="Arial" w:eastAsia="Arial" w:hAnsi="Arial"/>
                <w:b w:val="false"/>
                <w:bCs w:val="false"/>
                <w:i w:val="false"/>
                <w:iCs w:val="false"/>
                <w:color w:val="0070C0"/>
                <w:sz w:val="18"/>
                <w:szCs w:val="18"/>
              </w:rPr>
              <w:t xml:space="preserve"> require this. Second-hand plant still qualifies.</w:t>
            </w:r>
          </w:p>
          <w:p>
            <w:pPr>
              <w:pStyle w:val="ListParagraph"/>
              <w:numPr>
                <w:ilvl w:val="0"/>
                <w:numId w:val="2"/>
              </w:numPr>
              <w:spacing w:after="0" w:before="0" w:line="250" w:lineRule="auto"/>
            </w:pPr>
            <w:r>
              <w:rPr>
                <w:rFonts w:ascii="Arial" w:cs="Arial" w:eastAsia="Arial" w:hAnsi="Arial"/>
                <w:b w:val="false"/>
                <w:bCs w:val="false"/>
                <w:i w:val="false"/>
                <w:iCs w:val="false"/>
                <w:color w:val="0070C0"/>
                <w:sz w:val="18"/>
                <w:szCs w:val="18"/>
              </w:rPr>
              <w:t xml:space="preserve">s12BA did require it — but s12BA has expired in any event.</w:t>
            </w:r>
          </w:p>
        </w:tc>
      </w:tr>
      <w:tr>
        <w:tc>
          <w:tcPr>
            <w:tcW w:type="dxa" w:w="721"/>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5</w:t>
            </w:r>
          </w:p>
        </w:tc>
        <w:tc>
          <w:tcPr>
            <w:tcW w:type="dxa" w:w="4120"/>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0000"/>
                <w:sz w:val="18"/>
                <w:szCs w:val="18"/>
              </w:rPr>
              <w:t xml:space="preserve">Does Axion have taxable income to absorb the deduction?</w:t>
            </w:r>
          </w:p>
        </w:tc>
        <w:tc>
          <w:tcPr>
            <w:tcW w:type="dxa" w:w="5459"/>
            <w:tcBorders>
              <w:top w:val="single" w:color="888888" w:sz="4"/>
              <w:left w:val="single" w:color="888888" w:sz="4"/>
              <w:bottom w:val="single" w:color="888888" w:sz="4"/>
              <w:right w:val="single" w:color="888888" w:sz="4"/>
            </w:tcBorders>
            <w:tcMar>
              <w:top w:type="dxa" w:w="60"/>
              <w:left w:type="dxa" w:w="80"/>
              <w:bottom w:type="dxa" w:w="60"/>
              <w:right w:type="dxa" w:w="80"/>
            </w:tcMar>
          </w:tcPr>
          <w:p>
            <w:pPr>
              <w:pStyle w:val="ListParagraph"/>
              <w:numPr>
                <w:ilvl w:val="0"/>
                <w:numId w:val="2"/>
              </w:numPr>
              <w:spacing w:after="0" w:before="0" w:line="250" w:lineRule="auto"/>
            </w:pPr>
            <w:r>
              <w:rPr>
                <w:rFonts w:ascii="Arial" w:cs="Arial" w:eastAsia="Arial" w:hAnsi="Arial"/>
                <w:b w:val="false"/>
                <w:bCs w:val="false"/>
                <w:i w:val="false"/>
                <w:iCs w:val="false"/>
                <w:color w:val="0070C0"/>
                <w:sz w:val="18"/>
                <w:szCs w:val="18"/>
              </w:rPr>
              <w:t xml:space="preserve">FY2026 profit before tax was R325m, so on the face of it yes. But a large first-year allowance can create an assessed loss — then s20 limits the carry-forward. Go to Table 17.</w:t>
            </w:r>
          </w:p>
        </w:tc>
      </w:tr>
    </w:tbl>
    <w:p>
      <w:pPr>
        <w:keepNext w:val="false"/>
        <w:spacing w:after="0" w:before="0" w:line="250" w:lineRule="auto"/>
      </w:pPr>
      <w:r>
        <w:rPr>
          <w:rFonts w:ascii="Arial" w:cs="Arial" w:eastAsia="Arial" w:hAnsi="Arial"/>
          <w:sz w:val="12"/>
          <w:szCs w:val="12"/>
        </w:rPr>
        <w:t xml:space="preserve"/>
      </w:r>
    </w:p>
    <w:p>
      <w:pPr>
        <w:keepNext/>
        <w:pBdr>
          <w:bottom w:val="single" w:color="000000" w:sz="8" w:space="2"/>
        </w:pBdr>
        <w:spacing w:after="110" w:before="260" w:line="250" w:lineRule="auto"/>
      </w:pPr>
      <w:r>
        <w:rPr>
          <w:rFonts w:ascii="Arial" w:cs="Arial" w:eastAsia="Arial" w:hAnsi="Arial"/>
          <w:b/>
          <w:bCs/>
          <w:i w:val="false"/>
          <w:iCs w:val="false"/>
          <w:color w:val="000000"/>
          <w:sz w:val="26"/>
          <w:szCs w:val="26"/>
        </w:rPr>
        <w:t xml:space="preserve">Assumed facts used throughout this document</w:t>
      </w:r>
    </w:p>
    <w:tbl>
      <w:tblPr>
        <w:tblW w:type="dxa" w:w="10300"/>
        <w:tblBorders>
          <w:top w:val="single" w:color="auto" w:sz="4"/>
          <w:left w:val="single" w:color="auto" w:sz="4"/>
          <w:bottom w:val="single" w:color="auto" w:sz="4"/>
          <w:right w:val="single" w:color="auto" w:sz="4"/>
          <w:insideH w:val="single" w:color="auto" w:sz="4"/>
          <w:insideV w:val="single" w:color="auto" w:sz="4"/>
        </w:tblBorders>
      </w:tblPr>
      <w:tblGrid>
        <w:gridCol w:w="10300"/>
      </w:tblGrid>
      <w:tr>
        <w:tc>
          <w:tcPr>
            <w:tcW w:type="dxa" w:w="10300"/>
            <w:tcBorders>
              <w:top w:val="single" w:color="888888" w:sz="4" w:space="6"/>
              <w:left w:val="single" w:color="888888" w:sz="4" w:space="6"/>
              <w:bottom w:val="single" w:color="888888" w:sz="4" w:space="6"/>
              <w:right w:val="single" w:color="888888" w:sz="4" w:space="6"/>
            </w:tcBorders>
            <w:tcMar>
              <w:top w:type="dxa" w:w="110"/>
              <w:left w:type="dxa" w:w="130"/>
              <w:bottom w:type="dxa" w:w="110"/>
              <w:right w:type="dxa" w:w="130"/>
            </w:tcMar>
          </w:tcPr>
          <w:p>
            <w:pPr>
              <w:keepNext w:val="false"/>
              <w:spacing w:after="60" w:before="0" w:line="250" w:lineRule="auto"/>
            </w:pPr>
            <w:r>
              <w:rPr>
                <w:rFonts w:ascii="Arial" w:cs="Arial" w:eastAsia="Arial" w:hAnsi="Arial"/>
                <w:b/>
                <w:bCs/>
                <w:i w:val="false"/>
                <w:iCs w:val="false"/>
                <w:color w:val="000000"/>
                <w:sz w:val="18"/>
                <w:szCs w:val="18"/>
              </w:rPr>
              <w:t xml:space="preserve">These numbers are invented.</w:t>
            </w:r>
            <w:r>
              <w:rPr>
                <w:rFonts w:ascii="Arial" w:cs="Arial" w:eastAsia="Arial" w:hAnsi="Arial"/>
                <w:b w:val="false"/>
                <w:bCs w:val="false"/>
                <w:i w:val="false"/>
                <w:iCs w:val="false"/>
                <w:color w:val="000000"/>
                <w:sz w:val="18"/>
                <w:szCs w:val="18"/>
              </w:rPr>
              <w:t xml:space="preserve"> The pre-release gives no capacity, no cost and no structure for any renewable option. They are here so that every worked example below connects to the same facts and you can replace one figure on the day.</w:t>
            </w:r>
          </w:p>
          <w:p>
            <w:pPr>
              <w:keepNext w:val="false"/>
              <w:spacing w:after="60" w:before="0" w:line="250" w:lineRule="auto"/>
            </w:pPr>
            <w:r>
              <w:rPr>
                <w:rFonts w:ascii="Arial" w:cs="Arial" w:eastAsia="Arial" w:hAnsi="Arial"/>
                <w:b/>
                <w:bCs/>
                <w:i w:val="false"/>
                <w:iCs w:val="false"/>
                <w:color w:val="000000"/>
                <w:sz w:val="18"/>
                <w:szCs w:val="18"/>
              </w:rPr>
              <w:t xml:space="preserve">Project X — the new investment.</w:t>
            </w:r>
            <w:r>
              <w:rPr>
                <w:rFonts w:ascii="Arial" w:cs="Arial" w:eastAsia="Arial" w:hAnsi="Arial"/>
                <w:b w:val="false"/>
                <w:bCs w:val="false"/>
                <w:i w:val="false"/>
                <w:iCs w:val="false"/>
                <w:color w:val="000000"/>
                <w:sz w:val="18"/>
                <w:szCs w:val="18"/>
              </w:rPr>
              <w:t xml:space="preserve"> Off-site solar PV, 30MW. Plant and machinery R450m. Site roads and perimeter fencing R25m. Grid connection and transmission line R60m. Land R15m. Brought into use 1 May 2027, i.e. in </w:t>
            </w:r>
            <w:r>
              <w:rPr>
                <w:rFonts w:ascii="Arial" w:cs="Arial" w:eastAsia="Arial" w:hAnsi="Arial"/>
                <w:b/>
                <w:bCs/>
                <w:i w:val="false"/>
                <w:iCs w:val="false"/>
                <w:color w:val="000000"/>
                <w:sz w:val="18"/>
                <w:szCs w:val="18"/>
              </w:rPr>
              <w:t xml:space="preserve">FY2027</w:t>
            </w:r>
            <w:r>
              <w:rPr>
                <w:rFonts w:ascii="Arial" w:cs="Arial" w:eastAsia="Arial" w:hAnsi="Arial"/>
                <w:b w:val="false"/>
                <w:bCs w:val="false"/>
                <w:i w:val="false"/>
                <w:iCs w:val="false"/>
                <w:color w:val="000000"/>
                <w:sz w:val="18"/>
                <w:szCs w:val="18"/>
              </w:rPr>
              <w:t xml:space="preserve"> (year ending 30 June 2027). Axion taxable income before the project, FY2027: R350m.</w:t>
            </w:r>
          </w:p>
          <w:p>
            <w:pPr>
              <w:keepNext w:val="false"/>
              <w:spacing w:after="0" w:before="0" w:line="250" w:lineRule="auto"/>
            </w:pPr>
            <w:r>
              <w:rPr>
                <w:rFonts w:ascii="Arial" w:cs="Arial" w:eastAsia="Arial" w:hAnsi="Arial"/>
                <w:b/>
                <w:bCs/>
                <w:i w:val="false"/>
                <w:iCs w:val="false"/>
                <w:color w:val="000000"/>
                <w:sz w:val="18"/>
                <w:szCs w:val="18"/>
              </w:rPr>
              <w:t xml:space="preserve">Asset Y — the existing on-site solar.</w:t>
            </w:r>
            <w:r>
              <w:rPr>
                <w:rFonts w:ascii="Arial" w:cs="Arial" w:eastAsia="Arial" w:hAnsi="Arial"/>
                <w:b w:val="false"/>
                <w:bCs w:val="false"/>
                <w:i w:val="false"/>
                <w:iCs w:val="false"/>
                <w:color w:val="000000"/>
                <w:sz w:val="18"/>
                <w:szCs w:val="18"/>
              </w:rPr>
              <w:t xml:space="preserve"> 800kW rooftop PV at Johannesburg 1, new and unused, cost R18m, brought into use 1 October 2024.</w:t>
            </w:r>
          </w:p>
        </w:tc>
      </w:tr>
    </w:tbl>
    <w:p>
      <w:pPr>
        <w:keepNext w:val="false"/>
        <w:spacing w:after="0" w:before="0" w:line="250" w:lineRule="auto"/>
      </w:pPr>
      <w:r>
        <w:rPr>
          <w:rFonts w:ascii="Arial" w:cs="Arial" w:eastAsia="Arial" w:hAnsi="Arial"/>
          <w:sz w:val="10"/>
          <w:szCs w:val="10"/>
        </w:rPr>
        <w:t xml:space="preserve"/>
      </w:r>
    </w:p>
    <w:p>
      <w:pPr>
        <w:keepNext/>
        <w:pageBreakBefore/>
        <w:pBdr>
          <w:bottom w:val="single" w:color="000000" w:sz="8" w:space="2"/>
        </w:pBdr>
        <w:spacing w:after="110" w:before="0" w:line="250" w:lineRule="auto"/>
      </w:pPr>
      <w:r>
        <w:rPr>
          <w:rFonts w:ascii="Arial" w:cs="Arial" w:eastAsia="Arial" w:hAnsi="Arial"/>
          <w:b/>
          <w:bCs/>
          <w:i w:val="false"/>
          <w:iCs w:val="false"/>
          <w:color w:val="000000"/>
          <w:sz w:val="26"/>
          <w:szCs w:val="26"/>
        </w:rPr>
        <w:t xml:space="preserve">A. The renewable-specific allowances</w:t>
      </w:r>
    </w:p>
    <w:p>
      <w:pPr>
        <w:keepNext/>
        <w:spacing w:after="70" w:before="200" w:line="250" w:lineRule="auto"/>
      </w:pPr>
      <w:r>
        <w:rPr>
          <w:rFonts w:ascii="Arial" w:cs="Arial" w:eastAsia="Arial" w:hAnsi="Arial"/>
          <w:b/>
          <w:bCs/>
          <w:i w:val="false"/>
          <w:iCs w:val="false"/>
          <w:color w:val="000000"/>
          <w:sz w:val="22"/>
          <w:szCs w:val="22"/>
        </w:rPr>
        <w:t xml:space="preserve">Table 1 — Section 12B: renewable energy plant</w:t>
      </w:r>
    </w:p>
    <w:tbl>
      <w:tblPr>
        <w:tblW w:type="dxa" w:w="10300"/>
        <w:tblBorders>
          <w:top w:val="single" w:color="auto" w:sz="4"/>
          <w:left w:val="single" w:color="auto" w:sz="4"/>
          <w:bottom w:val="single" w:color="auto" w:sz="4"/>
          <w:right w:val="single" w:color="auto" w:sz="4"/>
          <w:insideH w:val="single" w:color="auto" w:sz="4"/>
          <w:insideV w:val="single" w:color="auto" w:sz="4"/>
        </w:tblBorders>
      </w:tblPr>
      <w:tblGrid>
        <w:gridCol w:w="4326"/>
        <w:gridCol w:w="5974"/>
      </w:tblGrid>
      <w:tr>
        <w:trPr>
          <w:tblHeader/>
        </w:trPr>
        <w:tc>
          <w:tcPr>
            <w:tcW w:type="dxa" w:w="4326"/>
            <w:tcBorders>
              <w:top w:val="single" w:color="888888" w:sz="4"/>
              <w:left w:val="single" w:color="888888" w:sz="4"/>
              <w:bottom w:val="single" w:color="888888" w:sz="4"/>
              <w:right w:val="single" w:color="888888" w:sz="4"/>
            </w:tcBorders>
            <w:shd w:fill="E8E8E8" w:val="clear"/>
            <w:tcMar>
              <w:top w:type="dxa" w:w="60"/>
              <w:left w:type="dxa" w:w="80"/>
              <w:bottom w:type="dxa" w:w="60"/>
              <w:right w:type="dxa" w:w="80"/>
            </w:tcMar>
            <w:vAlign w:val="center"/>
          </w:tcPr>
          <w:p>
            <w:pPr>
              <w:keepNext w:val="false"/>
              <w:spacing w:after="0" w:before="0" w:line="250" w:lineRule="auto"/>
            </w:pPr>
            <w:r>
              <w:rPr>
                <w:rFonts w:ascii="Arial" w:cs="Arial" w:eastAsia="Arial" w:hAnsi="Arial"/>
                <w:b/>
                <w:bCs/>
                <w:i w:val="false"/>
                <w:iCs w:val="false"/>
                <w:color w:val="000000"/>
                <w:sz w:val="18"/>
                <w:szCs w:val="18"/>
              </w:rPr>
              <w:t xml:space="preserve">Legislation — what the Act says</w:t>
            </w:r>
          </w:p>
        </w:tc>
        <w:tc>
          <w:tcPr>
            <w:tcW w:type="dxa" w:w="5974"/>
            <w:tcBorders>
              <w:top w:val="single" w:color="888888" w:sz="4"/>
              <w:left w:val="single" w:color="888888" w:sz="4"/>
              <w:bottom w:val="single" w:color="888888" w:sz="4"/>
              <w:right w:val="single" w:color="888888" w:sz="4"/>
            </w:tcBorders>
            <w:shd w:fill="E8E8E8" w:val="clear"/>
            <w:tcMar>
              <w:top w:type="dxa" w:w="60"/>
              <w:left w:type="dxa" w:w="80"/>
              <w:bottom w:type="dxa" w:w="60"/>
              <w:right w:type="dxa" w:w="80"/>
            </w:tcMar>
            <w:vAlign w:val="center"/>
          </w:tcPr>
          <w:p>
            <w:pPr>
              <w:keepNext w:val="false"/>
              <w:spacing w:after="0" w:before="0" w:line="250" w:lineRule="auto"/>
            </w:pPr>
            <w:r>
              <w:rPr>
                <w:rFonts w:ascii="Arial" w:cs="Arial" w:eastAsia="Arial" w:hAnsi="Arial"/>
                <w:b/>
                <w:bCs/>
                <w:i w:val="false"/>
                <w:iCs w:val="false"/>
                <w:color w:val="000000"/>
                <w:sz w:val="18"/>
                <w:szCs w:val="18"/>
              </w:rPr>
              <w:t xml:space="preserve">Application to Axion — tax consequences</w:t>
            </w:r>
          </w:p>
        </w:tc>
      </w:tr>
      <w:tr>
        <w:tc>
          <w:tcPr>
            <w:tcW w:type="dxa" w:w="4326"/>
            <w:tcBorders>
              <w:top w:val="single" w:color="888888" w:sz="4"/>
              <w:left w:val="single" w:color="888888" w:sz="4"/>
              <w:bottom w:val="single" w:color="888888" w:sz="4"/>
              <w:right w:val="single" w:color="888888" w:sz="4"/>
            </w:tcBorders>
            <w:tcMar>
              <w:top w:type="dxa" w:w="60"/>
              <w:left w:type="dxa" w:w="80"/>
              <w:bottom w:type="dxa" w:w="60"/>
              <w:right w:type="dxa" w:w="80"/>
            </w:tcMar>
          </w:tcPr>
          <w:p>
            <w:pPr>
              <w:pStyle w:val="ListParagraph"/>
              <w:numPr>
                <w:ilvl w:val="0"/>
                <w:numId w:val="2"/>
              </w:numPr>
              <w:spacing w:after="40" w:before="0" w:line="250" w:lineRule="auto"/>
            </w:pPr>
            <w:r>
              <w:rPr>
                <w:rFonts w:ascii="Arial" w:cs="Arial" w:eastAsia="Arial" w:hAnsi="Arial"/>
                <w:b/>
                <w:bCs/>
                <w:i w:val="false"/>
                <w:iCs w:val="false"/>
                <w:color w:val="000000"/>
                <w:sz w:val="18"/>
                <w:szCs w:val="18"/>
              </w:rPr>
              <w:t xml:space="preserve">s12B(1)(h).</w:t>
            </w:r>
            <w:r>
              <w:rPr>
                <w:rFonts w:ascii="Arial" w:cs="Arial" w:eastAsia="Arial" w:hAnsi="Arial"/>
                <w:b w:val="false"/>
                <w:bCs w:val="false"/>
                <w:i w:val="false"/>
                <w:iCs w:val="false"/>
                <w:color w:val="000000"/>
                <w:sz w:val="18"/>
                <w:szCs w:val="18"/>
              </w:rPr>
              <w:t xml:space="preserve"> Deduction for </w:t>
            </w:r>
            <w:r>
              <w:rPr>
                <w:rFonts w:ascii="Arial" w:cs="Arial" w:eastAsia="Arial" w:hAnsi="Arial"/>
                <w:b/>
                <w:bCs/>
                <w:i w:val="false"/>
                <w:iCs w:val="false"/>
                <w:color w:val="000000"/>
                <w:sz w:val="18"/>
                <w:szCs w:val="18"/>
              </w:rPr>
              <w:t xml:space="preserve">machinery, plant, implement, utensil or article</w:t>
            </w:r>
            <w:r>
              <w:rPr>
                <w:rFonts w:ascii="Arial" w:cs="Arial" w:eastAsia="Arial" w:hAnsi="Arial"/>
                <w:b w:val="false"/>
                <w:bCs w:val="false"/>
                <w:i w:val="false"/>
                <w:iCs w:val="false"/>
                <w:color w:val="000000"/>
                <w:sz w:val="18"/>
                <w:szCs w:val="18"/>
              </w:rPr>
              <w:t xml:space="preserve"> which is:</w:t>
            </w:r>
          </w:p>
          <w:p>
            <w:pPr>
              <w:pStyle w:val="ListParagraph"/>
              <w:numPr>
                <w:ilvl w:val="0"/>
                <w:numId w:val="2"/>
              </w:numPr>
              <w:spacing w:after="40" w:before="0" w:line="250" w:lineRule="auto"/>
            </w:pPr>
            <w:r>
              <w:rPr>
                <w:rFonts w:ascii="Arial" w:cs="Arial" w:eastAsia="Arial" w:hAnsi="Arial"/>
                <w:b w:val="false"/>
                <w:bCs w:val="false"/>
                <w:i w:val="false"/>
                <w:iCs w:val="false"/>
                <w:color w:val="000000"/>
                <w:sz w:val="18"/>
                <w:szCs w:val="18"/>
              </w:rPr>
              <w:t xml:space="preserve">— </w:t>
            </w:r>
            <w:r>
              <w:rPr>
                <w:rFonts w:ascii="Arial" w:cs="Arial" w:eastAsia="Arial" w:hAnsi="Arial"/>
                <w:b/>
                <w:bCs/>
                <w:i w:val="false"/>
                <w:iCs w:val="false"/>
                <w:color w:val="000000"/>
                <w:sz w:val="18"/>
                <w:szCs w:val="18"/>
              </w:rPr>
              <w:t xml:space="preserve">owned</w:t>
            </w:r>
            <w:r>
              <w:rPr>
                <w:rFonts w:ascii="Arial" w:cs="Arial" w:eastAsia="Arial" w:hAnsi="Arial"/>
                <w:b w:val="false"/>
                <w:bCs w:val="false"/>
                <w:i w:val="false"/>
                <w:iCs w:val="false"/>
                <w:color w:val="000000"/>
                <w:sz w:val="18"/>
                <w:szCs w:val="18"/>
              </w:rPr>
              <w:t xml:space="preserve"> by the taxpayer, or acquired as purchaser under an </w:t>
            </w:r>
            <w:r>
              <w:rPr>
                <w:rFonts w:ascii="Arial" w:cs="Arial" w:eastAsia="Arial" w:hAnsi="Arial"/>
                <w:b/>
                <w:bCs/>
                <w:i w:val="false"/>
                <w:iCs w:val="false"/>
                <w:color w:val="000000"/>
                <w:sz w:val="18"/>
                <w:szCs w:val="18"/>
              </w:rPr>
              <w:t xml:space="preserve">instalment credit agreement</w:t>
            </w:r>
            <w:r>
              <w:rPr>
                <w:rFonts w:ascii="Arial" w:cs="Arial" w:eastAsia="Arial" w:hAnsi="Arial"/>
                <w:b w:val="false"/>
                <w:bCs w:val="false"/>
                <w:i w:val="false"/>
                <w:iCs w:val="false"/>
                <w:color w:val="000000"/>
                <w:sz w:val="18"/>
                <w:szCs w:val="18"/>
              </w:rPr>
              <w:t xml:space="preserve">;</w:t>
            </w:r>
          </w:p>
          <w:p>
            <w:pPr>
              <w:pStyle w:val="ListParagraph"/>
              <w:numPr>
                <w:ilvl w:val="0"/>
                <w:numId w:val="2"/>
              </w:numPr>
              <w:spacing w:after="40" w:before="0" w:line="250" w:lineRule="auto"/>
            </w:pPr>
            <w:r>
              <w:rPr>
                <w:rFonts w:ascii="Arial" w:cs="Arial" w:eastAsia="Arial" w:hAnsi="Arial"/>
                <w:b w:val="false"/>
                <w:bCs w:val="false"/>
                <w:i w:val="false"/>
                <w:iCs w:val="false"/>
                <w:color w:val="000000"/>
                <w:sz w:val="18"/>
                <w:szCs w:val="18"/>
              </w:rPr>
              <w:t xml:space="preserve">— </w:t>
            </w:r>
            <w:r>
              <w:rPr>
                <w:rFonts w:ascii="Arial" w:cs="Arial" w:eastAsia="Arial" w:hAnsi="Arial"/>
                <w:b/>
                <w:bCs/>
                <w:i w:val="false"/>
                <w:iCs w:val="false"/>
                <w:color w:val="000000"/>
                <w:sz w:val="18"/>
                <w:szCs w:val="18"/>
              </w:rPr>
              <w:t xml:space="preserve">brought into use for the first time</w:t>
            </w:r>
            <w:r>
              <w:rPr>
                <w:rFonts w:ascii="Arial" w:cs="Arial" w:eastAsia="Arial" w:hAnsi="Arial"/>
                <w:b w:val="false"/>
                <w:bCs w:val="false"/>
                <w:i w:val="false"/>
                <w:iCs w:val="false"/>
                <w:color w:val="000000"/>
                <w:sz w:val="18"/>
                <w:szCs w:val="18"/>
              </w:rPr>
              <w:t xml:space="preserve"> by that taxpayer;</w:t>
            </w:r>
          </w:p>
          <w:p>
            <w:pPr>
              <w:pStyle w:val="ListParagraph"/>
              <w:numPr>
                <w:ilvl w:val="0"/>
                <w:numId w:val="2"/>
              </w:numPr>
              <w:spacing w:after="40" w:before="0" w:line="250" w:lineRule="auto"/>
            </w:pPr>
            <w:r>
              <w:rPr>
                <w:rFonts w:ascii="Arial" w:cs="Arial" w:eastAsia="Arial" w:hAnsi="Arial"/>
                <w:b w:val="false"/>
                <w:bCs w:val="false"/>
                <w:i w:val="false"/>
                <w:iCs w:val="false"/>
                <w:color w:val="000000"/>
                <w:sz w:val="18"/>
                <w:szCs w:val="18"/>
              </w:rPr>
              <w:t xml:space="preserve">— for the purposes of that taxpayer’s </w:t>
            </w:r>
            <w:r>
              <w:rPr>
                <w:rFonts w:ascii="Arial" w:cs="Arial" w:eastAsia="Arial" w:hAnsi="Arial"/>
                <w:b/>
                <w:bCs/>
                <w:i w:val="false"/>
                <w:iCs w:val="false"/>
                <w:color w:val="000000"/>
                <w:sz w:val="18"/>
                <w:szCs w:val="18"/>
              </w:rPr>
              <w:t xml:space="preserve">trade</w:t>
            </w:r>
            <w:r>
              <w:rPr>
                <w:rFonts w:ascii="Arial" w:cs="Arial" w:eastAsia="Arial" w:hAnsi="Arial"/>
                <w:b w:val="false"/>
                <w:bCs w:val="false"/>
                <w:i w:val="false"/>
                <w:iCs w:val="false"/>
                <w:color w:val="000000"/>
                <w:sz w:val="18"/>
                <w:szCs w:val="18"/>
              </w:rPr>
              <w:t xml:space="preserve">;</w:t>
            </w:r>
          </w:p>
          <w:p>
            <w:pPr>
              <w:pStyle w:val="ListParagraph"/>
              <w:numPr>
                <w:ilvl w:val="0"/>
                <w:numId w:val="2"/>
              </w:numPr>
              <w:spacing w:after="40" w:before="0" w:line="250" w:lineRule="auto"/>
            </w:pPr>
            <w:r>
              <w:rPr>
                <w:rFonts w:ascii="Arial" w:cs="Arial" w:eastAsia="Arial" w:hAnsi="Arial"/>
                <w:b w:val="false"/>
                <w:bCs w:val="false"/>
                <w:i w:val="false"/>
                <w:iCs w:val="false"/>
                <w:color w:val="000000"/>
                <w:sz w:val="18"/>
                <w:szCs w:val="18"/>
              </w:rPr>
              <w:t xml:space="preserve">— used by that taxpayer in the </w:t>
            </w:r>
            <w:r>
              <w:rPr>
                <w:rFonts w:ascii="Arial" w:cs="Arial" w:eastAsia="Arial" w:hAnsi="Arial"/>
                <w:b/>
                <w:bCs/>
                <w:i w:val="false"/>
                <w:iCs w:val="false"/>
                <w:color w:val="000000"/>
                <w:sz w:val="18"/>
                <w:szCs w:val="18"/>
              </w:rPr>
              <w:t xml:space="preserve">generation of electricity</w:t>
            </w:r>
            <w:r>
              <w:rPr>
                <w:rFonts w:ascii="Arial" w:cs="Arial" w:eastAsia="Arial" w:hAnsi="Arial"/>
                <w:b w:val="false"/>
                <w:bCs w:val="false"/>
                <w:i w:val="false"/>
                <w:iCs w:val="false"/>
                <w:color w:val="000000"/>
                <w:sz w:val="18"/>
                <w:szCs w:val="18"/>
              </w:rPr>
              <w:t xml:space="preserve"> from a specified renewable source.</w:t>
            </w:r>
          </w:p>
          <w:p>
            <w:pPr>
              <w:pStyle w:val="ListParagraph"/>
              <w:numPr>
                <w:ilvl w:val="0"/>
                <w:numId w:val="2"/>
              </w:numPr>
              <w:spacing w:after="40" w:before="0" w:line="250" w:lineRule="auto"/>
            </w:pPr>
            <w:r>
              <w:rPr>
                <w:rFonts w:ascii="Arial" w:cs="Arial" w:eastAsia="Arial" w:hAnsi="Arial"/>
                <w:b/>
                <w:bCs/>
                <w:i w:val="false"/>
                <w:iCs w:val="false"/>
                <w:color w:val="000000"/>
                <w:sz w:val="18"/>
                <w:szCs w:val="18"/>
              </w:rPr>
              <w:t xml:space="preserve">Specified sources:</w:t>
            </w:r>
            <w:r>
              <w:rPr>
                <w:rFonts w:ascii="Arial" w:cs="Arial" w:eastAsia="Arial" w:hAnsi="Arial"/>
                <w:b w:val="false"/>
                <w:bCs w:val="false"/>
                <w:i w:val="false"/>
                <w:iCs w:val="false"/>
                <w:color w:val="000000"/>
                <w:sz w:val="18"/>
                <w:szCs w:val="18"/>
              </w:rPr>
              <w:t xml:space="preserve"> wind; photovoltaic solar; concentrated solar; hydropower </w:t>
            </w:r>
            <w:r>
              <w:rPr>
                <w:rFonts w:ascii="Arial" w:cs="Arial" w:eastAsia="Arial" w:hAnsi="Arial"/>
                <w:b/>
                <w:bCs/>
                <w:i w:val="false"/>
                <w:iCs w:val="false"/>
                <w:color w:val="000000"/>
                <w:sz w:val="18"/>
                <w:szCs w:val="18"/>
              </w:rPr>
              <w:t xml:space="preserve">not exceeding 30MW</w:t>
            </w:r>
            <w:r>
              <w:rPr>
                <w:rFonts w:ascii="Arial" w:cs="Arial" w:eastAsia="Arial" w:hAnsi="Arial"/>
                <w:b w:val="false"/>
                <w:bCs w:val="false"/>
                <w:i w:val="false"/>
                <w:iCs w:val="false"/>
                <w:color w:val="000000"/>
                <w:sz w:val="18"/>
                <w:szCs w:val="18"/>
              </w:rPr>
              <w:t xml:space="preserve">; biomass (organic wastes, landfill gas, plant material).</w:t>
            </w:r>
          </w:p>
          <w:p>
            <w:pPr>
              <w:pStyle w:val="ListParagraph"/>
              <w:numPr>
                <w:ilvl w:val="0"/>
                <w:numId w:val="2"/>
              </w:numPr>
              <w:spacing w:after="40" w:before="0" w:line="250" w:lineRule="auto"/>
            </w:pPr>
            <w:r>
              <w:rPr>
                <w:rFonts w:ascii="Arial" w:cs="Arial" w:eastAsia="Arial" w:hAnsi="Arial"/>
                <w:b/>
                <w:bCs/>
                <w:i w:val="false"/>
                <w:iCs w:val="false"/>
                <w:color w:val="000000"/>
                <w:sz w:val="18"/>
                <w:szCs w:val="18"/>
              </w:rPr>
              <w:t xml:space="preserve">Rate — 50 / 30 / 20</w:t>
            </w:r>
            <w:r>
              <w:rPr>
                <w:rFonts w:ascii="Arial" w:cs="Arial" w:eastAsia="Arial" w:hAnsi="Arial"/>
                <w:b w:val="false"/>
                <w:bCs w:val="false"/>
                <w:i w:val="false"/>
                <w:iCs w:val="false"/>
                <w:color w:val="000000"/>
                <w:sz w:val="18"/>
                <w:szCs w:val="18"/>
              </w:rPr>
              <w:t xml:space="preserve"> over three years, for all wind, PV solar </w:t>
            </w:r>
            <w:r>
              <w:rPr>
                <w:rFonts w:ascii="Arial" w:cs="Arial" w:eastAsia="Arial" w:hAnsi="Arial"/>
                <w:b/>
                <w:bCs/>
                <w:i w:val="false"/>
                <w:iCs w:val="false"/>
                <w:color w:val="000000"/>
                <w:sz w:val="18"/>
                <w:szCs w:val="18"/>
              </w:rPr>
              <w:t xml:space="preserve">above 1MW</w:t>
            </w:r>
            <w:r>
              <w:rPr>
                <w:rFonts w:ascii="Arial" w:cs="Arial" w:eastAsia="Arial" w:hAnsi="Arial"/>
                <w:b w:val="false"/>
                <w:bCs w:val="false"/>
                <w:i w:val="false"/>
                <w:iCs w:val="false"/>
                <w:color w:val="000000"/>
                <w:sz w:val="18"/>
                <w:szCs w:val="18"/>
              </w:rPr>
              <w:t xml:space="preserve">, concentrated solar, hydro ≤ 30MW and biomass.</w:t>
            </w:r>
          </w:p>
          <w:p>
            <w:pPr>
              <w:pStyle w:val="ListParagraph"/>
              <w:numPr>
                <w:ilvl w:val="0"/>
                <w:numId w:val="2"/>
              </w:numPr>
              <w:spacing w:after="40" w:before="0" w:line="250" w:lineRule="auto"/>
            </w:pPr>
            <w:r>
              <w:rPr>
                <w:rFonts w:ascii="Arial" w:cs="Arial" w:eastAsia="Arial" w:hAnsi="Arial"/>
                <w:b/>
                <w:bCs/>
                <w:i w:val="false"/>
                <w:iCs w:val="false"/>
                <w:color w:val="000000"/>
                <w:sz w:val="18"/>
                <w:szCs w:val="18"/>
              </w:rPr>
              <w:t xml:space="preserve">Rate — 100%</w:t>
            </w:r>
            <w:r>
              <w:rPr>
                <w:rFonts w:ascii="Arial" w:cs="Arial" w:eastAsia="Arial" w:hAnsi="Arial"/>
                <w:b w:val="false"/>
                <w:bCs w:val="false"/>
                <w:i w:val="false"/>
                <w:iCs w:val="false"/>
                <w:color w:val="000000"/>
                <w:sz w:val="18"/>
                <w:szCs w:val="18"/>
              </w:rPr>
              <w:t xml:space="preserve"> in year one for PV solar </w:t>
            </w:r>
            <w:r>
              <w:rPr>
                <w:rFonts w:ascii="Arial" w:cs="Arial" w:eastAsia="Arial" w:hAnsi="Arial"/>
                <w:b/>
                <w:bCs/>
                <w:i w:val="false"/>
                <w:iCs w:val="false"/>
                <w:color w:val="000000"/>
                <w:sz w:val="18"/>
                <w:szCs w:val="18"/>
              </w:rPr>
              <w:t xml:space="preserve">not exceeding 1MW</w:t>
            </w:r>
            <w:r>
              <w:rPr>
                <w:rFonts w:ascii="Arial" w:cs="Arial" w:eastAsia="Arial" w:hAnsi="Arial"/>
                <w:b w:val="false"/>
                <w:bCs w:val="false"/>
                <w:i w:val="false"/>
                <w:iCs w:val="false"/>
                <w:color w:val="000000"/>
                <w:sz w:val="18"/>
                <w:szCs w:val="18"/>
              </w:rPr>
              <w:t xml:space="preserve">.</w:t>
            </w:r>
          </w:p>
          <w:p>
            <w:pPr>
              <w:pStyle w:val="ListParagraph"/>
              <w:numPr>
                <w:ilvl w:val="0"/>
                <w:numId w:val="2"/>
              </w:numPr>
              <w:spacing w:after="40" w:before="0" w:line="250" w:lineRule="auto"/>
            </w:pPr>
            <w:r>
              <w:rPr>
                <w:rFonts w:ascii="Arial" w:cs="Arial" w:eastAsia="Arial" w:hAnsi="Arial"/>
                <w:b/>
                <w:bCs/>
                <w:i w:val="false"/>
                <w:iCs w:val="false"/>
                <w:color w:val="000000"/>
                <w:sz w:val="18"/>
                <w:szCs w:val="18"/>
              </w:rPr>
              <w:t xml:space="preserve">Not apportioned</w:t>
            </w:r>
            <w:r>
              <w:rPr>
                <w:rFonts w:ascii="Arial" w:cs="Arial" w:eastAsia="Arial" w:hAnsi="Arial"/>
                <w:b w:val="false"/>
                <w:bCs w:val="false"/>
                <w:i w:val="false"/>
                <w:iCs w:val="false"/>
                <w:color w:val="000000"/>
                <w:sz w:val="18"/>
                <w:szCs w:val="18"/>
              </w:rPr>
              <w:t xml:space="preserve"> for part of a year. Brought into use on the last day of the year = full first-year percentage.</w:t>
            </w:r>
          </w:p>
          <w:p>
            <w:pPr>
              <w:pStyle w:val="ListParagraph"/>
              <w:numPr>
                <w:ilvl w:val="0"/>
                <w:numId w:val="2"/>
              </w:numPr>
              <w:spacing w:after="40" w:before="0" w:line="250" w:lineRule="auto"/>
            </w:pPr>
            <w:r>
              <w:rPr>
                <w:rFonts w:ascii="Arial" w:cs="Arial" w:eastAsia="Arial" w:hAnsi="Arial"/>
                <w:b/>
                <w:bCs/>
                <w:i w:val="false"/>
                <w:iCs w:val="false"/>
                <w:color w:val="000000"/>
                <w:sz w:val="18"/>
                <w:szCs w:val="18"/>
              </w:rPr>
              <w:t xml:space="preserve">Cost base:</w:t>
            </w:r>
            <w:r>
              <w:rPr>
                <w:rFonts w:ascii="Arial" w:cs="Arial" w:eastAsia="Arial" w:hAnsi="Arial"/>
                <w:b w:val="false"/>
                <w:bCs w:val="false"/>
                <w:i w:val="false"/>
                <w:iCs w:val="false"/>
                <w:color w:val="000000"/>
                <w:sz w:val="18"/>
                <w:szCs w:val="18"/>
              </w:rPr>
              <w:t xml:space="preserve"> direct cost of acquisition, </w:t>
            </w:r>
            <w:r>
              <w:rPr>
                <w:rFonts w:ascii="Arial" w:cs="Arial" w:eastAsia="Arial" w:hAnsi="Arial"/>
                <w:b/>
                <w:bCs/>
                <w:i w:val="false"/>
                <w:iCs w:val="false"/>
                <w:color w:val="000000"/>
                <w:sz w:val="18"/>
                <w:szCs w:val="18"/>
              </w:rPr>
              <w:t xml:space="preserve">plus</w:t>
            </w:r>
            <w:r>
              <w:rPr>
                <w:rFonts w:ascii="Arial" w:cs="Arial" w:eastAsia="Arial" w:hAnsi="Arial"/>
                <w:b w:val="false"/>
                <w:bCs w:val="false"/>
                <w:i w:val="false"/>
                <w:iCs w:val="false"/>
                <w:color w:val="000000"/>
                <w:sz w:val="18"/>
                <w:szCs w:val="18"/>
              </w:rPr>
              <w:t xml:space="preserve"> erection, installation and construction costs, </w:t>
            </w:r>
            <w:r>
              <w:rPr>
                <w:rFonts w:ascii="Arial" w:cs="Arial" w:eastAsia="Arial" w:hAnsi="Arial"/>
                <w:b/>
                <w:bCs/>
                <w:i w:val="false"/>
                <w:iCs w:val="false"/>
                <w:color w:val="000000"/>
                <w:sz w:val="18"/>
                <w:szCs w:val="18"/>
              </w:rPr>
              <w:t xml:space="preserve">plus</w:t>
            </w:r>
            <w:r>
              <w:rPr>
                <w:rFonts w:ascii="Arial" w:cs="Arial" w:eastAsia="Arial" w:hAnsi="Arial"/>
                <w:b w:val="false"/>
                <w:bCs w:val="false"/>
                <w:i w:val="false"/>
                <w:iCs w:val="false"/>
                <w:color w:val="000000"/>
                <w:sz w:val="18"/>
                <w:szCs w:val="18"/>
              </w:rPr>
              <w:t xml:space="preserve"> any concrete, foundation or supporting structure to which the asset is mounted or affixed.</w:t>
            </w:r>
          </w:p>
          <w:p>
            <w:pPr>
              <w:pStyle w:val="ListParagraph"/>
              <w:numPr>
                <w:ilvl w:val="0"/>
                <w:numId w:val="2"/>
              </w:numPr>
              <w:spacing w:after="40" w:before="0" w:line="250" w:lineRule="auto"/>
            </w:pPr>
            <w:r>
              <w:rPr>
                <w:rFonts w:ascii="Arial" w:cs="Arial" w:eastAsia="Arial" w:hAnsi="Arial"/>
                <w:b w:val="false"/>
                <w:bCs w:val="false"/>
                <w:i w:val="false"/>
                <w:iCs w:val="false"/>
                <w:color w:val="000000"/>
                <w:sz w:val="18"/>
                <w:szCs w:val="18"/>
              </w:rPr>
              <w:t xml:space="preserve">Extends to </w:t>
            </w:r>
            <w:r>
              <w:rPr>
                <w:rFonts w:ascii="Arial" w:cs="Arial" w:eastAsia="Arial" w:hAnsi="Arial"/>
                <w:b/>
                <w:bCs/>
                <w:i w:val="false"/>
                <w:iCs w:val="false"/>
                <w:color w:val="000000"/>
                <w:sz w:val="18"/>
                <w:szCs w:val="18"/>
              </w:rPr>
              <w:t xml:space="preserve">improvements</w:t>
            </w:r>
            <w:r>
              <w:rPr>
                <w:rFonts w:ascii="Arial" w:cs="Arial" w:eastAsia="Arial" w:hAnsi="Arial"/>
                <w:b w:val="false"/>
                <w:bCs w:val="false"/>
                <w:i w:val="false"/>
                <w:iCs w:val="false"/>
                <w:color w:val="000000"/>
                <w:sz w:val="18"/>
                <w:szCs w:val="18"/>
              </w:rPr>
              <w:t xml:space="preserve"> (not repairs).</w:t>
            </w:r>
          </w:p>
          <w:p>
            <w:pPr>
              <w:pStyle w:val="ListParagraph"/>
              <w:numPr>
                <w:ilvl w:val="0"/>
                <w:numId w:val="2"/>
              </w:numPr>
              <w:spacing w:after="0" w:before="0" w:line="250" w:lineRule="auto"/>
            </w:pPr>
            <w:r>
              <w:rPr>
                <w:rFonts w:ascii="Arial" w:cs="Arial" w:eastAsia="Arial" w:hAnsi="Arial"/>
                <w:b w:val="false"/>
                <w:bCs w:val="false"/>
                <w:i w:val="false"/>
                <w:iCs w:val="false"/>
                <w:color w:val="000000"/>
                <w:sz w:val="18"/>
                <w:szCs w:val="18"/>
              </w:rPr>
              <w:t xml:space="preserve">Asset need </w:t>
            </w:r>
            <w:r>
              <w:rPr>
                <w:rFonts w:ascii="Arial" w:cs="Arial" w:eastAsia="Arial" w:hAnsi="Arial"/>
                <w:b/>
                <w:bCs/>
                <w:i w:val="false"/>
                <w:iCs w:val="false"/>
                <w:color w:val="000000"/>
                <w:sz w:val="18"/>
                <w:szCs w:val="18"/>
              </w:rPr>
              <w:t xml:space="preserve">not</w:t>
            </w:r>
            <w:r>
              <w:rPr>
                <w:rFonts w:ascii="Arial" w:cs="Arial" w:eastAsia="Arial" w:hAnsi="Arial"/>
                <w:b w:val="false"/>
                <w:bCs w:val="false"/>
                <w:i w:val="false"/>
                <w:iCs w:val="false"/>
                <w:color w:val="000000"/>
                <w:sz w:val="18"/>
                <w:szCs w:val="18"/>
              </w:rPr>
              <w:t xml:space="preserve"> be new and unused — second-hand qualifies.</w:t>
            </w:r>
          </w:p>
        </w:tc>
        <w:tc>
          <w:tcPr>
            <w:tcW w:type="dxa" w:w="5974"/>
            <w:tcBorders>
              <w:top w:val="single" w:color="888888" w:sz="4"/>
              <w:left w:val="single" w:color="888888" w:sz="4"/>
              <w:bottom w:val="single" w:color="888888" w:sz="4"/>
              <w:right w:val="single" w:color="888888" w:sz="4"/>
            </w:tcBorders>
            <w:tcMar>
              <w:top w:type="dxa" w:w="60"/>
              <w:left w:type="dxa" w:w="80"/>
              <w:bottom w:type="dxa" w:w="60"/>
              <w:right w:type="dxa" w:w="80"/>
            </w:tcMar>
          </w:tcPr>
          <w:p>
            <w:pPr>
              <w:pStyle w:val="ListParagraph"/>
              <w:numPr>
                <w:ilvl w:val="0"/>
                <w:numId w:val="2"/>
              </w:numPr>
              <w:spacing w:after="40" w:before="0" w:line="250" w:lineRule="auto"/>
            </w:pPr>
            <w:r>
              <w:rPr>
                <w:rFonts w:ascii="Arial" w:cs="Arial" w:eastAsia="Arial" w:hAnsi="Arial"/>
                <w:b/>
                <w:bCs/>
                <w:i w:val="false"/>
                <w:iCs w:val="false"/>
                <w:color w:val="0070C0"/>
                <w:sz w:val="18"/>
                <w:szCs w:val="18"/>
              </w:rPr>
              <w:t xml:space="preserve">Which of the three Document 7 routes triggers this?</w:t>
            </w:r>
            <w:r>
              <w:rPr>
                <w:rFonts w:ascii="Arial" w:cs="Arial" w:eastAsia="Arial" w:hAnsi="Arial"/>
                <w:b w:val="false"/>
                <w:bCs w:val="false"/>
                <w:i w:val="false"/>
                <w:iCs w:val="false"/>
                <w:color w:val="0070C0"/>
                <w:sz w:val="18"/>
                <w:szCs w:val="18"/>
              </w:rPr>
              <w:t xml:space="preserve"> Only </w:t>
            </w:r>
            <w:r>
              <w:rPr>
                <w:rFonts w:ascii="Arial" w:cs="Arial" w:eastAsia="Arial" w:hAnsi="Arial"/>
                <w:b/>
                <w:bCs/>
                <w:i w:val="false"/>
                <w:iCs w:val="false"/>
                <w:color w:val="0070C0"/>
                <w:sz w:val="18"/>
                <w:szCs w:val="18"/>
              </w:rPr>
              <w:t xml:space="preserve">direct investment in generation</w:t>
            </w:r>
            <w:r>
              <w:rPr>
                <w:rFonts w:ascii="Arial" w:cs="Arial" w:eastAsia="Arial" w:hAnsi="Arial"/>
                <w:b w:val="false"/>
                <w:bCs w:val="false"/>
                <w:i w:val="false"/>
                <w:iCs w:val="false"/>
                <w:color w:val="0070C0"/>
                <w:sz w:val="18"/>
                <w:szCs w:val="18"/>
              </w:rPr>
              <w:t xml:space="preserve">. A PPA gives Axion no asset, so no s12B. Wheeling gives Axion no asset either unless Axion owns the off-site plant.</w:t>
            </w:r>
          </w:p>
          <w:p>
            <w:pPr>
              <w:pStyle w:val="ListParagraph"/>
              <w:numPr>
                <w:ilvl w:val="0"/>
                <w:numId w:val="2"/>
              </w:numPr>
              <w:spacing w:after="40" w:before="0" w:line="250" w:lineRule="auto"/>
            </w:pPr>
            <w:r>
              <w:rPr>
                <w:rFonts w:ascii="Arial" w:cs="Arial" w:eastAsia="Arial" w:hAnsi="Arial"/>
                <w:b/>
                <w:bCs/>
                <w:i w:val="false"/>
                <w:iCs w:val="false"/>
                <w:color w:val="0070C0"/>
                <w:sz w:val="18"/>
                <w:szCs w:val="18"/>
              </w:rPr>
              <w:t xml:space="preserve">[WAITING FOR INPUT — information on the day]:</w:t>
            </w:r>
            <w:r>
              <w:rPr>
                <w:rFonts w:ascii="Arial" w:cs="Arial" w:eastAsia="Arial" w:hAnsi="Arial"/>
                <w:b w:val="false"/>
                <w:bCs w:val="false"/>
                <w:i w:val="false"/>
                <w:iCs w:val="false"/>
                <w:color w:val="0070C0"/>
                <w:sz w:val="18"/>
                <w:szCs w:val="18"/>
              </w:rPr>
              <w:t xml:space="preserve"> capacity in MW, technology, plant cost, ownership structure, date brought into use.</w:t>
            </w:r>
          </w:p>
          <w:p>
            <w:pPr>
              <w:pStyle w:val="ListParagraph"/>
              <w:numPr>
                <w:ilvl w:val="0"/>
                <w:numId w:val="2"/>
              </w:numPr>
              <w:spacing w:after="40" w:before="0" w:line="250" w:lineRule="auto"/>
            </w:pPr>
            <w:r>
              <w:rPr>
                <w:rFonts w:ascii="Arial" w:cs="Arial" w:eastAsia="Arial" w:hAnsi="Arial"/>
                <w:b/>
                <w:bCs/>
                <w:i w:val="false"/>
                <w:iCs w:val="false"/>
                <w:color w:val="0070C0"/>
                <w:sz w:val="18"/>
                <w:szCs w:val="18"/>
              </w:rPr>
              <w:t xml:space="preserve">Applying it to Project X.</w:t>
            </w:r>
            <w:r>
              <w:rPr>
                <w:rFonts w:ascii="Arial" w:cs="Arial" w:eastAsia="Arial" w:hAnsi="Arial"/>
                <w:b w:val="false"/>
                <w:bCs w:val="false"/>
                <w:i w:val="false"/>
                <w:iCs w:val="false"/>
                <w:color w:val="0070C0"/>
                <w:sz w:val="18"/>
                <w:szCs w:val="18"/>
              </w:rPr>
              <w:t xml:space="preserve"> 30MW PV solar is </w:t>
            </w:r>
            <w:r>
              <w:rPr>
                <w:rFonts w:ascii="Arial" w:cs="Arial" w:eastAsia="Arial" w:hAnsi="Arial"/>
                <w:b/>
                <w:bCs/>
                <w:i w:val="false"/>
                <w:iCs w:val="false"/>
                <w:color w:val="0070C0"/>
                <w:sz w:val="18"/>
                <w:szCs w:val="18"/>
              </w:rPr>
              <w:t xml:space="preserve">above 1MW</w:t>
            </w:r>
            <w:r>
              <w:rPr>
                <w:rFonts w:ascii="Arial" w:cs="Arial" w:eastAsia="Arial" w:hAnsi="Arial"/>
                <w:b w:val="false"/>
                <w:bCs w:val="false"/>
                <w:i w:val="false"/>
                <w:iCs w:val="false"/>
                <w:color w:val="0070C0"/>
                <w:sz w:val="18"/>
                <w:szCs w:val="18"/>
              </w:rPr>
              <w:t xml:space="preserve">, so the 50/30/20 rate applies, not the 100% rate. Plant and machinery of R450m qualifies. The grid connection of R60m only qualifies </w:t>
            </w:r>
            <w:r>
              <w:rPr>
                <w:rFonts w:ascii="Arial" w:cs="Arial" w:eastAsia="Arial" w:hAnsi="Arial"/>
                <w:b/>
                <w:bCs/>
                <w:i w:val="false"/>
                <w:iCs w:val="false"/>
                <w:color w:val="0070C0"/>
                <w:sz w:val="18"/>
                <w:szCs w:val="18"/>
              </w:rPr>
              <w:t xml:space="preserve">if</w:t>
            </w:r>
            <w:r>
              <w:rPr>
                <w:rFonts w:ascii="Arial" w:cs="Arial" w:eastAsia="Arial" w:hAnsi="Arial"/>
                <w:b w:val="false"/>
                <w:bCs w:val="false"/>
                <w:i w:val="false"/>
                <w:iCs w:val="false"/>
                <w:color w:val="0070C0"/>
                <w:sz w:val="18"/>
                <w:szCs w:val="18"/>
              </w:rPr>
              <w:t xml:space="preserve"> it forms part of the plant — see Table 4. Land of R15m never qualifies.</w:t>
            </w:r>
          </w:p>
          <w:p>
            <w:pPr>
              <w:pStyle w:val="ListParagraph"/>
              <w:numPr>
                <w:ilvl w:val="0"/>
                <w:numId w:val="2"/>
              </w:numPr>
              <w:spacing w:after="40" w:before="0" w:line="250" w:lineRule="auto"/>
            </w:pPr>
            <w:r>
              <w:rPr>
                <w:rFonts w:ascii="Arial" w:cs="Arial" w:eastAsia="Arial" w:hAnsi="Arial"/>
                <w:b/>
                <w:bCs/>
                <w:i w:val="false"/>
                <w:iCs w:val="false"/>
                <w:color w:val="0070C0"/>
                <w:sz w:val="18"/>
                <w:szCs w:val="18"/>
              </w:rPr>
              <w:t xml:space="preserve">Worked example — Project X, Axion owns directly:</w:t>
            </w:r>
          </w:p>
          <w:p>
            <w:pPr>
              <w:pStyle w:val="ListParagraph"/>
              <w:numPr>
                <w:ilvl w:val="0"/>
                <w:numId w:val="2"/>
              </w:numPr>
              <w:spacing w:after="40" w:before="0" w:line="250" w:lineRule="auto"/>
            </w:pPr>
            <w:r>
              <w:rPr>
                <w:rFonts w:ascii="Arial" w:cs="Arial" w:eastAsia="Arial" w:hAnsi="Arial"/>
                <w:b w:val="false"/>
                <w:bCs w:val="false"/>
                <w:i w:val="false"/>
                <w:iCs w:val="false"/>
                <w:color w:val="0070C0"/>
                <w:sz w:val="18"/>
                <w:szCs w:val="18"/>
              </w:rPr>
              <w:t xml:space="preserve">FY2027: R450m × 50% = </w:t>
            </w:r>
            <w:r>
              <w:rPr>
                <w:rFonts w:ascii="Arial" w:cs="Arial" w:eastAsia="Arial" w:hAnsi="Arial"/>
                <w:b/>
                <w:bCs/>
                <w:i w:val="false"/>
                <w:iCs w:val="false"/>
                <w:color w:val="0070C0"/>
                <w:sz w:val="18"/>
                <w:szCs w:val="18"/>
              </w:rPr>
              <w:t xml:space="preserve">R225.0m</w:t>
            </w:r>
            <w:r>
              <w:rPr>
                <w:rFonts w:ascii="Arial" w:cs="Arial" w:eastAsia="Arial" w:hAnsi="Arial"/>
                <w:b w:val="false"/>
                <w:bCs w:val="false"/>
                <w:i w:val="false"/>
                <w:iCs w:val="false"/>
                <w:color w:val="0070C0"/>
                <w:sz w:val="18"/>
                <w:szCs w:val="18"/>
              </w:rPr>
              <w:t xml:space="preserve"> deduction · tax at 27% = </w:t>
            </w:r>
            <w:r>
              <w:rPr>
                <w:rFonts w:ascii="Arial" w:cs="Arial" w:eastAsia="Arial" w:hAnsi="Arial"/>
                <w:b/>
                <w:bCs/>
                <w:i w:val="false"/>
                <w:iCs w:val="false"/>
                <w:color w:val="0070C0"/>
                <w:sz w:val="18"/>
                <w:szCs w:val="18"/>
              </w:rPr>
              <w:t xml:space="preserve">R60.75m</w:t>
            </w:r>
          </w:p>
          <w:p>
            <w:pPr>
              <w:pStyle w:val="ListParagraph"/>
              <w:numPr>
                <w:ilvl w:val="0"/>
                <w:numId w:val="2"/>
              </w:numPr>
              <w:spacing w:after="40" w:before="0" w:line="250" w:lineRule="auto"/>
            </w:pPr>
            <w:r>
              <w:rPr>
                <w:rFonts w:ascii="Arial" w:cs="Arial" w:eastAsia="Arial" w:hAnsi="Arial"/>
                <w:b w:val="false"/>
                <w:bCs w:val="false"/>
                <w:i w:val="false"/>
                <w:iCs w:val="false"/>
                <w:color w:val="0070C0"/>
                <w:sz w:val="18"/>
                <w:szCs w:val="18"/>
              </w:rPr>
              <w:t xml:space="preserve">FY2028: R450m × 30% = </w:t>
            </w:r>
            <w:r>
              <w:rPr>
                <w:rFonts w:ascii="Arial" w:cs="Arial" w:eastAsia="Arial" w:hAnsi="Arial"/>
                <w:b/>
                <w:bCs/>
                <w:i w:val="false"/>
                <w:iCs w:val="false"/>
                <w:color w:val="0070C0"/>
                <w:sz w:val="18"/>
                <w:szCs w:val="18"/>
              </w:rPr>
              <w:t xml:space="preserve">R135.0m</w:t>
            </w:r>
            <w:r>
              <w:rPr>
                <w:rFonts w:ascii="Arial" w:cs="Arial" w:eastAsia="Arial" w:hAnsi="Arial"/>
                <w:b w:val="false"/>
                <w:bCs w:val="false"/>
                <w:i w:val="false"/>
                <w:iCs w:val="false"/>
                <w:color w:val="0070C0"/>
                <w:sz w:val="18"/>
                <w:szCs w:val="18"/>
              </w:rPr>
              <w:t xml:space="preserve"> · tax = </w:t>
            </w:r>
            <w:r>
              <w:rPr>
                <w:rFonts w:ascii="Arial" w:cs="Arial" w:eastAsia="Arial" w:hAnsi="Arial"/>
                <w:b/>
                <w:bCs/>
                <w:i w:val="false"/>
                <w:iCs w:val="false"/>
                <w:color w:val="0070C0"/>
                <w:sz w:val="18"/>
                <w:szCs w:val="18"/>
              </w:rPr>
              <w:t xml:space="preserve">R36.45m</w:t>
            </w:r>
          </w:p>
          <w:p>
            <w:pPr>
              <w:pStyle w:val="ListParagraph"/>
              <w:numPr>
                <w:ilvl w:val="0"/>
                <w:numId w:val="2"/>
              </w:numPr>
              <w:spacing w:after="40" w:before="0" w:line="250" w:lineRule="auto"/>
            </w:pPr>
            <w:r>
              <w:rPr>
                <w:rFonts w:ascii="Arial" w:cs="Arial" w:eastAsia="Arial" w:hAnsi="Arial"/>
                <w:b w:val="false"/>
                <w:bCs w:val="false"/>
                <w:i w:val="false"/>
                <w:iCs w:val="false"/>
                <w:color w:val="0070C0"/>
                <w:sz w:val="18"/>
                <w:szCs w:val="18"/>
              </w:rPr>
              <w:t xml:space="preserve">FY2029: R450m × 20% = </w:t>
            </w:r>
            <w:r>
              <w:rPr>
                <w:rFonts w:ascii="Arial" w:cs="Arial" w:eastAsia="Arial" w:hAnsi="Arial"/>
                <w:b/>
                <w:bCs/>
                <w:i w:val="false"/>
                <w:iCs w:val="false"/>
                <w:color w:val="0070C0"/>
                <w:sz w:val="18"/>
                <w:szCs w:val="18"/>
              </w:rPr>
              <w:t xml:space="preserve">R90.0m</w:t>
            </w:r>
            <w:r>
              <w:rPr>
                <w:rFonts w:ascii="Arial" w:cs="Arial" w:eastAsia="Arial" w:hAnsi="Arial"/>
                <w:b w:val="false"/>
                <w:bCs w:val="false"/>
                <w:i w:val="false"/>
                <w:iCs w:val="false"/>
                <w:color w:val="0070C0"/>
                <w:sz w:val="18"/>
                <w:szCs w:val="18"/>
              </w:rPr>
              <w:t xml:space="preserve"> · tax = </w:t>
            </w:r>
            <w:r>
              <w:rPr>
                <w:rFonts w:ascii="Arial" w:cs="Arial" w:eastAsia="Arial" w:hAnsi="Arial"/>
                <w:b/>
                <w:bCs/>
                <w:i w:val="false"/>
                <w:iCs w:val="false"/>
                <w:color w:val="0070C0"/>
                <w:sz w:val="18"/>
                <w:szCs w:val="18"/>
              </w:rPr>
              <w:t xml:space="preserve">R24.30m</w:t>
            </w:r>
          </w:p>
          <w:p>
            <w:pPr>
              <w:pStyle w:val="ListParagraph"/>
              <w:numPr>
                <w:ilvl w:val="0"/>
                <w:numId w:val="2"/>
              </w:numPr>
              <w:spacing w:after="40" w:before="0" w:line="250" w:lineRule="auto"/>
            </w:pPr>
            <w:r>
              <w:rPr>
                <w:rFonts w:ascii="Arial" w:cs="Arial" w:eastAsia="Arial" w:hAnsi="Arial"/>
                <w:b w:val="false"/>
                <w:bCs w:val="false"/>
                <w:i w:val="false"/>
                <w:iCs w:val="false"/>
                <w:color w:val="0070C0"/>
                <w:sz w:val="18"/>
                <w:szCs w:val="18"/>
              </w:rPr>
              <w:t xml:space="preserve">Total allowances R450m; total tax benefit </w:t>
            </w:r>
            <w:r>
              <w:rPr>
                <w:rFonts w:ascii="Arial" w:cs="Arial" w:eastAsia="Arial" w:hAnsi="Arial"/>
                <w:b/>
                <w:bCs/>
                <w:i w:val="false"/>
                <w:iCs w:val="false"/>
                <w:color w:val="0070C0"/>
                <w:sz w:val="18"/>
                <w:szCs w:val="18"/>
              </w:rPr>
              <w:t xml:space="preserve">R121.5m</w:t>
            </w:r>
            <w:r>
              <w:rPr>
                <w:rFonts w:ascii="Arial" w:cs="Arial" w:eastAsia="Arial" w:hAnsi="Arial"/>
                <w:b w:val="false"/>
                <w:bCs w:val="false"/>
                <w:i w:val="false"/>
                <w:iCs w:val="false"/>
                <w:color w:val="0070C0"/>
                <w:sz w:val="18"/>
                <w:szCs w:val="18"/>
              </w:rPr>
              <w:t xml:space="preserve">.</w:t>
            </w:r>
          </w:p>
          <w:p>
            <w:pPr>
              <w:pStyle w:val="ListParagraph"/>
              <w:numPr>
                <w:ilvl w:val="0"/>
                <w:numId w:val="2"/>
              </w:numPr>
              <w:spacing w:after="40" w:before="0" w:line="250" w:lineRule="auto"/>
            </w:pPr>
            <w:r>
              <w:rPr>
                <w:rFonts w:ascii="Arial" w:cs="Arial" w:eastAsia="Arial" w:hAnsi="Arial"/>
                <w:b/>
                <w:bCs/>
                <w:i w:val="false"/>
                <w:iCs w:val="false"/>
                <w:color w:val="0070C0"/>
                <w:sz w:val="18"/>
                <w:szCs w:val="18"/>
              </w:rPr>
              <w:t xml:space="preserve">The no-apportionment point, quantified.</w:t>
            </w:r>
            <w:r>
              <w:rPr>
                <w:rFonts w:ascii="Arial" w:cs="Arial" w:eastAsia="Arial" w:hAnsi="Arial"/>
                <w:b w:val="false"/>
                <w:bCs w:val="false"/>
                <w:i w:val="false"/>
                <w:iCs w:val="false"/>
                <w:color w:val="0070C0"/>
                <w:sz w:val="18"/>
                <w:szCs w:val="18"/>
              </w:rPr>
              <w:t xml:space="preserve"> Brought into use 1 May 2027 (before 30 June) gives the full R225m in FY2027. Slip to 1 July 2027 and the whole R225m moves to FY2028 — deferring </w:t>
            </w:r>
            <w:r>
              <w:rPr>
                <w:rFonts w:ascii="Arial" w:cs="Arial" w:eastAsia="Arial" w:hAnsi="Arial"/>
                <w:b/>
                <w:bCs/>
                <w:i w:val="false"/>
                <w:iCs w:val="false"/>
                <w:color w:val="0070C0"/>
                <w:sz w:val="18"/>
                <w:szCs w:val="18"/>
              </w:rPr>
              <w:t xml:space="preserve">R60.75m</w:t>
            </w:r>
            <w:r>
              <w:rPr>
                <w:rFonts w:ascii="Arial" w:cs="Arial" w:eastAsia="Arial" w:hAnsi="Arial"/>
                <w:b w:val="false"/>
                <w:bCs w:val="false"/>
                <w:i w:val="false"/>
                <w:iCs w:val="false"/>
                <w:color w:val="0070C0"/>
                <w:sz w:val="18"/>
                <w:szCs w:val="18"/>
              </w:rPr>
              <w:t xml:space="preserve"> of cash tax by a year. Say this to the board: it is a concrete recommendation about commissioning timing, not a technicality.</w:t>
            </w:r>
          </w:p>
          <w:p>
            <w:pPr>
              <w:pStyle w:val="ListParagraph"/>
              <w:numPr>
                <w:ilvl w:val="0"/>
                <w:numId w:val="2"/>
              </w:numPr>
              <w:spacing w:after="0" w:before="0" w:line="250" w:lineRule="auto"/>
            </w:pPr>
            <w:r>
              <w:rPr>
                <w:rFonts w:ascii="Arial" w:cs="Arial" w:eastAsia="Arial" w:hAnsi="Arial"/>
                <w:b/>
                <w:bCs/>
                <w:i w:val="false"/>
                <w:iCs w:val="false"/>
                <w:color w:val="0070C0"/>
                <w:sz w:val="18"/>
                <w:szCs w:val="18"/>
              </w:rPr>
              <w:t xml:space="preserve">Contrast with Asset Y.</w:t>
            </w:r>
            <w:r>
              <w:rPr>
                <w:rFonts w:ascii="Arial" w:cs="Arial" w:eastAsia="Arial" w:hAnsi="Arial"/>
                <w:b w:val="false"/>
                <w:bCs w:val="false"/>
                <w:i w:val="false"/>
                <w:iCs w:val="false"/>
                <w:color w:val="0070C0"/>
                <w:sz w:val="18"/>
                <w:szCs w:val="18"/>
              </w:rPr>
              <w:t xml:space="preserve"> 800kW is </w:t>
            </w:r>
            <w:r>
              <w:rPr>
                <w:rFonts w:ascii="Arial" w:cs="Arial" w:eastAsia="Arial" w:hAnsi="Arial"/>
                <w:b/>
                <w:bCs/>
                <w:i w:val="false"/>
                <w:iCs w:val="false"/>
                <w:color w:val="0070C0"/>
                <w:sz w:val="18"/>
                <w:szCs w:val="18"/>
              </w:rPr>
              <w:t xml:space="preserve">not exceeding 1MW</w:t>
            </w:r>
            <w:r>
              <w:rPr>
                <w:rFonts w:ascii="Arial" w:cs="Arial" w:eastAsia="Arial" w:hAnsi="Arial"/>
                <w:b w:val="false"/>
                <w:bCs w:val="false"/>
                <w:i w:val="false"/>
                <w:iCs w:val="false"/>
                <w:color w:val="0070C0"/>
                <w:sz w:val="18"/>
                <w:szCs w:val="18"/>
              </w:rPr>
              <w:t xml:space="preserve">, so if it had been claimed under s12B it would have attracted </w:t>
            </w:r>
            <w:r>
              <w:rPr>
                <w:rFonts w:ascii="Arial" w:cs="Arial" w:eastAsia="Arial" w:hAnsi="Arial"/>
                <w:b/>
                <w:bCs/>
                <w:i w:val="false"/>
                <w:iCs w:val="false"/>
                <w:color w:val="0070C0"/>
                <w:sz w:val="18"/>
                <w:szCs w:val="18"/>
              </w:rPr>
              <w:t xml:space="preserve">100%</w:t>
            </w:r>
            <w:r>
              <w:rPr>
                <w:rFonts w:ascii="Arial" w:cs="Arial" w:eastAsia="Arial" w:hAnsi="Arial"/>
                <w:b w:val="false"/>
                <w:bCs w:val="false"/>
                <w:i w:val="false"/>
                <w:iCs w:val="false"/>
                <w:color w:val="0070C0"/>
                <w:sz w:val="18"/>
                <w:szCs w:val="18"/>
              </w:rPr>
              <w:t xml:space="preserve"> of R18m in FY2025 — a R18m deduction, R4.86m of tax, all in one year.</w:t>
            </w:r>
          </w:p>
        </w:tc>
      </w:tr>
    </w:tbl>
    <w:p>
      <w:pPr>
        <w:keepNext w:val="false"/>
        <w:spacing w:after="0" w:before="0" w:line="250" w:lineRule="auto"/>
      </w:pPr>
      <w:r>
        <w:rPr>
          <w:rFonts w:ascii="Arial" w:cs="Arial" w:eastAsia="Arial" w:hAnsi="Arial"/>
          <w:sz w:val="12"/>
          <w:szCs w:val="12"/>
        </w:rPr>
        <w:t xml:space="preserve"/>
      </w:r>
    </w:p>
    <w:p>
      <w:pPr>
        <w:keepNext/>
        <w:spacing w:after="70" w:before="200" w:line="250" w:lineRule="auto"/>
      </w:pPr>
      <w:r>
        <w:rPr>
          <w:rFonts w:ascii="Arial" w:cs="Arial" w:eastAsia="Arial" w:hAnsi="Arial"/>
          <w:b/>
          <w:bCs/>
          <w:i w:val="false"/>
          <w:iCs w:val="false"/>
          <w:color w:val="000000"/>
          <w:sz w:val="22"/>
          <w:szCs w:val="22"/>
        </w:rPr>
        <w:t xml:space="preserve">Table 2 — Section 12BA: the enhanced 125% allowance (EXPIRED)</w:t>
      </w:r>
    </w:p>
    <w:tbl>
      <w:tblPr>
        <w:tblW w:type="dxa" w:w="10300"/>
        <w:tblBorders>
          <w:top w:val="single" w:color="auto" w:sz="4"/>
          <w:left w:val="single" w:color="auto" w:sz="4"/>
          <w:bottom w:val="single" w:color="auto" w:sz="4"/>
          <w:right w:val="single" w:color="auto" w:sz="4"/>
          <w:insideH w:val="single" w:color="auto" w:sz="4"/>
          <w:insideV w:val="single" w:color="auto" w:sz="4"/>
        </w:tblBorders>
      </w:tblPr>
      <w:tblGrid>
        <w:gridCol w:w="4326"/>
        <w:gridCol w:w="5974"/>
      </w:tblGrid>
      <w:tr>
        <w:trPr>
          <w:tblHeader/>
        </w:trPr>
        <w:tc>
          <w:tcPr>
            <w:tcW w:type="dxa" w:w="4326"/>
            <w:tcBorders>
              <w:top w:val="single" w:color="888888" w:sz="4"/>
              <w:left w:val="single" w:color="888888" w:sz="4"/>
              <w:bottom w:val="single" w:color="888888" w:sz="4"/>
              <w:right w:val="single" w:color="888888" w:sz="4"/>
            </w:tcBorders>
            <w:shd w:fill="E8E8E8" w:val="clear"/>
            <w:tcMar>
              <w:top w:type="dxa" w:w="60"/>
              <w:left w:type="dxa" w:w="80"/>
              <w:bottom w:type="dxa" w:w="60"/>
              <w:right w:type="dxa" w:w="80"/>
            </w:tcMar>
            <w:vAlign w:val="center"/>
          </w:tcPr>
          <w:p>
            <w:pPr>
              <w:keepNext w:val="false"/>
              <w:spacing w:after="0" w:before="0" w:line="250" w:lineRule="auto"/>
            </w:pPr>
            <w:r>
              <w:rPr>
                <w:rFonts w:ascii="Arial" w:cs="Arial" w:eastAsia="Arial" w:hAnsi="Arial"/>
                <w:b/>
                <w:bCs/>
                <w:i w:val="false"/>
                <w:iCs w:val="false"/>
                <w:color w:val="000000"/>
                <w:sz w:val="18"/>
                <w:szCs w:val="18"/>
              </w:rPr>
              <w:t xml:space="preserve">Legislation — what the Act says</w:t>
            </w:r>
          </w:p>
        </w:tc>
        <w:tc>
          <w:tcPr>
            <w:tcW w:type="dxa" w:w="5974"/>
            <w:tcBorders>
              <w:top w:val="single" w:color="888888" w:sz="4"/>
              <w:left w:val="single" w:color="888888" w:sz="4"/>
              <w:bottom w:val="single" w:color="888888" w:sz="4"/>
              <w:right w:val="single" w:color="888888" w:sz="4"/>
            </w:tcBorders>
            <w:shd w:fill="E8E8E8" w:val="clear"/>
            <w:tcMar>
              <w:top w:type="dxa" w:w="60"/>
              <w:left w:type="dxa" w:w="80"/>
              <w:bottom w:type="dxa" w:w="60"/>
              <w:right w:type="dxa" w:w="80"/>
            </w:tcMar>
            <w:vAlign w:val="center"/>
          </w:tcPr>
          <w:p>
            <w:pPr>
              <w:keepNext w:val="false"/>
              <w:spacing w:after="0" w:before="0" w:line="250" w:lineRule="auto"/>
            </w:pPr>
            <w:r>
              <w:rPr>
                <w:rFonts w:ascii="Arial" w:cs="Arial" w:eastAsia="Arial" w:hAnsi="Arial"/>
                <w:b/>
                <w:bCs/>
                <w:i w:val="false"/>
                <w:iCs w:val="false"/>
                <w:color w:val="000000"/>
                <w:sz w:val="18"/>
                <w:szCs w:val="18"/>
              </w:rPr>
              <w:t xml:space="preserve">Application to Axion — tax consequences</w:t>
            </w:r>
          </w:p>
        </w:tc>
      </w:tr>
      <w:tr>
        <w:tc>
          <w:tcPr>
            <w:tcW w:type="dxa" w:w="4326"/>
            <w:tcBorders>
              <w:top w:val="single" w:color="888888" w:sz="4"/>
              <w:left w:val="single" w:color="888888" w:sz="4"/>
              <w:bottom w:val="single" w:color="888888" w:sz="4"/>
              <w:right w:val="single" w:color="888888" w:sz="4"/>
            </w:tcBorders>
            <w:tcMar>
              <w:top w:type="dxa" w:w="60"/>
              <w:left w:type="dxa" w:w="80"/>
              <w:bottom w:type="dxa" w:w="60"/>
              <w:right w:type="dxa" w:w="80"/>
            </w:tcMar>
          </w:tcPr>
          <w:p>
            <w:pPr>
              <w:pStyle w:val="ListParagraph"/>
              <w:numPr>
                <w:ilvl w:val="0"/>
                <w:numId w:val="2"/>
              </w:numPr>
              <w:spacing w:after="40" w:before="0" w:line="250" w:lineRule="auto"/>
            </w:pPr>
            <w:r>
              <w:rPr>
                <w:rFonts w:ascii="Arial" w:cs="Arial" w:eastAsia="Arial" w:hAnsi="Arial"/>
                <w:b/>
                <w:bCs/>
                <w:i w:val="false"/>
                <w:iCs w:val="false"/>
                <w:color w:val="000000"/>
                <w:sz w:val="18"/>
                <w:szCs w:val="18"/>
              </w:rPr>
              <w:t xml:space="preserve">125% of cost</w:t>
            </w:r>
            <w:r>
              <w:rPr>
                <w:rFonts w:ascii="Arial" w:cs="Arial" w:eastAsia="Arial" w:hAnsi="Arial"/>
                <w:b w:val="false"/>
                <w:bCs w:val="false"/>
                <w:i w:val="false"/>
                <w:iCs w:val="false"/>
                <w:color w:val="000000"/>
                <w:sz w:val="18"/>
                <w:szCs w:val="18"/>
              </w:rPr>
              <w:t xml:space="preserve">, deducted </w:t>
            </w:r>
            <w:r>
              <w:rPr>
                <w:rFonts w:ascii="Arial" w:cs="Arial" w:eastAsia="Arial" w:hAnsi="Arial"/>
                <w:b/>
                <w:bCs/>
                <w:i w:val="false"/>
                <w:iCs w:val="false"/>
                <w:color w:val="000000"/>
                <w:sz w:val="18"/>
                <w:szCs w:val="18"/>
              </w:rPr>
              <w:t xml:space="preserve">in full in the year the asset is brought into use</w:t>
            </w:r>
            <w:r>
              <w:rPr>
                <w:rFonts w:ascii="Arial" w:cs="Arial" w:eastAsia="Arial" w:hAnsi="Arial"/>
                <w:b w:val="false"/>
                <w:bCs w:val="false"/>
                <w:i w:val="false"/>
                <w:iCs w:val="false"/>
                <w:color w:val="000000"/>
                <w:sz w:val="18"/>
                <w:szCs w:val="18"/>
              </w:rPr>
              <w:t xml:space="preserve">.</w:t>
            </w:r>
          </w:p>
          <w:p>
            <w:pPr>
              <w:pStyle w:val="ListParagraph"/>
              <w:numPr>
                <w:ilvl w:val="0"/>
                <w:numId w:val="2"/>
              </w:numPr>
              <w:spacing w:after="40" w:before="0" w:line="250" w:lineRule="auto"/>
            </w:pPr>
            <w:r>
              <w:rPr>
                <w:rFonts w:ascii="Arial" w:cs="Arial" w:eastAsia="Arial" w:hAnsi="Arial"/>
                <w:b w:val="false"/>
                <w:bCs w:val="false"/>
                <w:i w:val="false"/>
                <w:iCs w:val="false"/>
                <w:color w:val="000000"/>
                <w:sz w:val="18"/>
                <w:szCs w:val="18"/>
              </w:rPr>
              <w:t xml:space="preserve">Asset must be </w:t>
            </w:r>
            <w:r>
              <w:rPr>
                <w:rFonts w:ascii="Arial" w:cs="Arial" w:eastAsia="Arial" w:hAnsi="Arial"/>
                <w:b/>
                <w:bCs/>
                <w:i w:val="false"/>
                <w:iCs w:val="false"/>
                <w:color w:val="000000"/>
                <w:sz w:val="18"/>
                <w:szCs w:val="18"/>
              </w:rPr>
              <w:t xml:space="preserve">new and unused</w:t>
            </w:r>
            <w:r>
              <w:rPr>
                <w:rFonts w:ascii="Arial" w:cs="Arial" w:eastAsia="Arial" w:hAnsi="Arial"/>
                <w:b w:val="false"/>
                <w:bCs w:val="false"/>
                <w:i w:val="false"/>
                <w:iCs w:val="false"/>
                <w:color w:val="000000"/>
                <w:sz w:val="18"/>
                <w:szCs w:val="18"/>
              </w:rPr>
              <w:t xml:space="preserve">, </w:t>
            </w:r>
            <w:r>
              <w:rPr>
                <w:rFonts w:ascii="Arial" w:cs="Arial" w:eastAsia="Arial" w:hAnsi="Arial"/>
                <w:b/>
                <w:bCs/>
                <w:i w:val="false"/>
                <w:iCs w:val="false"/>
                <w:color w:val="000000"/>
                <w:sz w:val="18"/>
                <w:szCs w:val="18"/>
              </w:rPr>
              <w:t xml:space="preserve">owned</w:t>
            </w:r>
            <w:r>
              <w:rPr>
                <w:rFonts w:ascii="Arial" w:cs="Arial" w:eastAsia="Arial" w:hAnsi="Arial"/>
                <w:b w:val="false"/>
                <w:bCs w:val="false"/>
                <w:i w:val="false"/>
                <w:iCs w:val="false"/>
                <w:color w:val="000000"/>
                <w:sz w:val="18"/>
                <w:szCs w:val="18"/>
              </w:rPr>
              <w:t xml:space="preserve"> by the taxpayer, </w:t>
            </w:r>
            <w:r>
              <w:rPr>
                <w:rFonts w:ascii="Arial" w:cs="Arial" w:eastAsia="Arial" w:hAnsi="Arial"/>
                <w:b/>
                <w:bCs/>
                <w:i w:val="false"/>
                <w:iCs w:val="false"/>
                <w:color w:val="000000"/>
                <w:sz w:val="18"/>
                <w:szCs w:val="18"/>
              </w:rPr>
              <w:t xml:space="preserve">brought into use for the first time</w:t>
            </w:r>
            <w:r>
              <w:rPr>
                <w:rFonts w:ascii="Arial" w:cs="Arial" w:eastAsia="Arial" w:hAnsi="Arial"/>
                <w:b w:val="false"/>
                <w:bCs w:val="false"/>
                <w:i w:val="false"/>
                <w:iCs w:val="false"/>
                <w:color w:val="000000"/>
                <w:sz w:val="18"/>
                <w:szCs w:val="18"/>
              </w:rPr>
              <w:t xml:space="preserve"> for the purposes of the taxpayer’s trade, and used in generating electricity from the </w:t>
            </w:r>
            <w:r>
              <w:rPr>
                <w:rFonts w:ascii="Arial" w:cs="Arial" w:eastAsia="Arial" w:hAnsi="Arial"/>
                <w:b/>
                <w:bCs/>
                <w:i w:val="false"/>
                <w:iCs w:val="false"/>
                <w:color w:val="000000"/>
                <w:sz w:val="18"/>
                <w:szCs w:val="18"/>
              </w:rPr>
              <w:t xml:space="preserve">same specified sources</w:t>
            </w:r>
            <w:r>
              <w:rPr>
                <w:rFonts w:ascii="Arial" w:cs="Arial" w:eastAsia="Arial" w:hAnsi="Arial"/>
                <w:b w:val="false"/>
                <w:bCs w:val="false"/>
                <w:i w:val="false"/>
                <w:iCs w:val="false"/>
                <w:color w:val="000000"/>
                <w:sz w:val="18"/>
                <w:szCs w:val="18"/>
              </w:rPr>
              <w:t xml:space="preserve"> as s12B.</w:t>
            </w:r>
          </w:p>
          <w:p>
            <w:pPr>
              <w:pStyle w:val="ListParagraph"/>
              <w:numPr>
                <w:ilvl w:val="0"/>
                <w:numId w:val="2"/>
              </w:numPr>
              <w:spacing w:after="40" w:before="0" w:line="250" w:lineRule="auto"/>
            </w:pPr>
            <w:r>
              <w:rPr>
                <w:rFonts w:ascii="Arial" w:cs="Arial" w:eastAsia="Arial" w:hAnsi="Arial"/>
                <w:b/>
                <w:bCs/>
                <w:i w:val="false"/>
                <w:iCs w:val="false"/>
                <w:color w:val="000000"/>
                <w:sz w:val="18"/>
                <w:szCs w:val="18"/>
              </w:rPr>
              <w:t xml:space="preserve">No generation capacity threshold</w:t>
            </w:r>
            <w:r>
              <w:rPr>
                <w:rFonts w:ascii="Arial" w:cs="Arial" w:eastAsia="Arial" w:hAnsi="Arial"/>
                <w:b w:val="false"/>
                <w:bCs w:val="false"/>
                <w:i w:val="false"/>
                <w:iCs w:val="false"/>
                <w:color w:val="000000"/>
                <w:sz w:val="18"/>
                <w:szCs w:val="18"/>
              </w:rPr>
              <w:t xml:space="preserve"> — unlike s12B’s 30MW hydro limit.</w:t>
            </w:r>
          </w:p>
          <w:p>
            <w:pPr>
              <w:pStyle w:val="ListParagraph"/>
              <w:numPr>
                <w:ilvl w:val="0"/>
                <w:numId w:val="2"/>
              </w:numPr>
              <w:spacing w:after="40" w:before="0" w:line="250" w:lineRule="auto"/>
            </w:pPr>
            <w:r>
              <w:rPr>
                <w:rFonts w:ascii="Arial" w:cs="Arial" w:eastAsia="Arial" w:hAnsi="Arial"/>
                <w:b/>
                <w:bCs/>
                <w:i w:val="false"/>
                <w:iCs w:val="false"/>
                <w:color w:val="000000"/>
                <w:sz w:val="18"/>
                <w:szCs w:val="18"/>
              </w:rPr>
              <w:t xml:space="preserve">Not apportioned</w:t>
            </w:r>
            <w:r>
              <w:rPr>
                <w:rFonts w:ascii="Arial" w:cs="Arial" w:eastAsia="Arial" w:hAnsi="Arial"/>
                <w:b w:val="false"/>
                <w:bCs w:val="false"/>
                <w:i w:val="false"/>
                <w:iCs w:val="false"/>
                <w:color w:val="000000"/>
                <w:sz w:val="18"/>
                <w:szCs w:val="18"/>
              </w:rPr>
              <w:t xml:space="preserve"> for part of a year.</w:t>
            </w:r>
          </w:p>
          <w:p>
            <w:pPr>
              <w:pStyle w:val="ListParagraph"/>
              <w:numPr>
                <w:ilvl w:val="0"/>
                <w:numId w:val="2"/>
              </w:numPr>
              <w:spacing w:after="40" w:before="0" w:line="250" w:lineRule="auto"/>
            </w:pPr>
            <w:r>
              <w:rPr>
                <w:rFonts w:ascii="Arial" w:cs="Arial" w:eastAsia="Arial" w:hAnsi="Arial"/>
                <w:b w:val="false"/>
                <w:bCs w:val="false"/>
                <w:i w:val="false"/>
                <w:iCs w:val="false"/>
                <w:color w:val="000000"/>
                <w:sz w:val="18"/>
                <w:szCs w:val="18"/>
              </w:rPr>
              <w:t xml:space="preserve">Cost base: direct costs of </w:t>
            </w:r>
            <w:r>
              <w:rPr>
                <w:rFonts w:ascii="Arial" w:cs="Arial" w:eastAsia="Arial" w:hAnsi="Arial"/>
                <w:b/>
                <w:bCs/>
                <w:i w:val="false"/>
                <w:iCs w:val="false"/>
                <w:color w:val="000000"/>
                <w:sz w:val="18"/>
                <w:szCs w:val="18"/>
              </w:rPr>
              <w:t xml:space="preserve">acquisition, installation and erection</w:t>
            </w:r>
            <w:r>
              <w:rPr>
                <w:rFonts w:ascii="Arial" w:cs="Arial" w:eastAsia="Arial" w:hAnsi="Arial"/>
                <w:b w:val="false"/>
                <w:bCs w:val="false"/>
                <w:i w:val="false"/>
                <w:iCs w:val="false"/>
                <w:color w:val="000000"/>
                <w:sz w:val="18"/>
                <w:szCs w:val="18"/>
              </w:rPr>
              <w:t xml:space="preserve">, plus any </w:t>
            </w:r>
            <w:r>
              <w:rPr>
                <w:rFonts w:ascii="Arial" w:cs="Arial" w:eastAsia="Arial" w:hAnsi="Arial"/>
                <w:b/>
                <w:bCs/>
                <w:i w:val="false"/>
                <w:iCs w:val="false"/>
                <w:color w:val="000000"/>
                <w:sz w:val="18"/>
                <w:szCs w:val="18"/>
              </w:rPr>
              <w:t xml:space="preserve">foundation or supporting structure</w:t>
            </w:r>
            <w:r>
              <w:rPr>
                <w:rFonts w:ascii="Arial" w:cs="Arial" w:eastAsia="Arial" w:hAnsi="Arial"/>
                <w:b w:val="false"/>
                <w:bCs w:val="false"/>
                <w:i w:val="false"/>
                <w:iCs w:val="false"/>
                <w:color w:val="000000"/>
                <w:sz w:val="18"/>
                <w:szCs w:val="18"/>
              </w:rPr>
              <w:t xml:space="preserve">.</w:t>
            </w:r>
          </w:p>
          <w:p>
            <w:pPr>
              <w:pStyle w:val="ListParagraph"/>
              <w:numPr>
                <w:ilvl w:val="0"/>
                <w:numId w:val="2"/>
              </w:numPr>
              <w:spacing w:after="40" w:before="0" w:line="250" w:lineRule="auto"/>
            </w:pPr>
            <w:r>
              <w:rPr>
                <w:rFonts w:ascii="Arial" w:cs="Arial" w:eastAsia="Arial" w:hAnsi="Arial"/>
                <w:b/>
                <w:bCs/>
                <w:i w:val="false"/>
                <w:iCs w:val="false"/>
                <w:color w:val="000000"/>
                <w:sz w:val="18"/>
                <w:szCs w:val="18"/>
              </w:rPr>
              <w:t xml:space="preserve">Available only for assets brought into use on or after 1 March 2023 and before 1 March 2025.</w:t>
            </w:r>
            <w:r>
              <w:rPr>
                <w:rFonts w:ascii="Arial" w:cs="Arial" w:eastAsia="Arial" w:hAnsi="Arial"/>
                <w:b w:val="false"/>
                <w:bCs w:val="false"/>
                <w:i w:val="false"/>
                <w:iCs w:val="false"/>
                <w:color w:val="000000"/>
                <w:sz w:val="18"/>
                <w:szCs w:val="18"/>
              </w:rPr>
              <w:t xml:space="preserve"> Not renewed by the Minister.</w:t>
            </w:r>
          </w:p>
          <w:p>
            <w:pPr>
              <w:pStyle w:val="ListParagraph"/>
              <w:numPr>
                <w:ilvl w:val="0"/>
                <w:numId w:val="2"/>
              </w:numPr>
              <w:spacing w:after="40" w:before="0" w:line="250" w:lineRule="auto"/>
            </w:pPr>
            <w:r>
              <w:rPr>
                <w:rFonts w:ascii="Arial" w:cs="Arial" w:eastAsia="Arial" w:hAnsi="Arial"/>
                <w:b w:val="false"/>
                <w:bCs w:val="false"/>
                <w:i w:val="false"/>
                <w:iCs w:val="false"/>
                <w:color w:val="000000"/>
                <w:sz w:val="18"/>
                <w:szCs w:val="18"/>
              </w:rPr>
              <w:t xml:space="preserve">s12B and s12BA are </w:t>
            </w:r>
            <w:r>
              <w:rPr>
                <w:rFonts w:ascii="Arial" w:cs="Arial" w:eastAsia="Arial" w:hAnsi="Arial"/>
                <w:b/>
                <w:bCs/>
                <w:i w:val="false"/>
                <w:iCs w:val="false"/>
                <w:color w:val="000000"/>
                <w:sz w:val="18"/>
                <w:szCs w:val="18"/>
              </w:rPr>
              <w:t xml:space="preserve">mutually exclusive</w:t>
            </w:r>
            <w:r>
              <w:rPr>
                <w:rFonts w:ascii="Arial" w:cs="Arial" w:eastAsia="Arial" w:hAnsi="Arial"/>
                <w:b w:val="false"/>
                <w:bCs w:val="false"/>
                <w:i w:val="false"/>
                <w:iCs w:val="false"/>
                <w:color w:val="000000"/>
                <w:sz w:val="18"/>
                <w:szCs w:val="18"/>
              </w:rPr>
              <w:t xml:space="preserve"> for the same asset.</w:t>
            </w:r>
          </w:p>
          <w:p>
            <w:pPr>
              <w:pStyle w:val="ListParagraph"/>
              <w:numPr>
                <w:ilvl w:val="0"/>
                <w:numId w:val="2"/>
              </w:numPr>
              <w:spacing w:after="0" w:before="0" w:line="250" w:lineRule="auto"/>
            </w:pPr>
            <w:r>
              <w:rPr>
                <w:rFonts w:ascii="Arial" w:cs="Arial" w:eastAsia="Arial" w:hAnsi="Arial"/>
                <w:b/>
                <w:bCs/>
                <w:i w:val="false"/>
                <w:iCs w:val="false"/>
                <w:color w:val="000000"/>
                <w:sz w:val="18"/>
                <w:szCs w:val="18"/>
              </w:rPr>
              <w:t xml:space="preserve">Recoupment — s8(4)(nA):</w:t>
            </w:r>
            <w:r>
              <w:rPr>
                <w:rFonts w:ascii="Arial" w:cs="Arial" w:eastAsia="Arial" w:hAnsi="Arial"/>
                <w:b w:val="false"/>
                <w:bCs w:val="false"/>
                <w:i w:val="false"/>
                <w:iCs w:val="false"/>
                <w:color w:val="000000"/>
                <w:sz w:val="18"/>
                <w:szCs w:val="18"/>
              </w:rPr>
              <w:t xml:space="preserve"> disposal </w:t>
            </w:r>
            <w:r>
              <w:rPr>
                <w:rFonts w:ascii="Arial" w:cs="Arial" w:eastAsia="Arial" w:hAnsi="Arial"/>
                <w:b/>
                <w:bCs/>
                <w:i w:val="false"/>
                <w:iCs w:val="false"/>
                <w:color w:val="000000"/>
                <w:sz w:val="18"/>
                <w:szCs w:val="18"/>
              </w:rPr>
              <w:t xml:space="preserve">before 1 March 2026</w:t>
            </w:r>
            <w:r>
              <w:rPr>
                <w:rFonts w:ascii="Arial" w:cs="Arial" w:eastAsia="Arial" w:hAnsi="Arial"/>
                <w:b w:val="false"/>
                <w:bCs w:val="false"/>
                <w:i w:val="false"/>
                <w:iCs w:val="false"/>
                <w:color w:val="000000"/>
                <w:sz w:val="18"/>
                <w:szCs w:val="18"/>
              </w:rPr>
              <w:t xml:space="preserve"> → if proceeds ≥ cost, </w:t>
            </w:r>
            <w:r>
              <w:rPr>
                <w:rFonts w:ascii="Arial" w:cs="Arial" w:eastAsia="Arial" w:hAnsi="Arial"/>
                <w:b/>
                <w:bCs/>
                <w:i w:val="false"/>
                <w:iCs w:val="false"/>
                <w:color w:val="000000"/>
                <w:sz w:val="18"/>
                <w:szCs w:val="18"/>
              </w:rPr>
              <w:t xml:space="preserve">full 125%</w:t>
            </w:r>
            <w:r>
              <w:rPr>
                <w:rFonts w:ascii="Arial" w:cs="Arial" w:eastAsia="Arial" w:hAnsi="Arial"/>
                <w:b w:val="false"/>
                <w:bCs w:val="false"/>
                <w:i w:val="false"/>
                <w:iCs w:val="false"/>
                <w:color w:val="000000"/>
                <w:sz w:val="18"/>
                <w:szCs w:val="18"/>
              </w:rPr>
              <w:t xml:space="preserve"> into income; if proceeds &lt; cost, </w:t>
            </w:r>
            <w:r>
              <w:rPr>
                <w:rFonts w:ascii="Arial" w:cs="Arial" w:eastAsia="Arial" w:hAnsi="Arial"/>
                <w:b/>
                <w:bCs/>
                <w:i w:val="false"/>
                <w:iCs w:val="false"/>
                <w:color w:val="000000"/>
                <w:sz w:val="18"/>
                <w:szCs w:val="18"/>
              </w:rPr>
              <w:t xml:space="preserve">125% of proceeds</w:t>
            </w:r>
            <w:r>
              <w:rPr>
                <w:rFonts w:ascii="Arial" w:cs="Arial" w:eastAsia="Arial" w:hAnsi="Arial"/>
                <w:b w:val="false"/>
                <w:bCs w:val="false"/>
                <w:i w:val="false"/>
                <w:iCs w:val="false"/>
                <w:color w:val="000000"/>
                <w:sz w:val="18"/>
                <w:szCs w:val="18"/>
              </w:rPr>
              <w:t xml:space="preserve"> into income. Disposal </w:t>
            </w:r>
            <w:r>
              <w:rPr>
                <w:rFonts w:ascii="Arial" w:cs="Arial" w:eastAsia="Arial" w:hAnsi="Arial"/>
                <w:b/>
                <w:bCs/>
                <w:i w:val="false"/>
                <w:iCs w:val="false"/>
                <w:color w:val="000000"/>
                <w:sz w:val="18"/>
                <w:szCs w:val="18"/>
              </w:rPr>
              <w:t xml:space="preserve">on or after 1 March 2026</w:t>
            </w:r>
            <w:r>
              <w:rPr>
                <w:rFonts w:ascii="Arial" w:cs="Arial" w:eastAsia="Arial" w:hAnsi="Arial"/>
                <w:b w:val="false"/>
                <w:bCs w:val="false"/>
                <w:i w:val="false"/>
                <w:iCs w:val="false"/>
                <w:color w:val="000000"/>
                <w:sz w:val="18"/>
                <w:szCs w:val="18"/>
              </w:rPr>
              <w:t xml:space="preserve"> → </w:t>
            </w:r>
            <w:r>
              <w:rPr>
                <w:rFonts w:ascii="Arial" w:cs="Arial" w:eastAsia="Arial" w:hAnsi="Arial"/>
                <w:b/>
                <w:bCs/>
                <w:i w:val="false"/>
                <w:iCs w:val="false"/>
                <w:color w:val="000000"/>
                <w:sz w:val="18"/>
                <w:szCs w:val="18"/>
              </w:rPr>
              <w:t xml:space="preserve">lesser of proceeds and the allowance</w:t>
            </w:r>
            <w:r>
              <w:rPr>
                <w:rFonts w:ascii="Arial" w:cs="Arial" w:eastAsia="Arial" w:hAnsi="Arial"/>
                <w:b w:val="false"/>
                <w:bCs w:val="false"/>
                <w:i w:val="false"/>
                <w:iCs w:val="false"/>
                <w:color w:val="000000"/>
                <w:sz w:val="18"/>
                <w:szCs w:val="18"/>
              </w:rPr>
              <w:t xml:space="preserve">.</w:t>
            </w:r>
          </w:p>
        </w:tc>
        <w:tc>
          <w:tcPr>
            <w:tcW w:type="dxa" w:w="5974"/>
            <w:tcBorders>
              <w:top w:val="single" w:color="888888" w:sz="4"/>
              <w:left w:val="single" w:color="888888" w:sz="4"/>
              <w:bottom w:val="single" w:color="888888" w:sz="4"/>
              <w:right w:val="single" w:color="888888" w:sz="4"/>
            </w:tcBorders>
            <w:tcMar>
              <w:top w:type="dxa" w:w="60"/>
              <w:left w:type="dxa" w:w="80"/>
              <w:bottom w:type="dxa" w:w="60"/>
              <w:right w:type="dxa" w:w="80"/>
            </w:tcMar>
          </w:tcPr>
          <w:p>
            <w:pPr>
              <w:pStyle w:val="ListParagraph"/>
              <w:numPr>
                <w:ilvl w:val="0"/>
                <w:numId w:val="2"/>
              </w:numPr>
              <w:spacing w:after="40" w:before="0" w:line="250" w:lineRule="auto"/>
            </w:pPr>
            <w:r>
              <w:rPr>
                <w:rFonts w:ascii="Arial" w:cs="Arial" w:eastAsia="Arial" w:hAnsi="Arial"/>
                <w:b/>
                <w:bCs/>
                <w:i w:val="false"/>
                <w:iCs w:val="false"/>
                <w:color w:val="0070C0"/>
                <w:sz w:val="18"/>
                <w:szCs w:val="18"/>
              </w:rPr>
              <w:t xml:space="preserve">Not available for any new project.</w:t>
            </w:r>
            <w:r>
              <w:rPr>
                <w:rFonts w:ascii="Arial" w:cs="Arial" w:eastAsia="Arial" w:hAnsi="Arial"/>
                <w:b w:val="false"/>
                <w:bCs w:val="false"/>
                <w:i w:val="false"/>
                <w:iCs w:val="false"/>
                <w:color w:val="0070C0"/>
                <w:sz w:val="18"/>
                <w:szCs w:val="18"/>
              </w:rPr>
              <w:t xml:space="preserve"> The window closed on 28 February 2025. Anything arising from Document 7 will be brought into use in FY2027 at the earliest. </w:t>
            </w:r>
            <w:r>
              <w:rPr>
                <w:rFonts w:ascii="Arial" w:cs="Arial" w:eastAsia="Arial" w:hAnsi="Arial"/>
                <w:b/>
                <w:bCs/>
                <w:i w:val="false"/>
                <w:iCs w:val="false"/>
                <w:color w:val="0070C0"/>
                <w:sz w:val="18"/>
                <w:szCs w:val="18"/>
              </w:rPr>
              <w:t xml:space="preserve">Say this explicitly on the day rather than claiming the allowance</w:t>
            </w:r>
            <w:r>
              <w:rPr>
                <w:rFonts w:ascii="Arial" w:cs="Arial" w:eastAsia="Arial" w:hAnsi="Arial"/>
                <w:b w:val="false"/>
                <w:bCs w:val="false"/>
                <w:i w:val="false"/>
                <w:iCs w:val="false"/>
                <w:color w:val="0070C0"/>
                <w:sz w:val="18"/>
                <w:szCs w:val="18"/>
              </w:rPr>
              <w:t xml:space="preserve"> — in the August paper the tax task was decided by exactly this kind of date precision.</w:t>
            </w:r>
          </w:p>
          <w:p>
            <w:pPr>
              <w:pStyle w:val="ListParagraph"/>
              <w:numPr>
                <w:ilvl w:val="0"/>
                <w:numId w:val="2"/>
              </w:numPr>
              <w:spacing w:after="40" w:before="0" w:line="250" w:lineRule="auto"/>
            </w:pPr>
            <w:r>
              <w:rPr>
                <w:rFonts w:ascii="Arial" w:cs="Arial" w:eastAsia="Arial" w:hAnsi="Arial"/>
                <w:b/>
                <w:bCs/>
                <w:i w:val="false"/>
                <w:iCs w:val="false"/>
                <w:color w:val="0070C0"/>
                <w:sz w:val="18"/>
                <w:szCs w:val="18"/>
              </w:rPr>
              <w:t xml:space="preserve">But it may already sit in the FY2025 computation.</w:t>
            </w:r>
            <w:r>
              <w:rPr>
                <w:rFonts w:ascii="Arial" w:cs="Arial" w:eastAsia="Arial" w:hAnsi="Arial"/>
                <w:b w:val="false"/>
                <w:bCs w:val="false"/>
                <w:i w:val="false"/>
                <w:iCs w:val="false"/>
                <w:color w:val="0070C0"/>
                <w:sz w:val="18"/>
                <w:szCs w:val="18"/>
              </w:rPr>
              <w:t xml:space="preserve"> [WAITING FOR INPUT — information on the day]: when was the existing on-site solar brought into use, and what was claimed?</w:t>
            </w:r>
          </w:p>
          <w:p>
            <w:pPr>
              <w:pStyle w:val="ListParagraph"/>
              <w:numPr>
                <w:ilvl w:val="0"/>
                <w:numId w:val="2"/>
              </w:numPr>
              <w:spacing w:after="40" w:before="0" w:line="250" w:lineRule="auto"/>
            </w:pPr>
            <w:r>
              <w:rPr>
                <w:rFonts w:ascii="Arial" w:cs="Arial" w:eastAsia="Arial" w:hAnsi="Arial"/>
                <w:b/>
                <w:bCs/>
                <w:i w:val="false"/>
                <w:iCs w:val="false"/>
                <w:color w:val="0070C0"/>
                <w:sz w:val="18"/>
                <w:szCs w:val="18"/>
              </w:rPr>
              <w:t xml:space="preserve">Worked example — Asset Y (assumed brought into use 1 October 2024, inside the window):</w:t>
            </w:r>
          </w:p>
          <w:p>
            <w:pPr>
              <w:pStyle w:val="ListParagraph"/>
              <w:numPr>
                <w:ilvl w:val="0"/>
                <w:numId w:val="2"/>
              </w:numPr>
              <w:spacing w:after="40" w:before="0" w:line="250" w:lineRule="auto"/>
            </w:pPr>
            <w:r>
              <w:rPr>
                <w:rFonts w:ascii="Arial" w:cs="Arial" w:eastAsia="Arial" w:hAnsi="Arial"/>
                <w:b w:val="false"/>
                <w:bCs w:val="false"/>
                <w:i w:val="false"/>
                <w:iCs w:val="false"/>
                <w:color w:val="0070C0"/>
                <w:sz w:val="18"/>
                <w:szCs w:val="18"/>
              </w:rPr>
              <w:t xml:space="preserve">Cost R18m × 125% = </w:t>
            </w:r>
            <w:r>
              <w:rPr>
                <w:rFonts w:ascii="Arial" w:cs="Arial" w:eastAsia="Arial" w:hAnsi="Arial"/>
                <w:b/>
                <w:bCs/>
                <w:i w:val="false"/>
                <w:iCs w:val="false"/>
                <w:color w:val="0070C0"/>
                <w:sz w:val="18"/>
                <w:szCs w:val="18"/>
              </w:rPr>
              <w:t xml:space="preserve">R22.5m</w:t>
            </w:r>
            <w:r>
              <w:rPr>
                <w:rFonts w:ascii="Arial" w:cs="Arial" w:eastAsia="Arial" w:hAnsi="Arial"/>
                <w:b w:val="false"/>
                <w:bCs w:val="false"/>
                <w:i w:val="false"/>
                <w:iCs w:val="false"/>
                <w:color w:val="0070C0"/>
                <w:sz w:val="18"/>
                <w:szCs w:val="18"/>
              </w:rPr>
              <w:t xml:space="preserve"> deduction in FY2025 · tax at 27% = </w:t>
            </w:r>
            <w:r>
              <w:rPr>
                <w:rFonts w:ascii="Arial" w:cs="Arial" w:eastAsia="Arial" w:hAnsi="Arial"/>
                <w:b/>
                <w:bCs/>
                <w:i w:val="false"/>
                <w:iCs w:val="false"/>
                <w:color w:val="0070C0"/>
                <w:sz w:val="18"/>
                <w:szCs w:val="18"/>
              </w:rPr>
              <w:t xml:space="preserve">R6.075m</w:t>
            </w:r>
          </w:p>
          <w:p>
            <w:pPr>
              <w:pStyle w:val="ListParagraph"/>
              <w:numPr>
                <w:ilvl w:val="0"/>
                <w:numId w:val="2"/>
              </w:numPr>
              <w:spacing w:after="40" w:before="0" w:line="250" w:lineRule="auto"/>
            </w:pPr>
            <w:r>
              <w:rPr>
                <w:rFonts w:ascii="Arial" w:cs="Arial" w:eastAsia="Arial" w:hAnsi="Arial"/>
                <w:b w:val="false"/>
                <w:bCs w:val="false"/>
                <w:i w:val="false"/>
                <w:iCs w:val="false"/>
                <w:color w:val="0070C0"/>
                <w:sz w:val="18"/>
                <w:szCs w:val="18"/>
              </w:rPr>
              <w:t xml:space="preserve">Compare s12B at 100% (≤ 1MW): R18m deduction, R4.86m tax. The enhanced allowance was worth an extra </w:t>
            </w:r>
            <w:r>
              <w:rPr>
                <w:rFonts w:ascii="Arial" w:cs="Arial" w:eastAsia="Arial" w:hAnsi="Arial"/>
                <w:b/>
                <w:bCs/>
                <w:i w:val="false"/>
                <w:iCs w:val="false"/>
                <w:color w:val="0070C0"/>
                <w:sz w:val="18"/>
                <w:szCs w:val="18"/>
              </w:rPr>
              <w:t xml:space="preserve">R1.215m</w:t>
            </w:r>
            <w:r>
              <w:rPr>
                <w:rFonts w:ascii="Arial" w:cs="Arial" w:eastAsia="Arial" w:hAnsi="Arial"/>
                <w:b w:val="false"/>
                <w:bCs w:val="false"/>
                <w:i w:val="false"/>
                <w:iCs w:val="false"/>
                <w:color w:val="0070C0"/>
                <w:sz w:val="18"/>
                <w:szCs w:val="18"/>
              </w:rPr>
              <w:t xml:space="preserve">.</w:t>
            </w:r>
          </w:p>
          <w:p>
            <w:pPr>
              <w:pStyle w:val="ListParagraph"/>
              <w:numPr>
                <w:ilvl w:val="0"/>
                <w:numId w:val="2"/>
              </w:numPr>
              <w:spacing w:after="40" w:before="0" w:line="250" w:lineRule="auto"/>
            </w:pPr>
            <w:r>
              <w:rPr>
                <w:rFonts w:ascii="Arial" w:cs="Arial" w:eastAsia="Arial" w:hAnsi="Arial"/>
                <w:b w:val="false"/>
                <w:bCs w:val="false"/>
                <w:i w:val="false"/>
                <w:iCs w:val="false"/>
                <w:color w:val="0070C0"/>
                <w:sz w:val="18"/>
                <w:szCs w:val="18"/>
              </w:rPr>
              <w:t xml:space="preserve">The extra 25% (R4.5m) is a </w:t>
            </w:r>
            <w:r>
              <w:rPr>
                <w:rFonts w:ascii="Arial" w:cs="Arial" w:eastAsia="Arial" w:hAnsi="Arial"/>
                <w:b/>
                <w:bCs/>
                <w:i w:val="false"/>
                <w:iCs w:val="false"/>
                <w:color w:val="0070C0"/>
                <w:sz w:val="18"/>
                <w:szCs w:val="18"/>
              </w:rPr>
              <w:t xml:space="preserve">permanent difference</w:t>
            </w:r>
            <w:r>
              <w:rPr>
                <w:rFonts w:ascii="Arial" w:cs="Arial" w:eastAsia="Arial" w:hAnsi="Arial"/>
                <w:b w:val="false"/>
                <w:bCs w:val="false"/>
                <w:i w:val="false"/>
                <w:iCs w:val="false"/>
                <w:color w:val="0070C0"/>
                <w:sz w:val="18"/>
                <w:szCs w:val="18"/>
              </w:rPr>
              <w:t xml:space="preserve"> — total deductions exceed cost — so it reduced the FY2025 effective tax rate and appears as a reconciling item. It is not deferred tax.</w:t>
            </w:r>
          </w:p>
          <w:p>
            <w:pPr>
              <w:pStyle w:val="ListParagraph"/>
              <w:numPr>
                <w:ilvl w:val="0"/>
                <w:numId w:val="2"/>
              </w:numPr>
              <w:spacing w:after="40" w:before="0" w:line="250" w:lineRule="auto"/>
            </w:pPr>
            <w:r>
              <w:rPr>
                <w:rFonts w:ascii="Arial" w:cs="Arial" w:eastAsia="Arial" w:hAnsi="Arial"/>
                <w:b/>
                <w:bCs/>
                <w:i w:val="false"/>
                <w:iCs w:val="false"/>
                <w:color w:val="0070C0"/>
                <w:sz w:val="18"/>
                <w:szCs w:val="18"/>
              </w:rPr>
              <w:t xml:space="preserve">Disposal of Asset Y — the date matters enormously.</w:t>
            </w:r>
            <w:r>
              <w:rPr>
                <w:rFonts w:ascii="Arial" w:cs="Arial" w:eastAsia="Arial" w:hAnsi="Arial"/>
                <w:b w:val="false"/>
                <w:bCs w:val="false"/>
                <w:i w:val="false"/>
                <w:iCs w:val="false"/>
                <w:color w:val="0070C0"/>
                <w:sz w:val="18"/>
                <w:szCs w:val="18"/>
              </w:rPr>
              <w:t xml:space="preserve"> Assume sold for R15m (below cost of R18m):</w:t>
            </w:r>
          </w:p>
          <w:p>
            <w:pPr>
              <w:pStyle w:val="ListParagraph"/>
              <w:numPr>
                <w:ilvl w:val="0"/>
                <w:numId w:val="2"/>
              </w:numPr>
              <w:spacing w:after="40" w:before="0" w:line="250" w:lineRule="auto"/>
            </w:pPr>
            <w:r>
              <w:rPr>
                <w:rFonts w:ascii="Arial" w:cs="Arial" w:eastAsia="Arial" w:hAnsi="Arial"/>
                <w:b w:val="false"/>
                <w:bCs w:val="false"/>
                <w:i w:val="false"/>
                <w:iCs w:val="false"/>
                <w:color w:val="0070C0"/>
                <w:sz w:val="18"/>
                <w:szCs w:val="18"/>
              </w:rPr>
              <w:t xml:space="preserve">Sold </w:t>
            </w:r>
            <w:r>
              <w:rPr>
                <w:rFonts w:ascii="Arial" w:cs="Arial" w:eastAsia="Arial" w:hAnsi="Arial"/>
                <w:b/>
                <w:bCs/>
                <w:i w:val="false"/>
                <w:iCs w:val="false"/>
                <w:color w:val="0070C0"/>
                <w:sz w:val="18"/>
                <w:szCs w:val="18"/>
              </w:rPr>
              <w:t xml:space="preserve">before</w:t>
            </w:r>
            <w:r>
              <w:rPr>
                <w:rFonts w:ascii="Arial" w:cs="Arial" w:eastAsia="Arial" w:hAnsi="Arial"/>
                <w:b w:val="false"/>
                <w:bCs w:val="false"/>
                <w:i w:val="false"/>
                <w:iCs w:val="false"/>
                <w:color w:val="0070C0"/>
                <w:sz w:val="18"/>
                <w:szCs w:val="18"/>
              </w:rPr>
              <w:t xml:space="preserve"> 1 March 2026 → recoup 125% × R15m = </w:t>
            </w:r>
            <w:r>
              <w:rPr>
                <w:rFonts w:ascii="Arial" w:cs="Arial" w:eastAsia="Arial" w:hAnsi="Arial"/>
                <w:b/>
                <w:bCs/>
                <w:i w:val="false"/>
                <w:iCs w:val="false"/>
                <w:color w:val="0070C0"/>
                <w:sz w:val="18"/>
                <w:szCs w:val="18"/>
              </w:rPr>
              <w:t xml:space="preserve">R18.75m</w:t>
            </w:r>
            <w:r>
              <w:rPr>
                <w:rFonts w:ascii="Arial" w:cs="Arial" w:eastAsia="Arial" w:hAnsi="Arial"/>
                <w:b w:val="false"/>
                <w:bCs w:val="false"/>
                <w:i w:val="false"/>
                <w:iCs w:val="false"/>
                <w:color w:val="0070C0"/>
                <w:sz w:val="18"/>
                <w:szCs w:val="18"/>
              </w:rPr>
              <w:t xml:space="preserve"> into income · tax </w:t>
            </w:r>
            <w:r>
              <w:rPr>
                <w:rFonts w:ascii="Arial" w:cs="Arial" w:eastAsia="Arial" w:hAnsi="Arial"/>
                <w:b/>
                <w:bCs/>
                <w:i w:val="false"/>
                <w:iCs w:val="false"/>
                <w:color w:val="0070C0"/>
                <w:sz w:val="18"/>
                <w:szCs w:val="18"/>
              </w:rPr>
              <w:t xml:space="preserve">R5.06m</w:t>
            </w:r>
          </w:p>
          <w:p>
            <w:pPr>
              <w:pStyle w:val="ListParagraph"/>
              <w:numPr>
                <w:ilvl w:val="0"/>
                <w:numId w:val="2"/>
              </w:numPr>
              <w:spacing w:after="40" w:before="0" w:line="250" w:lineRule="auto"/>
            </w:pPr>
            <w:r>
              <w:rPr>
                <w:rFonts w:ascii="Arial" w:cs="Arial" w:eastAsia="Arial" w:hAnsi="Arial"/>
                <w:b w:val="false"/>
                <w:bCs w:val="false"/>
                <w:i w:val="false"/>
                <w:iCs w:val="false"/>
                <w:color w:val="0070C0"/>
                <w:sz w:val="18"/>
                <w:szCs w:val="18"/>
              </w:rPr>
              <w:t xml:space="preserve">Sold </w:t>
            </w:r>
            <w:r>
              <w:rPr>
                <w:rFonts w:ascii="Arial" w:cs="Arial" w:eastAsia="Arial" w:hAnsi="Arial"/>
                <w:b/>
                <w:bCs/>
                <w:i w:val="false"/>
                <w:iCs w:val="false"/>
                <w:color w:val="0070C0"/>
                <w:sz w:val="18"/>
                <w:szCs w:val="18"/>
              </w:rPr>
              <w:t xml:space="preserve">on or after</w:t>
            </w:r>
            <w:r>
              <w:rPr>
                <w:rFonts w:ascii="Arial" w:cs="Arial" w:eastAsia="Arial" w:hAnsi="Arial"/>
                <w:b w:val="false"/>
                <w:bCs w:val="false"/>
                <w:i w:val="false"/>
                <w:iCs w:val="false"/>
                <w:color w:val="0070C0"/>
                <w:sz w:val="18"/>
                <w:szCs w:val="18"/>
              </w:rPr>
              <w:t xml:space="preserve"> 1 March 2026 → recoup the </w:t>
            </w:r>
            <w:r>
              <w:rPr>
                <w:rFonts w:ascii="Arial" w:cs="Arial" w:eastAsia="Arial" w:hAnsi="Arial"/>
                <w:b/>
                <w:bCs/>
                <w:i w:val="false"/>
                <w:iCs w:val="false"/>
                <w:color w:val="0070C0"/>
                <w:sz w:val="18"/>
                <w:szCs w:val="18"/>
              </w:rPr>
              <w:t xml:space="preserve">lesser</w:t>
            </w:r>
            <w:r>
              <w:rPr>
                <w:rFonts w:ascii="Arial" w:cs="Arial" w:eastAsia="Arial" w:hAnsi="Arial"/>
                <w:b w:val="false"/>
                <w:bCs w:val="false"/>
                <w:i w:val="false"/>
                <w:iCs w:val="false"/>
                <w:color w:val="0070C0"/>
                <w:sz w:val="18"/>
                <w:szCs w:val="18"/>
              </w:rPr>
              <w:t xml:space="preserve"> of proceeds R15m and the allowance R22.5m = </w:t>
            </w:r>
            <w:r>
              <w:rPr>
                <w:rFonts w:ascii="Arial" w:cs="Arial" w:eastAsia="Arial" w:hAnsi="Arial"/>
                <w:b/>
                <w:bCs/>
                <w:i w:val="false"/>
                <w:iCs w:val="false"/>
                <w:color w:val="0070C0"/>
                <w:sz w:val="18"/>
                <w:szCs w:val="18"/>
              </w:rPr>
              <w:t xml:space="preserve">R15.0m</w:t>
            </w:r>
            <w:r>
              <w:rPr>
                <w:rFonts w:ascii="Arial" w:cs="Arial" w:eastAsia="Arial" w:hAnsi="Arial"/>
                <w:b w:val="false"/>
                <w:bCs w:val="false"/>
                <w:i w:val="false"/>
                <w:iCs w:val="false"/>
                <w:color w:val="0070C0"/>
                <w:sz w:val="18"/>
                <w:szCs w:val="18"/>
              </w:rPr>
              <w:t xml:space="preserve"> · tax </w:t>
            </w:r>
            <w:r>
              <w:rPr>
                <w:rFonts w:ascii="Arial" w:cs="Arial" w:eastAsia="Arial" w:hAnsi="Arial"/>
                <w:b/>
                <w:bCs/>
                <w:i w:val="false"/>
                <w:iCs w:val="false"/>
                <w:color w:val="0070C0"/>
                <w:sz w:val="18"/>
                <w:szCs w:val="18"/>
              </w:rPr>
              <w:t xml:space="preserve">R4.05m</w:t>
            </w:r>
          </w:p>
          <w:p>
            <w:pPr>
              <w:pStyle w:val="ListParagraph"/>
              <w:numPr>
                <w:ilvl w:val="0"/>
                <w:numId w:val="2"/>
              </w:numPr>
              <w:spacing w:after="0" w:before="0" w:line="250" w:lineRule="auto"/>
            </w:pPr>
            <w:r>
              <w:rPr>
                <w:rFonts w:ascii="Arial" w:cs="Arial" w:eastAsia="Arial" w:hAnsi="Arial"/>
                <w:b/>
                <w:bCs/>
                <w:i w:val="false"/>
                <w:iCs w:val="false"/>
                <w:color w:val="0070C0"/>
                <w:sz w:val="18"/>
                <w:szCs w:val="18"/>
              </w:rPr>
              <w:t xml:space="preserve">Axion’s FY2026 ended 30 June 2026, which is after 1 March 2026.</w:t>
            </w:r>
            <w:r>
              <w:rPr>
                <w:rFonts w:ascii="Arial" w:cs="Arial" w:eastAsia="Arial" w:hAnsi="Arial"/>
                <w:b w:val="false"/>
                <w:bCs w:val="false"/>
                <w:i w:val="false"/>
                <w:iCs w:val="false"/>
                <w:color w:val="0070C0"/>
                <w:sz w:val="18"/>
                <w:szCs w:val="18"/>
              </w:rPr>
              <w:t xml:space="preserve"> So the milder rule applies to any disposal now. That is a favourable, precise and date-driven point — exactly the kind this trigger is built on.</w:t>
            </w:r>
          </w:p>
        </w:tc>
      </w:tr>
    </w:tbl>
    <w:p>
      <w:pPr>
        <w:keepNext w:val="false"/>
        <w:spacing w:after="0" w:before="0" w:line="250" w:lineRule="auto"/>
      </w:pPr>
      <w:r>
        <w:rPr>
          <w:rFonts w:ascii="Arial" w:cs="Arial" w:eastAsia="Arial" w:hAnsi="Arial"/>
          <w:sz w:val="12"/>
          <w:szCs w:val="12"/>
        </w:rPr>
        <w:t xml:space="preserve"/>
      </w:r>
    </w:p>
    <w:p>
      <w:pPr>
        <w:keepNext/>
        <w:spacing w:after="70" w:before="200" w:line="250" w:lineRule="auto"/>
      </w:pPr>
      <w:r>
        <w:rPr>
          <w:rFonts w:ascii="Arial" w:cs="Arial" w:eastAsia="Arial" w:hAnsi="Arial"/>
          <w:b/>
          <w:bCs/>
          <w:i w:val="false"/>
          <w:iCs w:val="false"/>
          <w:color w:val="000000"/>
          <w:sz w:val="22"/>
          <w:szCs w:val="22"/>
        </w:rPr>
        <w:t xml:space="preserve">Table 3 — Section 12U: roads and fences</w:t>
      </w:r>
    </w:p>
    <w:tbl>
      <w:tblPr>
        <w:tblW w:type="dxa" w:w="10300"/>
        <w:tblBorders>
          <w:top w:val="single" w:color="auto" w:sz="4"/>
          <w:left w:val="single" w:color="auto" w:sz="4"/>
          <w:bottom w:val="single" w:color="auto" w:sz="4"/>
          <w:right w:val="single" w:color="auto" w:sz="4"/>
          <w:insideH w:val="single" w:color="auto" w:sz="4"/>
          <w:insideV w:val="single" w:color="auto" w:sz="4"/>
        </w:tblBorders>
      </w:tblPr>
      <w:tblGrid>
        <w:gridCol w:w="4326"/>
        <w:gridCol w:w="5974"/>
      </w:tblGrid>
      <w:tr>
        <w:trPr>
          <w:tblHeader/>
        </w:trPr>
        <w:tc>
          <w:tcPr>
            <w:tcW w:type="dxa" w:w="4326"/>
            <w:tcBorders>
              <w:top w:val="single" w:color="888888" w:sz="4"/>
              <w:left w:val="single" w:color="888888" w:sz="4"/>
              <w:bottom w:val="single" w:color="888888" w:sz="4"/>
              <w:right w:val="single" w:color="888888" w:sz="4"/>
            </w:tcBorders>
            <w:shd w:fill="E8E8E8" w:val="clear"/>
            <w:tcMar>
              <w:top w:type="dxa" w:w="60"/>
              <w:left w:type="dxa" w:w="80"/>
              <w:bottom w:type="dxa" w:w="60"/>
              <w:right w:type="dxa" w:w="80"/>
            </w:tcMar>
            <w:vAlign w:val="center"/>
          </w:tcPr>
          <w:p>
            <w:pPr>
              <w:keepNext w:val="false"/>
              <w:spacing w:after="0" w:before="0" w:line="250" w:lineRule="auto"/>
            </w:pPr>
            <w:r>
              <w:rPr>
                <w:rFonts w:ascii="Arial" w:cs="Arial" w:eastAsia="Arial" w:hAnsi="Arial"/>
                <w:b/>
                <w:bCs/>
                <w:i w:val="false"/>
                <w:iCs w:val="false"/>
                <w:color w:val="000000"/>
                <w:sz w:val="18"/>
                <w:szCs w:val="18"/>
              </w:rPr>
              <w:t xml:space="preserve">Legislation — what the Act says</w:t>
            </w:r>
          </w:p>
        </w:tc>
        <w:tc>
          <w:tcPr>
            <w:tcW w:type="dxa" w:w="5974"/>
            <w:tcBorders>
              <w:top w:val="single" w:color="888888" w:sz="4"/>
              <w:left w:val="single" w:color="888888" w:sz="4"/>
              <w:bottom w:val="single" w:color="888888" w:sz="4"/>
              <w:right w:val="single" w:color="888888" w:sz="4"/>
            </w:tcBorders>
            <w:shd w:fill="E8E8E8" w:val="clear"/>
            <w:tcMar>
              <w:top w:type="dxa" w:w="60"/>
              <w:left w:type="dxa" w:w="80"/>
              <w:bottom w:type="dxa" w:w="60"/>
              <w:right w:type="dxa" w:w="80"/>
            </w:tcMar>
            <w:vAlign w:val="center"/>
          </w:tcPr>
          <w:p>
            <w:pPr>
              <w:keepNext w:val="false"/>
              <w:spacing w:after="0" w:before="0" w:line="250" w:lineRule="auto"/>
            </w:pPr>
            <w:r>
              <w:rPr>
                <w:rFonts w:ascii="Arial" w:cs="Arial" w:eastAsia="Arial" w:hAnsi="Arial"/>
                <w:b/>
                <w:bCs/>
                <w:i w:val="false"/>
                <w:iCs w:val="false"/>
                <w:color w:val="000000"/>
                <w:sz w:val="18"/>
                <w:szCs w:val="18"/>
              </w:rPr>
              <w:t xml:space="preserve">Application to Axion — tax consequences</w:t>
            </w:r>
          </w:p>
        </w:tc>
      </w:tr>
      <w:tr>
        <w:tc>
          <w:tcPr>
            <w:tcW w:type="dxa" w:w="4326"/>
            <w:tcBorders>
              <w:top w:val="single" w:color="888888" w:sz="4"/>
              <w:left w:val="single" w:color="888888" w:sz="4"/>
              <w:bottom w:val="single" w:color="888888" w:sz="4"/>
              <w:right w:val="single" w:color="888888" w:sz="4"/>
            </w:tcBorders>
            <w:tcMar>
              <w:top w:type="dxa" w:w="60"/>
              <w:left w:type="dxa" w:w="80"/>
              <w:bottom w:type="dxa" w:w="60"/>
              <w:right w:type="dxa" w:w="80"/>
            </w:tcMar>
          </w:tcPr>
          <w:p>
            <w:pPr>
              <w:pStyle w:val="ListParagraph"/>
              <w:numPr>
                <w:ilvl w:val="0"/>
                <w:numId w:val="2"/>
              </w:numPr>
              <w:spacing w:after="40" w:before="0" w:line="250" w:lineRule="auto"/>
            </w:pPr>
            <w:r>
              <w:rPr>
                <w:rFonts w:ascii="Arial" w:cs="Arial" w:eastAsia="Arial" w:hAnsi="Arial"/>
                <w:b w:val="false"/>
                <w:bCs w:val="false"/>
                <w:i w:val="false"/>
                <w:iCs w:val="false"/>
                <w:color w:val="000000"/>
                <w:sz w:val="18"/>
                <w:szCs w:val="18"/>
              </w:rPr>
              <w:t xml:space="preserve">Introduced with effect from </w:t>
            </w:r>
            <w:r>
              <w:rPr>
                <w:rFonts w:ascii="Arial" w:cs="Arial" w:eastAsia="Arial" w:hAnsi="Arial"/>
                <w:b/>
                <w:bCs/>
                <w:i w:val="false"/>
                <w:iCs w:val="false"/>
                <w:color w:val="000000"/>
                <w:sz w:val="18"/>
                <w:szCs w:val="18"/>
              </w:rPr>
              <w:t xml:space="preserve">1 April 2016</w:t>
            </w:r>
            <w:r>
              <w:rPr>
                <w:rFonts w:ascii="Arial" w:cs="Arial" w:eastAsia="Arial" w:hAnsi="Arial"/>
                <w:b w:val="false"/>
                <w:bCs w:val="false"/>
                <w:i w:val="false"/>
                <w:iCs w:val="false"/>
                <w:color w:val="000000"/>
                <w:sz w:val="18"/>
                <w:szCs w:val="18"/>
              </w:rPr>
              <w:t xml:space="preserve">, to cover supporting infrastructure that s12B does not.</w:t>
            </w:r>
          </w:p>
          <w:p>
            <w:pPr>
              <w:pStyle w:val="ListParagraph"/>
              <w:numPr>
                <w:ilvl w:val="0"/>
                <w:numId w:val="2"/>
              </w:numPr>
              <w:spacing w:after="40" w:before="0" w:line="250" w:lineRule="auto"/>
            </w:pPr>
            <w:r>
              <w:rPr>
                <w:rFonts w:ascii="Arial" w:cs="Arial" w:eastAsia="Arial" w:hAnsi="Arial"/>
                <w:b/>
                <w:bCs/>
                <w:i w:val="false"/>
                <w:iCs w:val="false"/>
                <w:color w:val="000000"/>
                <w:sz w:val="18"/>
                <w:szCs w:val="18"/>
              </w:rPr>
              <w:t xml:space="preserve">100% write-off in the year incurred</w:t>
            </w:r>
            <w:r>
              <w:rPr>
                <w:rFonts w:ascii="Arial" w:cs="Arial" w:eastAsia="Arial" w:hAnsi="Arial"/>
                <w:b w:val="false"/>
                <w:bCs w:val="false"/>
                <w:i w:val="false"/>
                <w:iCs w:val="false"/>
                <w:color w:val="000000"/>
                <w:sz w:val="18"/>
                <w:szCs w:val="18"/>
              </w:rPr>
              <w:t xml:space="preserve"> of expenditure on:</w:t>
            </w:r>
          </w:p>
          <w:p>
            <w:pPr>
              <w:pStyle w:val="ListParagraph"/>
              <w:numPr>
                <w:ilvl w:val="0"/>
                <w:numId w:val="2"/>
              </w:numPr>
              <w:spacing w:after="40" w:before="0" w:line="250" w:lineRule="auto"/>
            </w:pPr>
            <w:r>
              <w:rPr>
                <w:rFonts w:ascii="Arial" w:cs="Arial" w:eastAsia="Arial" w:hAnsi="Arial"/>
                <w:b w:val="false"/>
                <w:bCs w:val="false"/>
                <w:i w:val="false"/>
                <w:iCs w:val="false"/>
                <w:color w:val="000000"/>
                <w:sz w:val="18"/>
                <w:szCs w:val="18"/>
              </w:rPr>
              <w:t xml:space="preserve">— the </w:t>
            </w:r>
            <w:r>
              <w:rPr>
                <w:rFonts w:ascii="Arial" w:cs="Arial" w:eastAsia="Arial" w:hAnsi="Arial"/>
                <w:b/>
                <w:bCs/>
                <w:i w:val="false"/>
                <w:iCs w:val="false"/>
                <w:color w:val="000000"/>
                <w:sz w:val="18"/>
                <w:szCs w:val="18"/>
              </w:rPr>
              <w:t xml:space="preserve">construction of any road</w:t>
            </w:r>
            <w:r>
              <w:rPr>
                <w:rFonts w:ascii="Arial" w:cs="Arial" w:eastAsia="Arial" w:hAnsi="Arial"/>
                <w:b w:val="false"/>
                <w:bCs w:val="false"/>
                <w:i w:val="false"/>
                <w:iCs w:val="false"/>
                <w:color w:val="000000"/>
                <w:sz w:val="18"/>
                <w:szCs w:val="18"/>
              </w:rPr>
              <w:t xml:space="preserve">;</w:t>
            </w:r>
          </w:p>
          <w:p>
            <w:pPr>
              <w:pStyle w:val="ListParagraph"/>
              <w:numPr>
                <w:ilvl w:val="0"/>
                <w:numId w:val="2"/>
              </w:numPr>
              <w:spacing w:after="40" w:before="0" w:line="250" w:lineRule="auto"/>
            </w:pPr>
            <w:r>
              <w:rPr>
                <w:rFonts w:ascii="Arial" w:cs="Arial" w:eastAsia="Arial" w:hAnsi="Arial"/>
                <w:b w:val="false"/>
                <w:bCs w:val="false"/>
                <w:i w:val="false"/>
                <w:iCs w:val="false"/>
                <w:color w:val="000000"/>
                <w:sz w:val="18"/>
                <w:szCs w:val="18"/>
              </w:rPr>
              <w:t xml:space="preserve">— the </w:t>
            </w:r>
            <w:r>
              <w:rPr>
                <w:rFonts w:ascii="Arial" w:cs="Arial" w:eastAsia="Arial" w:hAnsi="Arial"/>
                <w:b/>
                <w:bCs/>
                <w:i w:val="false"/>
                <w:iCs w:val="false"/>
                <w:color w:val="000000"/>
                <w:sz w:val="18"/>
                <w:szCs w:val="18"/>
              </w:rPr>
              <w:t xml:space="preserve">erection of any fence</w:t>
            </w:r>
            <w:r>
              <w:rPr>
                <w:rFonts w:ascii="Arial" w:cs="Arial" w:eastAsia="Arial" w:hAnsi="Arial"/>
                <w:b w:val="false"/>
                <w:bCs w:val="false"/>
                <w:i w:val="false"/>
                <w:iCs w:val="false"/>
                <w:color w:val="000000"/>
                <w:sz w:val="18"/>
                <w:szCs w:val="18"/>
              </w:rPr>
              <w:t xml:space="preserve">;</w:t>
            </w:r>
          </w:p>
          <w:p>
            <w:pPr>
              <w:pStyle w:val="ListParagraph"/>
              <w:numPr>
                <w:ilvl w:val="0"/>
                <w:numId w:val="2"/>
              </w:numPr>
              <w:spacing w:after="40" w:before="0" w:line="250" w:lineRule="auto"/>
            </w:pPr>
            <w:r>
              <w:rPr>
                <w:rFonts w:ascii="Arial" w:cs="Arial" w:eastAsia="Arial" w:hAnsi="Arial"/>
                <w:b w:val="false"/>
                <w:bCs w:val="false"/>
                <w:i w:val="false"/>
                <w:iCs w:val="false"/>
                <w:color w:val="000000"/>
                <w:sz w:val="18"/>
                <w:szCs w:val="18"/>
              </w:rPr>
              <w:t xml:space="preserve">— a </w:t>
            </w:r>
            <w:r>
              <w:rPr>
                <w:rFonts w:ascii="Arial" w:cs="Arial" w:eastAsia="Arial" w:hAnsi="Arial"/>
                <w:b/>
                <w:bCs/>
                <w:i w:val="false"/>
                <w:iCs w:val="false"/>
                <w:color w:val="000000"/>
                <w:sz w:val="18"/>
                <w:szCs w:val="18"/>
              </w:rPr>
              <w:t xml:space="preserve">foundation or supporting structure designed for such a fence</w:t>
            </w:r>
            <w:r>
              <w:rPr>
                <w:rFonts w:ascii="Arial" w:cs="Arial" w:eastAsia="Arial" w:hAnsi="Arial"/>
                <w:b w:val="false"/>
                <w:bCs w:val="false"/>
                <w:i w:val="false"/>
                <w:iCs w:val="false"/>
                <w:color w:val="000000"/>
                <w:sz w:val="18"/>
                <w:szCs w:val="18"/>
              </w:rPr>
              <w:t xml:space="preserve">;</w:t>
            </w:r>
          </w:p>
          <w:p>
            <w:pPr>
              <w:pStyle w:val="ListParagraph"/>
              <w:numPr>
                <w:ilvl w:val="0"/>
                <w:numId w:val="2"/>
              </w:numPr>
              <w:spacing w:after="40" w:before="0" w:line="250" w:lineRule="auto"/>
            </w:pPr>
            <w:r>
              <w:rPr>
                <w:rFonts w:ascii="Arial" w:cs="Arial" w:eastAsia="Arial" w:hAnsi="Arial"/>
                <w:b w:val="false"/>
                <w:bCs w:val="false"/>
                <w:i w:val="false"/>
                <w:iCs w:val="false"/>
                <w:color w:val="000000"/>
                <w:sz w:val="18"/>
                <w:szCs w:val="18"/>
              </w:rPr>
              <w:t xml:space="preserve">— </w:t>
            </w:r>
            <w:r>
              <w:rPr>
                <w:rFonts w:ascii="Arial" w:cs="Arial" w:eastAsia="Arial" w:hAnsi="Arial"/>
                <w:b/>
                <w:bCs/>
                <w:i w:val="false"/>
                <w:iCs w:val="false"/>
                <w:color w:val="000000"/>
                <w:sz w:val="18"/>
                <w:szCs w:val="18"/>
              </w:rPr>
              <w:t xml:space="preserve">improvements</w:t>
            </w:r>
            <w:r>
              <w:rPr>
                <w:rFonts w:ascii="Arial" w:cs="Arial" w:eastAsia="Arial" w:hAnsi="Arial"/>
                <w:b w:val="false"/>
                <w:bCs w:val="false"/>
                <w:i w:val="false"/>
                <w:iCs w:val="false"/>
                <w:color w:val="000000"/>
                <w:sz w:val="18"/>
                <w:szCs w:val="18"/>
              </w:rPr>
              <w:t xml:space="preserve"> to any of the above.</w:t>
            </w:r>
          </w:p>
          <w:p>
            <w:pPr>
              <w:pStyle w:val="ListParagraph"/>
              <w:numPr>
                <w:ilvl w:val="0"/>
                <w:numId w:val="2"/>
              </w:numPr>
              <w:spacing w:after="40" w:before="0" w:line="250" w:lineRule="auto"/>
            </w:pPr>
            <w:r>
              <w:rPr>
                <w:rFonts w:ascii="Arial" w:cs="Arial" w:eastAsia="Arial" w:hAnsi="Arial"/>
                <w:b w:val="false"/>
                <w:bCs w:val="false"/>
                <w:i w:val="false"/>
                <w:iCs w:val="false"/>
                <w:color w:val="000000"/>
                <w:sz w:val="18"/>
                <w:szCs w:val="18"/>
              </w:rPr>
              <w:t xml:space="preserve">Available only where the taxpayer’s trade is the generation of electricity </w:t>
            </w:r>
            <w:r>
              <w:rPr>
                <w:rFonts w:ascii="Arial" w:cs="Arial" w:eastAsia="Arial" w:hAnsi="Arial"/>
                <w:b/>
                <w:bCs/>
                <w:i w:val="false"/>
                <w:iCs w:val="false"/>
                <w:color w:val="000000"/>
                <w:sz w:val="18"/>
                <w:szCs w:val="18"/>
              </w:rPr>
              <w:t xml:space="preserve">exceeding 5MW</w:t>
            </w:r>
            <w:r>
              <w:rPr>
                <w:rFonts w:ascii="Arial" w:cs="Arial" w:eastAsia="Arial" w:hAnsi="Arial"/>
                <w:b w:val="false"/>
                <w:bCs w:val="false"/>
                <w:i w:val="false"/>
                <w:iCs w:val="false"/>
                <w:color w:val="000000"/>
                <w:sz w:val="18"/>
                <w:szCs w:val="18"/>
              </w:rPr>
              <w:t xml:space="preserve"> from solar and wind, hydro not exceeding 30MW, or biomass.</w:t>
            </w:r>
          </w:p>
          <w:p>
            <w:pPr>
              <w:pStyle w:val="ListParagraph"/>
              <w:numPr>
                <w:ilvl w:val="0"/>
                <w:numId w:val="2"/>
              </w:numPr>
              <w:spacing w:after="0" w:before="0" w:line="250" w:lineRule="auto"/>
            </w:pPr>
            <w:r>
              <w:rPr>
                <w:rFonts w:ascii="Arial" w:cs="Arial" w:eastAsia="Arial" w:hAnsi="Arial"/>
                <w:b/>
                <w:bCs/>
                <w:i w:val="false"/>
                <w:iCs w:val="false"/>
                <w:color w:val="000000"/>
                <w:sz w:val="18"/>
                <w:szCs w:val="18"/>
              </w:rPr>
              <w:t xml:space="preserve">Scope limit — important.</w:t>
            </w:r>
            <w:r>
              <w:rPr>
                <w:rFonts w:ascii="Arial" w:cs="Arial" w:eastAsia="Arial" w:hAnsi="Arial"/>
                <w:b w:val="false"/>
                <w:bCs w:val="false"/>
                <w:i w:val="false"/>
                <w:iCs w:val="false"/>
                <w:color w:val="000000"/>
                <w:sz w:val="18"/>
                <w:szCs w:val="18"/>
              </w:rPr>
              <w:t xml:space="preserve"> s12U does </w:t>
            </w:r>
            <w:r>
              <w:rPr>
                <w:rFonts w:ascii="Arial" w:cs="Arial" w:eastAsia="Arial" w:hAnsi="Arial"/>
                <w:b/>
                <w:bCs/>
                <w:i w:val="false"/>
                <w:iCs w:val="false"/>
                <w:color w:val="000000"/>
                <w:sz w:val="18"/>
                <w:szCs w:val="18"/>
              </w:rPr>
              <w:t xml:space="preserve">not</w:t>
            </w:r>
            <w:r>
              <w:rPr>
                <w:rFonts w:ascii="Arial" w:cs="Arial" w:eastAsia="Arial" w:hAnsi="Arial"/>
                <w:b w:val="false"/>
                <w:bCs w:val="false"/>
                <w:i w:val="false"/>
                <w:iCs w:val="false"/>
                <w:color w:val="000000"/>
                <w:sz w:val="18"/>
                <w:szCs w:val="18"/>
              </w:rPr>
              <w:t xml:space="preserve"> cover transmission lines, substations or grid connection infrastructure.</w:t>
            </w:r>
          </w:p>
        </w:tc>
        <w:tc>
          <w:tcPr>
            <w:tcW w:type="dxa" w:w="5974"/>
            <w:tcBorders>
              <w:top w:val="single" w:color="888888" w:sz="4"/>
              <w:left w:val="single" w:color="888888" w:sz="4"/>
              <w:bottom w:val="single" w:color="888888" w:sz="4"/>
              <w:right w:val="single" w:color="888888" w:sz="4"/>
            </w:tcBorders>
            <w:tcMar>
              <w:top w:type="dxa" w:w="60"/>
              <w:left w:type="dxa" w:w="80"/>
              <w:bottom w:type="dxa" w:w="60"/>
              <w:right w:type="dxa" w:w="80"/>
            </w:tcMar>
          </w:tcPr>
          <w:p>
            <w:pPr>
              <w:pStyle w:val="ListParagraph"/>
              <w:numPr>
                <w:ilvl w:val="0"/>
                <w:numId w:val="2"/>
              </w:numPr>
              <w:spacing w:after="40" w:before="0" w:line="250" w:lineRule="auto"/>
            </w:pPr>
            <w:r>
              <w:rPr>
                <w:rFonts w:ascii="Arial" w:cs="Arial" w:eastAsia="Arial" w:hAnsi="Arial"/>
                <w:b/>
                <w:bCs/>
                <w:i w:val="false"/>
                <w:iCs w:val="false"/>
                <w:color w:val="0070C0"/>
                <w:sz w:val="18"/>
                <w:szCs w:val="18"/>
              </w:rPr>
              <w:t xml:space="preserve">This is a threshold provision and the pre-release gives no capacity.</w:t>
            </w:r>
            <w:r>
              <w:rPr>
                <w:rFonts w:ascii="Arial" w:cs="Arial" w:eastAsia="Arial" w:hAnsi="Arial"/>
                <w:b w:val="false"/>
                <w:bCs w:val="false"/>
                <w:i w:val="false"/>
                <w:iCs w:val="false"/>
                <w:color w:val="0070C0"/>
                <w:sz w:val="18"/>
                <w:szCs w:val="18"/>
              </w:rPr>
              <w:t xml:space="preserve"> [WAITING FOR INPUT — information on the day]: project capacity in MW. Below 5MW, s12U is simply not available and you must say so.</w:t>
            </w:r>
          </w:p>
          <w:p>
            <w:pPr>
              <w:pStyle w:val="ListParagraph"/>
              <w:numPr>
                <w:ilvl w:val="0"/>
                <w:numId w:val="2"/>
              </w:numPr>
              <w:spacing w:after="40" w:before="0" w:line="250" w:lineRule="auto"/>
            </w:pPr>
            <w:r>
              <w:rPr>
                <w:rFonts w:ascii="Arial" w:cs="Arial" w:eastAsia="Arial" w:hAnsi="Arial"/>
                <w:b/>
                <w:bCs/>
                <w:i w:val="false"/>
                <w:iCs w:val="false"/>
                <w:color w:val="0070C0"/>
                <w:sz w:val="18"/>
                <w:szCs w:val="18"/>
              </w:rPr>
              <w:t xml:space="preserve">Applying it to Project X.</w:t>
            </w:r>
            <w:r>
              <w:rPr>
                <w:rFonts w:ascii="Arial" w:cs="Arial" w:eastAsia="Arial" w:hAnsi="Arial"/>
                <w:b w:val="false"/>
                <w:bCs w:val="false"/>
                <w:i w:val="false"/>
                <w:iCs w:val="false"/>
                <w:color w:val="0070C0"/>
                <w:sz w:val="18"/>
                <w:szCs w:val="18"/>
              </w:rPr>
              <w:t xml:space="preserve"> 30MW exceeds 5MW, so s12U is available for the roads and fencing of R25m.</w:t>
            </w:r>
          </w:p>
          <w:p>
            <w:pPr>
              <w:pStyle w:val="ListParagraph"/>
              <w:numPr>
                <w:ilvl w:val="0"/>
                <w:numId w:val="2"/>
              </w:numPr>
              <w:spacing w:after="40" w:before="0" w:line="250" w:lineRule="auto"/>
            </w:pPr>
            <w:r>
              <w:rPr>
                <w:rFonts w:ascii="Arial" w:cs="Arial" w:eastAsia="Arial" w:hAnsi="Arial"/>
                <w:b/>
                <w:bCs/>
                <w:i w:val="false"/>
                <w:iCs w:val="false"/>
                <w:color w:val="0070C0"/>
                <w:sz w:val="18"/>
                <w:szCs w:val="18"/>
              </w:rPr>
              <w:t xml:space="preserve">Worked example:</w:t>
            </w:r>
            <w:r>
              <w:rPr>
                <w:rFonts w:ascii="Arial" w:cs="Arial" w:eastAsia="Arial" w:hAnsi="Arial"/>
                <w:b w:val="false"/>
                <w:bCs w:val="false"/>
                <w:i w:val="false"/>
                <w:iCs w:val="false"/>
                <w:color w:val="0070C0"/>
                <w:sz w:val="18"/>
                <w:szCs w:val="18"/>
              </w:rPr>
              <w:t xml:space="preserve"> R25m × 100% in FY2027 = </w:t>
            </w:r>
            <w:r>
              <w:rPr>
                <w:rFonts w:ascii="Arial" w:cs="Arial" w:eastAsia="Arial" w:hAnsi="Arial"/>
                <w:b/>
                <w:bCs/>
                <w:i w:val="false"/>
                <w:iCs w:val="false"/>
                <w:color w:val="0070C0"/>
                <w:sz w:val="18"/>
                <w:szCs w:val="18"/>
              </w:rPr>
              <w:t xml:space="preserve">R25.0m</w:t>
            </w:r>
            <w:r>
              <w:rPr>
                <w:rFonts w:ascii="Arial" w:cs="Arial" w:eastAsia="Arial" w:hAnsi="Arial"/>
                <w:b w:val="false"/>
                <w:bCs w:val="false"/>
                <w:i w:val="false"/>
                <w:iCs w:val="false"/>
                <w:color w:val="0070C0"/>
                <w:sz w:val="18"/>
                <w:szCs w:val="18"/>
              </w:rPr>
              <w:t xml:space="preserve"> deduction · tax at 27% = </w:t>
            </w:r>
            <w:r>
              <w:rPr>
                <w:rFonts w:ascii="Arial" w:cs="Arial" w:eastAsia="Arial" w:hAnsi="Arial"/>
                <w:b/>
                <w:bCs/>
                <w:i w:val="false"/>
                <w:iCs w:val="false"/>
                <w:color w:val="0070C0"/>
                <w:sz w:val="18"/>
                <w:szCs w:val="18"/>
              </w:rPr>
              <w:t xml:space="preserve">R6.75m</w:t>
            </w:r>
            <w:r>
              <w:rPr>
                <w:rFonts w:ascii="Arial" w:cs="Arial" w:eastAsia="Arial" w:hAnsi="Arial"/>
                <w:b w:val="false"/>
                <w:bCs w:val="false"/>
                <w:i w:val="false"/>
                <w:iCs w:val="false"/>
                <w:color w:val="0070C0"/>
                <w:sz w:val="18"/>
                <w:szCs w:val="18"/>
              </w:rPr>
              <w:t xml:space="preserve">, all in year one.</w:t>
            </w:r>
          </w:p>
          <w:p>
            <w:pPr>
              <w:pStyle w:val="ListParagraph"/>
              <w:numPr>
                <w:ilvl w:val="0"/>
                <w:numId w:val="2"/>
              </w:numPr>
              <w:spacing w:after="40" w:before="0" w:line="250" w:lineRule="auto"/>
            </w:pPr>
            <w:r>
              <w:rPr>
                <w:rFonts w:ascii="Arial" w:cs="Arial" w:eastAsia="Arial" w:hAnsi="Arial"/>
                <w:b/>
                <w:bCs/>
                <w:i w:val="false"/>
                <w:iCs w:val="false"/>
                <w:color w:val="0070C0"/>
                <w:sz w:val="18"/>
                <w:szCs w:val="18"/>
              </w:rPr>
              <w:t xml:space="preserve">Do not sweep the grid connection into this.</w:t>
            </w:r>
            <w:r>
              <w:rPr>
                <w:rFonts w:ascii="Arial" w:cs="Arial" w:eastAsia="Arial" w:hAnsi="Arial"/>
                <w:b w:val="false"/>
                <w:bCs w:val="false"/>
                <w:i w:val="false"/>
                <w:iCs w:val="false"/>
                <w:color w:val="0070C0"/>
                <w:sz w:val="18"/>
                <w:szCs w:val="18"/>
              </w:rPr>
              <w:t xml:space="preserve"> The R60m transmission line is outside s12U. Document 7 page 19 says each development requires “supporting transmission and distribution infrastructure” and page 20 describes electricity being “transmitted and wheeled” — so this cost is real and potentially large. It must be analysed separately: see Table 4.</w:t>
            </w:r>
          </w:p>
          <w:p>
            <w:pPr>
              <w:pStyle w:val="ListParagraph"/>
              <w:numPr>
                <w:ilvl w:val="0"/>
                <w:numId w:val="2"/>
              </w:numPr>
              <w:spacing w:after="0" w:before="0" w:line="250" w:lineRule="auto"/>
            </w:pPr>
            <w:r>
              <w:rPr>
                <w:rFonts w:ascii="Arial" w:cs="Arial" w:eastAsia="Arial" w:hAnsi="Arial"/>
                <w:b/>
                <w:bCs/>
                <w:i w:val="false"/>
                <w:iCs w:val="false"/>
                <w:color w:val="0070C0"/>
                <w:sz w:val="18"/>
                <w:szCs w:val="18"/>
              </w:rPr>
              <w:t xml:space="preserve">Marker point.</w:t>
            </w:r>
            <w:r>
              <w:rPr>
                <w:rFonts w:ascii="Arial" w:cs="Arial" w:eastAsia="Arial" w:hAnsi="Arial"/>
                <w:b w:val="false"/>
                <w:bCs w:val="false"/>
                <w:i w:val="false"/>
                <w:iCs w:val="false"/>
                <w:color w:val="0070C0"/>
                <w:sz w:val="18"/>
                <w:szCs w:val="18"/>
              </w:rPr>
              <w:t xml:space="preserve"> Identifying that s12U exists is worth something. Identifying that it stops at roads and fences, and then dealing with the transmission line separately, is what distinguishes a competent answer from a borderline one.</w:t>
            </w:r>
          </w:p>
        </w:tc>
      </w:tr>
    </w:tbl>
    <w:p>
      <w:pPr>
        <w:keepNext w:val="false"/>
        <w:spacing w:after="0" w:before="0" w:line="250" w:lineRule="auto"/>
      </w:pPr>
      <w:r>
        <w:rPr>
          <w:rFonts w:ascii="Arial" w:cs="Arial" w:eastAsia="Arial" w:hAnsi="Arial"/>
          <w:sz w:val="12"/>
          <w:szCs w:val="12"/>
        </w:rPr>
        <w:t xml:space="preserve"/>
      </w:r>
    </w:p>
    <w:p>
      <w:pPr>
        <w:keepNext/>
        <w:spacing w:after="70" w:before="200" w:line="250" w:lineRule="auto"/>
      </w:pPr>
      <w:r>
        <w:rPr>
          <w:rFonts w:ascii="Arial" w:cs="Arial" w:eastAsia="Arial" w:hAnsi="Arial"/>
          <w:b/>
          <w:bCs/>
          <w:i w:val="false"/>
          <w:iCs w:val="false"/>
          <w:color w:val="000000"/>
          <w:sz w:val="22"/>
          <w:szCs w:val="22"/>
        </w:rPr>
        <w:t xml:space="preserve">Table 4 — The grid connection and transmission infrastructure</w:t>
      </w:r>
    </w:p>
    <w:tbl>
      <w:tblPr>
        <w:tblW w:type="dxa" w:w="10300"/>
        <w:tblBorders>
          <w:top w:val="single" w:color="auto" w:sz="4"/>
          <w:left w:val="single" w:color="auto" w:sz="4"/>
          <w:bottom w:val="single" w:color="auto" w:sz="4"/>
          <w:right w:val="single" w:color="auto" w:sz="4"/>
          <w:insideH w:val="single" w:color="auto" w:sz="4"/>
          <w:insideV w:val="single" w:color="auto" w:sz="4"/>
        </w:tblBorders>
      </w:tblPr>
      <w:tblGrid>
        <w:gridCol w:w="4326"/>
        <w:gridCol w:w="5974"/>
      </w:tblGrid>
      <w:tr>
        <w:trPr>
          <w:tblHeader/>
        </w:trPr>
        <w:tc>
          <w:tcPr>
            <w:tcW w:type="dxa" w:w="4326"/>
            <w:tcBorders>
              <w:top w:val="single" w:color="888888" w:sz="4"/>
              <w:left w:val="single" w:color="888888" w:sz="4"/>
              <w:bottom w:val="single" w:color="888888" w:sz="4"/>
              <w:right w:val="single" w:color="888888" w:sz="4"/>
            </w:tcBorders>
            <w:shd w:fill="E8E8E8" w:val="clear"/>
            <w:tcMar>
              <w:top w:type="dxa" w:w="60"/>
              <w:left w:type="dxa" w:w="80"/>
              <w:bottom w:type="dxa" w:w="60"/>
              <w:right w:type="dxa" w:w="80"/>
            </w:tcMar>
            <w:vAlign w:val="center"/>
          </w:tcPr>
          <w:p>
            <w:pPr>
              <w:keepNext w:val="false"/>
              <w:spacing w:after="0" w:before="0" w:line="250" w:lineRule="auto"/>
            </w:pPr>
            <w:r>
              <w:rPr>
                <w:rFonts w:ascii="Arial" w:cs="Arial" w:eastAsia="Arial" w:hAnsi="Arial"/>
                <w:b/>
                <w:bCs/>
                <w:i w:val="false"/>
                <w:iCs w:val="false"/>
                <w:color w:val="000000"/>
                <w:sz w:val="18"/>
                <w:szCs w:val="18"/>
              </w:rPr>
              <w:t xml:space="preserve">Legislation — the options, in order</w:t>
            </w:r>
          </w:p>
        </w:tc>
        <w:tc>
          <w:tcPr>
            <w:tcW w:type="dxa" w:w="5974"/>
            <w:tcBorders>
              <w:top w:val="single" w:color="888888" w:sz="4"/>
              <w:left w:val="single" w:color="888888" w:sz="4"/>
              <w:bottom w:val="single" w:color="888888" w:sz="4"/>
              <w:right w:val="single" w:color="888888" w:sz="4"/>
            </w:tcBorders>
            <w:shd w:fill="E8E8E8" w:val="clear"/>
            <w:tcMar>
              <w:top w:type="dxa" w:w="60"/>
              <w:left w:type="dxa" w:w="80"/>
              <w:bottom w:type="dxa" w:w="60"/>
              <w:right w:type="dxa" w:w="80"/>
            </w:tcMar>
            <w:vAlign w:val="center"/>
          </w:tcPr>
          <w:p>
            <w:pPr>
              <w:keepNext w:val="false"/>
              <w:spacing w:after="0" w:before="0" w:line="250" w:lineRule="auto"/>
            </w:pPr>
            <w:r>
              <w:rPr>
                <w:rFonts w:ascii="Arial" w:cs="Arial" w:eastAsia="Arial" w:hAnsi="Arial"/>
                <w:b/>
                <w:bCs/>
                <w:i w:val="false"/>
                <w:iCs w:val="false"/>
                <w:color w:val="000000"/>
                <w:sz w:val="18"/>
                <w:szCs w:val="18"/>
              </w:rPr>
              <w:t xml:space="preserve">Application to Axion — tax consequences</w:t>
            </w:r>
          </w:p>
        </w:tc>
      </w:tr>
      <w:tr>
        <w:tc>
          <w:tcPr>
            <w:tcW w:type="dxa" w:w="4326"/>
            <w:tcBorders>
              <w:top w:val="single" w:color="888888" w:sz="4"/>
              <w:left w:val="single" w:color="888888" w:sz="4"/>
              <w:bottom w:val="single" w:color="888888" w:sz="4"/>
              <w:right w:val="single" w:color="888888" w:sz="4"/>
            </w:tcBorders>
            <w:tcMar>
              <w:top w:type="dxa" w:w="60"/>
              <w:left w:type="dxa" w:w="80"/>
              <w:bottom w:type="dxa" w:w="60"/>
              <w:right w:type="dxa" w:w="80"/>
            </w:tcMar>
          </w:tcPr>
          <w:p>
            <w:pPr>
              <w:pStyle w:val="ListParagraph"/>
              <w:numPr>
                <w:ilvl w:val="0"/>
                <w:numId w:val="2"/>
              </w:numPr>
              <w:spacing w:after="40" w:before="0" w:line="250" w:lineRule="auto"/>
            </w:pPr>
            <w:r>
              <w:rPr>
                <w:rFonts w:ascii="Arial" w:cs="Arial" w:eastAsia="Arial" w:hAnsi="Arial"/>
                <w:b/>
                <w:bCs/>
                <w:i w:val="false"/>
                <w:iCs w:val="false"/>
                <w:color w:val="000000"/>
                <w:sz w:val="18"/>
                <w:szCs w:val="18"/>
              </w:rPr>
              <w:t xml:space="preserve">First test — s12B.</w:t>
            </w:r>
            <w:r>
              <w:rPr>
                <w:rFonts w:ascii="Arial" w:cs="Arial" w:eastAsia="Arial" w:hAnsi="Arial"/>
                <w:b w:val="false"/>
                <w:bCs w:val="false"/>
                <w:i w:val="false"/>
                <w:iCs w:val="false"/>
                <w:color w:val="000000"/>
                <w:sz w:val="18"/>
                <w:szCs w:val="18"/>
              </w:rPr>
              <w:t xml:space="preserve"> Is it “machinery, plant, implement, utensil or article” </w:t>
            </w:r>
            <w:r>
              <w:rPr>
                <w:rFonts w:ascii="Arial" w:cs="Arial" w:eastAsia="Arial" w:hAnsi="Arial"/>
                <w:b/>
                <w:bCs/>
                <w:i w:val="false"/>
                <w:iCs w:val="false"/>
                <w:color w:val="000000"/>
                <w:sz w:val="18"/>
                <w:szCs w:val="18"/>
              </w:rPr>
              <w:t xml:space="preserve">used in the generation</w:t>
            </w:r>
            <w:r>
              <w:rPr>
                <w:rFonts w:ascii="Arial" w:cs="Arial" w:eastAsia="Arial" w:hAnsi="Arial"/>
                <w:b w:val="false"/>
                <w:bCs w:val="false"/>
                <w:i w:val="false"/>
                <w:iCs w:val="false"/>
                <w:color w:val="000000"/>
                <w:sz w:val="18"/>
                <w:szCs w:val="18"/>
              </w:rPr>
              <w:t xml:space="preserve"> of electricity? If the transformer, inverter or switchgear is integral to generating, it forms part of the qualifying plant and takes the 50/30/20 (or 100%) rate. The cost base expressly includes foundations and supporting structures to which the asset is mounted.</w:t>
            </w:r>
          </w:p>
          <w:p>
            <w:pPr>
              <w:pStyle w:val="ListParagraph"/>
              <w:numPr>
                <w:ilvl w:val="0"/>
                <w:numId w:val="2"/>
              </w:numPr>
              <w:spacing w:after="40" w:before="0" w:line="250" w:lineRule="auto"/>
            </w:pPr>
            <w:r>
              <w:rPr>
                <w:rFonts w:ascii="Arial" w:cs="Arial" w:eastAsia="Arial" w:hAnsi="Arial"/>
                <w:b/>
                <w:bCs/>
                <w:i w:val="false"/>
                <w:iCs w:val="false"/>
                <w:color w:val="000000"/>
                <w:sz w:val="18"/>
                <w:szCs w:val="18"/>
              </w:rPr>
              <w:t xml:space="preserve">Second test — s12U.</w:t>
            </w:r>
            <w:r>
              <w:rPr>
                <w:rFonts w:ascii="Arial" w:cs="Arial" w:eastAsia="Arial" w:hAnsi="Arial"/>
                <w:b w:val="false"/>
                <w:bCs w:val="false"/>
                <w:i w:val="false"/>
                <w:iCs w:val="false"/>
                <w:color w:val="000000"/>
                <w:sz w:val="18"/>
                <w:szCs w:val="18"/>
              </w:rPr>
              <w:t xml:space="preserve"> Only if it is a road, a fence, or a foundation for a fence. A transmission line is none of these.</w:t>
            </w:r>
          </w:p>
          <w:p>
            <w:pPr>
              <w:pStyle w:val="ListParagraph"/>
              <w:numPr>
                <w:ilvl w:val="0"/>
                <w:numId w:val="2"/>
              </w:numPr>
              <w:spacing w:after="40" w:before="0" w:line="250" w:lineRule="auto"/>
            </w:pPr>
            <w:r>
              <w:rPr>
                <w:rFonts w:ascii="Arial" w:cs="Arial" w:eastAsia="Arial" w:hAnsi="Arial"/>
                <w:b/>
                <w:bCs/>
                <w:i w:val="false"/>
                <w:iCs w:val="false"/>
                <w:color w:val="000000"/>
                <w:sz w:val="18"/>
                <w:szCs w:val="18"/>
              </w:rPr>
              <w:t xml:space="preserve">Third test — s13quin.</w:t>
            </w:r>
            <w:r>
              <w:rPr>
                <w:rFonts w:ascii="Arial" w:cs="Arial" w:eastAsia="Arial" w:hAnsi="Arial"/>
                <w:b w:val="false"/>
                <w:bCs w:val="false"/>
                <w:i w:val="false"/>
                <w:iCs w:val="false"/>
                <w:color w:val="000000"/>
                <w:sz w:val="18"/>
                <w:szCs w:val="18"/>
              </w:rPr>
              <w:t xml:space="preserve"> 5% per year if it is a </w:t>
            </w:r>
            <w:r>
              <w:rPr>
                <w:rFonts w:ascii="Arial" w:cs="Arial" w:eastAsia="Arial" w:hAnsi="Arial"/>
                <w:b/>
                <w:bCs/>
                <w:i w:val="false"/>
                <w:iCs w:val="false"/>
                <w:color w:val="000000"/>
                <w:sz w:val="18"/>
                <w:szCs w:val="18"/>
              </w:rPr>
              <w:t xml:space="preserve">new and unused building or improvement</w:t>
            </w:r>
            <w:r>
              <w:rPr>
                <w:rFonts w:ascii="Arial" w:cs="Arial" w:eastAsia="Arial" w:hAnsi="Arial"/>
                <w:b w:val="false"/>
                <w:bCs w:val="false"/>
                <w:i w:val="false"/>
                <w:iCs w:val="false"/>
                <w:color w:val="000000"/>
                <w:sz w:val="18"/>
                <w:szCs w:val="18"/>
              </w:rPr>
              <w:t xml:space="preserve"> used wholly or mainly in producing income in the course of trade. A substation building could fall here.</w:t>
            </w:r>
          </w:p>
          <w:p>
            <w:pPr>
              <w:pStyle w:val="ListParagraph"/>
              <w:numPr>
                <w:ilvl w:val="0"/>
                <w:numId w:val="2"/>
              </w:numPr>
              <w:spacing w:after="40" w:before="0" w:line="250" w:lineRule="auto"/>
            </w:pPr>
            <w:r>
              <w:rPr>
                <w:rFonts w:ascii="Arial" w:cs="Arial" w:eastAsia="Arial" w:hAnsi="Arial"/>
                <w:b/>
                <w:bCs/>
                <w:i w:val="false"/>
                <w:iCs w:val="false"/>
                <w:color w:val="000000"/>
                <w:sz w:val="18"/>
                <w:szCs w:val="18"/>
              </w:rPr>
              <w:t xml:space="preserve">Fourth test — s11(e).</w:t>
            </w:r>
            <w:r>
              <w:rPr>
                <w:rFonts w:ascii="Arial" w:cs="Arial" w:eastAsia="Arial" w:hAnsi="Arial"/>
                <w:b w:val="false"/>
                <w:bCs w:val="false"/>
                <w:i w:val="false"/>
                <w:iCs w:val="false"/>
                <w:color w:val="000000"/>
                <w:sz w:val="18"/>
                <w:szCs w:val="18"/>
              </w:rPr>
              <w:t xml:space="preserve"> Wear and tear on plant and equipment where no specific allowance applies. </w:t>
            </w:r>
            <w:r>
              <w:rPr>
                <w:rFonts w:ascii="Arial" w:cs="Arial" w:eastAsia="Arial" w:hAnsi="Arial"/>
                <w:b/>
                <w:bCs/>
                <w:i w:val="false"/>
                <w:iCs w:val="false"/>
                <w:color w:val="000000"/>
                <w:sz w:val="18"/>
                <w:szCs w:val="18"/>
              </w:rPr>
              <w:t xml:space="preserve">Apportioned</w:t>
            </w:r>
            <w:r>
              <w:rPr>
                <w:rFonts w:ascii="Arial" w:cs="Arial" w:eastAsia="Arial" w:hAnsi="Arial"/>
                <w:b w:val="false"/>
                <w:bCs w:val="false"/>
                <w:i w:val="false"/>
                <w:iCs w:val="false"/>
                <w:color w:val="000000"/>
                <w:sz w:val="18"/>
                <w:szCs w:val="18"/>
              </w:rPr>
              <w:t xml:space="preserve"> for part of a year. Write-off periods in Interpretation Note 47.</w:t>
            </w:r>
          </w:p>
          <w:p>
            <w:pPr>
              <w:pStyle w:val="ListParagraph"/>
              <w:numPr>
                <w:ilvl w:val="0"/>
                <w:numId w:val="2"/>
              </w:numPr>
              <w:spacing w:after="0" w:before="0" w:line="250" w:lineRule="auto"/>
            </w:pPr>
            <w:r>
              <w:rPr>
                <w:rFonts w:ascii="Arial" w:cs="Arial" w:eastAsia="Arial" w:hAnsi="Arial"/>
                <w:b/>
                <w:bCs/>
                <w:i w:val="false"/>
                <w:iCs w:val="false"/>
                <w:color w:val="000000"/>
                <w:sz w:val="18"/>
                <w:szCs w:val="18"/>
              </w:rPr>
              <w:t xml:space="preserve">If none apply:</w:t>
            </w:r>
            <w:r>
              <w:rPr>
                <w:rFonts w:ascii="Arial" w:cs="Arial" w:eastAsia="Arial" w:hAnsi="Arial"/>
                <w:b w:val="false"/>
                <w:bCs w:val="false"/>
                <w:i w:val="false"/>
                <w:iCs w:val="false"/>
                <w:color w:val="000000"/>
                <w:sz w:val="18"/>
                <w:szCs w:val="18"/>
              </w:rPr>
              <w:t xml:space="preserve"> the expenditure is capital, no allowance, and it goes to </w:t>
            </w:r>
            <w:r>
              <w:rPr>
                <w:rFonts w:ascii="Arial" w:cs="Arial" w:eastAsia="Arial" w:hAnsi="Arial"/>
                <w:b/>
                <w:bCs/>
                <w:i w:val="false"/>
                <w:iCs w:val="false"/>
                <w:color w:val="000000"/>
                <w:sz w:val="18"/>
                <w:szCs w:val="18"/>
              </w:rPr>
              <w:t xml:space="preserve">base cost</w:t>
            </w:r>
            <w:r>
              <w:rPr>
                <w:rFonts w:ascii="Arial" w:cs="Arial" w:eastAsia="Arial" w:hAnsi="Arial"/>
                <w:b w:val="false"/>
                <w:bCs w:val="false"/>
                <w:i w:val="false"/>
                <w:iCs w:val="false"/>
                <w:color w:val="000000"/>
                <w:sz w:val="18"/>
                <w:szCs w:val="18"/>
              </w:rPr>
              <w:t xml:space="preserve"> for CGT.</w:t>
            </w:r>
          </w:p>
        </w:tc>
        <w:tc>
          <w:tcPr>
            <w:tcW w:type="dxa" w:w="5974"/>
            <w:tcBorders>
              <w:top w:val="single" w:color="888888" w:sz="4"/>
              <w:left w:val="single" w:color="888888" w:sz="4"/>
              <w:bottom w:val="single" w:color="888888" w:sz="4"/>
              <w:right w:val="single" w:color="888888" w:sz="4"/>
            </w:tcBorders>
            <w:tcMar>
              <w:top w:type="dxa" w:w="60"/>
              <w:left w:type="dxa" w:w="80"/>
              <w:bottom w:type="dxa" w:w="60"/>
              <w:right w:type="dxa" w:w="80"/>
            </w:tcMar>
          </w:tcPr>
          <w:p>
            <w:pPr>
              <w:pStyle w:val="ListParagraph"/>
              <w:numPr>
                <w:ilvl w:val="0"/>
                <w:numId w:val="2"/>
              </w:numPr>
              <w:spacing w:after="40" w:before="0" w:line="250" w:lineRule="auto"/>
            </w:pPr>
            <w:r>
              <w:rPr>
                <w:rFonts w:ascii="Arial" w:cs="Arial" w:eastAsia="Arial" w:hAnsi="Arial"/>
                <w:b/>
                <w:bCs/>
                <w:i w:val="false"/>
                <w:iCs w:val="false"/>
                <w:color w:val="0070C0"/>
                <w:sz w:val="18"/>
                <w:szCs w:val="18"/>
              </w:rPr>
              <w:t xml:space="preserve">[WAITING FOR INPUT — information on the day]:</w:t>
            </w:r>
            <w:r>
              <w:rPr>
                <w:rFonts w:ascii="Arial" w:cs="Arial" w:eastAsia="Arial" w:hAnsi="Arial"/>
                <w:b w:val="false"/>
                <w:bCs w:val="false"/>
                <w:i w:val="false"/>
                <w:iCs w:val="false"/>
                <w:color w:val="0070C0"/>
                <w:sz w:val="18"/>
                <w:szCs w:val="18"/>
              </w:rPr>
              <w:t xml:space="preserve"> a breakdown of the project cost between plant, roads and fences, transmission and connection infrastructure, buildings and land. Without the split you cannot allocate to the right section. </w:t>
            </w:r>
            <w:r>
              <w:rPr>
                <w:rFonts w:ascii="Arial" w:cs="Arial" w:eastAsia="Arial" w:hAnsi="Arial"/>
                <w:b/>
                <w:bCs/>
                <w:i w:val="false"/>
                <w:iCs w:val="false"/>
                <w:color w:val="0070C0"/>
                <w:sz w:val="18"/>
                <w:szCs w:val="18"/>
              </w:rPr>
              <w:t xml:space="preserve">Make this your first information request on this trigger.</w:t>
            </w:r>
          </w:p>
          <w:p>
            <w:pPr>
              <w:pStyle w:val="ListParagraph"/>
              <w:numPr>
                <w:ilvl w:val="0"/>
                <w:numId w:val="2"/>
              </w:numPr>
              <w:spacing w:after="40" w:before="0" w:line="250" w:lineRule="auto"/>
            </w:pPr>
            <w:r>
              <w:rPr>
                <w:rFonts w:ascii="Arial" w:cs="Arial" w:eastAsia="Arial" w:hAnsi="Arial"/>
                <w:b/>
                <w:bCs/>
                <w:i w:val="false"/>
                <w:iCs w:val="false"/>
                <w:color w:val="0070C0"/>
                <w:sz w:val="18"/>
                <w:szCs w:val="18"/>
              </w:rPr>
              <w:t xml:space="preserve">Applying it to Project X — R60m grid connection.</w:t>
            </w:r>
            <w:r>
              <w:rPr>
                <w:rFonts w:ascii="Arial" w:cs="Arial" w:eastAsia="Arial" w:hAnsi="Arial"/>
                <w:b w:val="false"/>
                <w:bCs w:val="false"/>
                <w:i w:val="false"/>
                <w:iCs w:val="false"/>
                <w:color w:val="0070C0"/>
                <w:sz w:val="18"/>
                <w:szCs w:val="18"/>
              </w:rPr>
              <w:t xml:space="preserve"> Work it in the order above and show the reasoning:</w:t>
            </w:r>
          </w:p>
          <w:p>
            <w:pPr>
              <w:pStyle w:val="ListParagraph"/>
              <w:numPr>
                <w:ilvl w:val="0"/>
                <w:numId w:val="2"/>
              </w:numPr>
              <w:spacing w:after="40" w:before="0" w:line="250" w:lineRule="auto"/>
            </w:pPr>
            <w:r>
              <w:rPr>
                <w:rFonts w:ascii="Arial" w:cs="Arial" w:eastAsia="Arial" w:hAnsi="Arial"/>
                <w:b w:val="false"/>
                <w:bCs w:val="false"/>
                <w:i w:val="false"/>
                <w:iCs w:val="false"/>
                <w:color w:val="0070C0"/>
                <w:sz w:val="18"/>
                <w:szCs w:val="18"/>
              </w:rPr>
              <w:t xml:space="preserve">If the R60m is </w:t>
            </w:r>
            <w:r>
              <w:rPr>
                <w:rFonts w:ascii="Arial" w:cs="Arial" w:eastAsia="Arial" w:hAnsi="Arial"/>
                <w:b/>
                <w:bCs/>
                <w:i w:val="false"/>
                <w:iCs w:val="false"/>
                <w:color w:val="0070C0"/>
                <w:sz w:val="18"/>
                <w:szCs w:val="18"/>
              </w:rPr>
              <w:t xml:space="preserve">transformers and switchgear integral to generation</w:t>
            </w:r>
            <w:r>
              <w:rPr>
                <w:rFonts w:ascii="Arial" w:cs="Arial" w:eastAsia="Arial" w:hAnsi="Arial"/>
                <w:b w:val="false"/>
                <w:bCs w:val="false"/>
                <w:i w:val="false"/>
                <w:iCs w:val="false"/>
                <w:color w:val="0070C0"/>
                <w:sz w:val="18"/>
                <w:szCs w:val="18"/>
              </w:rPr>
              <w:t xml:space="preserve"> → s12B → FY2027 deduction R30m (50%) · tax </w:t>
            </w:r>
            <w:r>
              <w:rPr>
                <w:rFonts w:ascii="Arial" w:cs="Arial" w:eastAsia="Arial" w:hAnsi="Arial"/>
                <w:b/>
                <w:bCs/>
                <w:i w:val="false"/>
                <w:iCs w:val="false"/>
                <w:color w:val="0070C0"/>
                <w:sz w:val="18"/>
                <w:szCs w:val="18"/>
              </w:rPr>
              <w:t xml:space="preserve">R8.1m</w:t>
            </w:r>
          </w:p>
          <w:p>
            <w:pPr>
              <w:pStyle w:val="ListParagraph"/>
              <w:numPr>
                <w:ilvl w:val="0"/>
                <w:numId w:val="2"/>
              </w:numPr>
              <w:spacing w:after="40" w:before="0" w:line="250" w:lineRule="auto"/>
            </w:pPr>
            <w:r>
              <w:rPr>
                <w:rFonts w:ascii="Arial" w:cs="Arial" w:eastAsia="Arial" w:hAnsi="Arial"/>
                <w:b w:val="false"/>
                <w:bCs w:val="false"/>
                <w:i w:val="false"/>
                <w:iCs w:val="false"/>
                <w:color w:val="0070C0"/>
                <w:sz w:val="18"/>
                <w:szCs w:val="18"/>
              </w:rPr>
              <w:t xml:space="preserve">If it is a </w:t>
            </w:r>
            <w:r>
              <w:rPr>
                <w:rFonts w:ascii="Arial" w:cs="Arial" w:eastAsia="Arial" w:hAnsi="Arial"/>
                <w:b/>
                <w:bCs/>
                <w:i w:val="false"/>
                <w:iCs w:val="false"/>
                <w:color w:val="0070C0"/>
                <w:sz w:val="18"/>
                <w:szCs w:val="18"/>
              </w:rPr>
              <w:t xml:space="preserve">substation building</w:t>
            </w:r>
            <w:r>
              <w:rPr>
                <w:rFonts w:ascii="Arial" w:cs="Arial" w:eastAsia="Arial" w:hAnsi="Arial"/>
                <w:b w:val="false"/>
                <w:bCs w:val="false"/>
                <w:i w:val="false"/>
                <w:iCs w:val="false"/>
                <w:color w:val="0070C0"/>
                <w:sz w:val="18"/>
                <w:szCs w:val="18"/>
              </w:rPr>
              <w:t xml:space="preserve"> → s13quin → FY2027 deduction R3m (5%) · tax </w:t>
            </w:r>
            <w:r>
              <w:rPr>
                <w:rFonts w:ascii="Arial" w:cs="Arial" w:eastAsia="Arial" w:hAnsi="Arial"/>
                <w:b/>
                <w:bCs/>
                <w:i w:val="false"/>
                <w:iCs w:val="false"/>
                <w:color w:val="0070C0"/>
                <w:sz w:val="18"/>
                <w:szCs w:val="18"/>
              </w:rPr>
              <w:t xml:space="preserve">R0.81m</w:t>
            </w:r>
          </w:p>
          <w:p>
            <w:pPr>
              <w:pStyle w:val="ListParagraph"/>
              <w:numPr>
                <w:ilvl w:val="0"/>
                <w:numId w:val="2"/>
              </w:numPr>
              <w:spacing w:after="40" w:before="0" w:line="250" w:lineRule="auto"/>
            </w:pPr>
            <w:r>
              <w:rPr>
                <w:rFonts w:ascii="Arial" w:cs="Arial" w:eastAsia="Arial" w:hAnsi="Arial"/>
                <w:b w:val="false"/>
                <w:bCs w:val="false"/>
                <w:i w:val="false"/>
                <w:iCs w:val="false"/>
                <w:color w:val="0070C0"/>
                <w:sz w:val="18"/>
                <w:szCs w:val="18"/>
              </w:rPr>
              <w:t xml:space="preserve">If it is a </w:t>
            </w:r>
            <w:r>
              <w:rPr>
                <w:rFonts w:ascii="Arial" w:cs="Arial" w:eastAsia="Arial" w:hAnsi="Arial"/>
                <w:b/>
                <w:bCs/>
                <w:i w:val="false"/>
                <w:iCs w:val="false"/>
                <w:color w:val="0070C0"/>
                <w:sz w:val="18"/>
                <w:szCs w:val="18"/>
              </w:rPr>
              <w:t xml:space="preserve">transmission line with no specific allowance</w:t>
            </w:r>
            <w:r>
              <w:rPr>
                <w:rFonts w:ascii="Arial" w:cs="Arial" w:eastAsia="Arial" w:hAnsi="Arial"/>
                <w:b w:val="false"/>
                <w:bCs w:val="false"/>
                <w:i w:val="false"/>
                <w:iCs w:val="false"/>
                <w:color w:val="0070C0"/>
                <w:sz w:val="18"/>
                <w:szCs w:val="18"/>
              </w:rPr>
              <w:t xml:space="preserve"> → s11(e), apportioned. Assume a 20-year write-off period and 2 months of use in FY2027 → R60m ÷ 20 × 2/12 = R0.5m · tax </w:t>
            </w:r>
            <w:r>
              <w:rPr>
                <w:rFonts w:ascii="Arial" w:cs="Arial" w:eastAsia="Arial" w:hAnsi="Arial"/>
                <w:b/>
                <w:bCs/>
                <w:i w:val="false"/>
                <w:iCs w:val="false"/>
                <w:color w:val="0070C0"/>
                <w:sz w:val="18"/>
                <w:szCs w:val="18"/>
              </w:rPr>
              <w:t xml:space="preserve">R0.135m</w:t>
            </w:r>
          </w:p>
          <w:p>
            <w:pPr>
              <w:pStyle w:val="ListParagraph"/>
              <w:numPr>
                <w:ilvl w:val="0"/>
                <w:numId w:val="2"/>
              </w:numPr>
              <w:spacing w:after="40" w:before="0" w:line="250" w:lineRule="auto"/>
            </w:pPr>
            <w:r>
              <w:rPr>
                <w:rFonts w:ascii="Arial" w:cs="Arial" w:eastAsia="Arial" w:hAnsi="Arial"/>
                <w:b/>
                <w:bCs/>
                <w:i w:val="false"/>
                <w:iCs w:val="false"/>
                <w:color w:val="0070C0"/>
                <w:sz w:val="18"/>
                <w:szCs w:val="18"/>
              </w:rPr>
              <w:t xml:space="preserve">The spread is R8.1m against R0.135m of first-year tax on the same R60m.</w:t>
            </w:r>
            <w:r>
              <w:rPr>
                <w:rFonts w:ascii="Arial" w:cs="Arial" w:eastAsia="Arial" w:hAnsi="Arial"/>
                <w:b w:val="false"/>
                <w:bCs w:val="false"/>
                <w:i w:val="false"/>
                <w:iCs w:val="false"/>
                <w:color w:val="0070C0"/>
                <w:sz w:val="18"/>
                <w:szCs w:val="18"/>
              </w:rPr>
              <w:t xml:space="preserve"> That is why the cost split matters and why “it depends” is the right answer until you have it — provided you then show what it depends on, as above.</w:t>
            </w:r>
          </w:p>
          <w:p>
            <w:pPr>
              <w:pStyle w:val="ListParagraph"/>
              <w:numPr>
                <w:ilvl w:val="0"/>
                <w:numId w:val="2"/>
              </w:numPr>
              <w:spacing w:after="0" w:before="0" w:line="250" w:lineRule="auto"/>
            </w:pPr>
            <w:r>
              <w:rPr>
                <w:rFonts w:ascii="Arial" w:cs="Arial" w:eastAsia="Arial" w:hAnsi="Arial"/>
                <w:b w:val="false"/>
                <w:bCs w:val="false"/>
                <w:i w:val="false"/>
                <w:iCs w:val="false"/>
                <w:color w:val="0070C0"/>
                <w:sz w:val="18"/>
                <w:szCs w:val="18"/>
              </w:rPr>
              <w:t xml:space="preserve">Land of R15m: </w:t>
            </w:r>
            <w:r>
              <w:rPr>
                <w:rFonts w:ascii="Arial" w:cs="Arial" w:eastAsia="Arial" w:hAnsi="Arial"/>
                <w:b/>
                <w:bCs/>
                <w:i w:val="false"/>
                <w:iCs w:val="false"/>
                <w:color w:val="0070C0"/>
                <w:sz w:val="18"/>
                <w:szCs w:val="18"/>
              </w:rPr>
              <w:t xml:space="preserve">no allowance under any section</w:t>
            </w:r>
            <w:r>
              <w:rPr>
                <w:rFonts w:ascii="Arial" w:cs="Arial" w:eastAsia="Arial" w:hAnsi="Arial"/>
                <w:b w:val="false"/>
                <w:bCs w:val="false"/>
                <w:i w:val="false"/>
                <w:iCs w:val="false"/>
                <w:color w:val="0070C0"/>
                <w:sz w:val="18"/>
                <w:szCs w:val="18"/>
              </w:rPr>
              <w:t xml:space="preserve">. It goes to base cost. Say so — it is an obvious point and markers reward stating the obvious.</w:t>
            </w:r>
          </w:p>
        </w:tc>
      </w:tr>
    </w:tbl>
    <w:p>
      <w:pPr>
        <w:keepNext w:val="false"/>
        <w:spacing w:after="0" w:before="0" w:line="250" w:lineRule="auto"/>
      </w:pPr>
      <w:r>
        <w:rPr>
          <w:rFonts w:ascii="Arial" w:cs="Arial" w:eastAsia="Arial" w:hAnsi="Arial"/>
          <w:sz w:val="12"/>
          <w:szCs w:val="12"/>
        </w:rPr>
        <w:t xml:space="preserve"/>
      </w:r>
    </w:p>
    <w:p>
      <w:pPr>
        <w:keepNext/>
        <w:spacing w:after="70" w:before="200" w:line="250" w:lineRule="auto"/>
      </w:pPr>
      <w:r>
        <w:rPr>
          <w:rFonts w:ascii="Arial" w:cs="Arial" w:eastAsia="Arial" w:hAnsi="Arial"/>
          <w:b/>
          <w:bCs/>
          <w:i w:val="false"/>
          <w:iCs w:val="false"/>
          <w:color w:val="000000"/>
          <w:sz w:val="22"/>
          <w:szCs w:val="22"/>
        </w:rPr>
        <w:t xml:space="preserve">Table 5 — Section 12L: energy efficiency savings</w:t>
      </w:r>
    </w:p>
    <w:tbl>
      <w:tblPr>
        <w:tblW w:type="dxa" w:w="10300"/>
        <w:tblBorders>
          <w:top w:val="single" w:color="auto" w:sz="4"/>
          <w:left w:val="single" w:color="auto" w:sz="4"/>
          <w:bottom w:val="single" w:color="auto" w:sz="4"/>
          <w:right w:val="single" w:color="auto" w:sz="4"/>
          <w:insideH w:val="single" w:color="auto" w:sz="4"/>
          <w:insideV w:val="single" w:color="auto" w:sz="4"/>
        </w:tblBorders>
      </w:tblPr>
      <w:tblGrid>
        <w:gridCol w:w="4326"/>
        <w:gridCol w:w="5974"/>
      </w:tblGrid>
      <w:tr>
        <w:trPr>
          <w:tblHeader/>
        </w:trPr>
        <w:tc>
          <w:tcPr>
            <w:tcW w:type="dxa" w:w="4326"/>
            <w:tcBorders>
              <w:top w:val="single" w:color="888888" w:sz="4"/>
              <w:left w:val="single" w:color="888888" w:sz="4"/>
              <w:bottom w:val="single" w:color="888888" w:sz="4"/>
              <w:right w:val="single" w:color="888888" w:sz="4"/>
            </w:tcBorders>
            <w:shd w:fill="E8E8E8" w:val="clear"/>
            <w:tcMar>
              <w:top w:type="dxa" w:w="60"/>
              <w:left w:type="dxa" w:w="80"/>
              <w:bottom w:type="dxa" w:w="60"/>
              <w:right w:type="dxa" w:w="80"/>
            </w:tcMar>
            <w:vAlign w:val="center"/>
          </w:tcPr>
          <w:p>
            <w:pPr>
              <w:keepNext w:val="false"/>
              <w:spacing w:after="0" w:before="0" w:line="250" w:lineRule="auto"/>
            </w:pPr>
            <w:r>
              <w:rPr>
                <w:rFonts w:ascii="Arial" w:cs="Arial" w:eastAsia="Arial" w:hAnsi="Arial"/>
                <w:b/>
                <w:bCs/>
                <w:i w:val="false"/>
                <w:iCs w:val="false"/>
                <w:color w:val="000000"/>
                <w:sz w:val="18"/>
                <w:szCs w:val="18"/>
              </w:rPr>
              <w:t xml:space="preserve">Legislation — what the Act says</w:t>
            </w:r>
          </w:p>
        </w:tc>
        <w:tc>
          <w:tcPr>
            <w:tcW w:type="dxa" w:w="5974"/>
            <w:tcBorders>
              <w:top w:val="single" w:color="888888" w:sz="4"/>
              <w:left w:val="single" w:color="888888" w:sz="4"/>
              <w:bottom w:val="single" w:color="888888" w:sz="4"/>
              <w:right w:val="single" w:color="888888" w:sz="4"/>
            </w:tcBorders>
            <w:shd w:fill="E8E8E8" w:val="clear"/>
            <w:tcMar>
              <w:top w:type="dxa" w:w="60"/>
              <w:left w:type="dxa" w:w="80"/>
              <w:bottom w:type="dxa" w:w="60"/>
              <w:right w:type="dxa" w:w="80"/>
            </w:tcMar>
            <w:vAlign w:val="center"/>
          </w:tcPr>
          <w:p>
            <w:pPr>
              <w:keepNext w:val="false"/>
              <w:spacing w:after="0" w:before="0" w:line="250" w:lineRule="auto"/>
            </w:pPr>
            <w:r>
              <w:rPr>
                <w:rFonts w:ascii="Arial" w:cs="Arial" w:eastAsia="Arial" w:hAnsi="Arial"/>
                <w:b/>
                <w:bCs/>
                <w:i w:val="false"/>
                <w:iCs w:val="false"/>
                <w:color w:val="000000"/>
                <w:sz w:val="18"/>
                <w:szCs w:val="18"/>
              </w:rPr>
              <w:t xml:space="preserve">Application to Axion — tax consequences</w:t>
            </w:r>
          </w:p>
        </w:tc>
      </w:tr>
      <w:tr>
        <w:tc>
          <w:tcPr>
            <w:tcW w:type="dxa" w:w="4326"/>
            <w:tcBorders>
              <w:top w:val="single" w:color="888888" w:sz="4"/>
              <w:left w:val="single" w:color="888888" w:sz="4"/>
              <w:bottom w:val="single" w:color="888888" w:sz="4"/>
              <w:right w:val="single" w:color="888888" w:sz="4"/>
            </w:tcBorders>
            <w:tcMar>
              <w:top w:type="dxa" w:w="60"/>
              <w:left w:type="dxa" w:w="80"/>
              <w:bottom w:type="dxa" w:w="60"/>
              <w:right w:type="dxa" w:w="80"/>
            </w:tcMar>
          </w:tcPr>
          <w:p>
            <w:pPr>
              <w:pStyle w:val="ListParagraph"/>
              <w:numPr>
                <w:ilvl w:val="0"/>
                <w:numId w:val="2"/>
              </w:numPr>
              <w:spacing w:after="40" w:before="0" w:line="250" w:lineRule="auto"/>
            </w:pPr>
            <w:r>
              <w:rPr>
                <w:rFonts w:ascii="Arial" w:cs="Arial" w:eastAsia="Arial" w:hAnsi="Arial"/>
                <w:b w:val="false"/>
                <w:bCs w:val="false"/>
                <w:i w:val="false"/>
                <w:iCs w:val="false"/>
                <w:color w:val="000000"/>
                <w:sz w:val="18"/>
                <w:szCs w:val="18"/>
              </w:rPr>
              <w:t xml:space="preserve">Deduction for </w:t>
            </w:r>
            <w:r>
              <w:rPr>
                <w:rFonts w:ascii="Arial" w:cs="Arial" w:eastAsia="Arial" w:hAnsi="Arial"/>
                <w:b/>
                <w:bCs/>
                <w:i w:val="false"/>
                <w:iCs w:val="false"/>
                <w:color w:val="000000"/>
                <w:sz w:val="18"/>
                <w:szCs w:val="18"/>
              </w:rPr>
              <w:t xml:space="preserve">verified energy efficiency savings</w:t>
            </w:r>
            <w:r>
              <w:rPr>
                <w:rFonts w:ascii="Arial" w:cs="Arial" w:eastAsia="Arial" w:hAnsi="Arial"/>
                <w:b w:val="false"/>
                <w:bCs w:val="false"/>
                <w:i w:val="false"/>
                <w:iCs w:val="false"/>
                <w:color w:val="000000"/>
                <w:sz w:val="18"/>
                <w:szCs w:val="18"/>
              </w:rPr>
              <w:t xml:space="preserve"> achieved by the taxpayer in the year of assessment.</w:t>
            </w:r>
          </w:p>
          <w:p>
            <w:pPr>
              <w:pStyle w:val="ListParagraph"/>
              <w:numPr>
                <w:ilvl w:val="0"/>
                <w:numId w:val="2"/>
              </w:numPr>
              <w:spacing w:after="40" w:before="0" w:line="250" w:lineRule="auto"/>
            </w:pPr>
            <w:r>
              <w:rPr>
                <w:rFonts w:ascii="Arial" w:cs="Arial" w:eastAsia="Arial" w:hAnsi="Arial"/>
                <w:b w:val="false"/>
                <w:bCs w:val="false"/>
                <w:i w:val="false"/>
                <w:iCs w:val="false"/>
                <w:color w:val="000000"/>
                <w:sz w:val="18"/>
                <w:szCs w:val="18"/>
              </w:rPr>
              <w:t xml:space="preserve">Computed at </w:t>
            </w:r>
            <w:r>
              <w:rPr>
                <w:rFonts w:ascii="Arial" w:cs="Arial" w:eastAsia="Arial" w:hAnsi="Arial"/>
                <w:b/>
                <w:bCs/>
                <w:i w:val="false"/>
                <w:iCs w:val="false"/>
                <w:color w:val="000000"/>
                <w:sz w:val="18"/>
                <w:szCs w:val="18"/>
              </w:rPr>
              <w:t xml:space="preserve">95 cents per kilowatt-hour</w:t>
            </w:r>
            <w:r>
              <w:rPr>
                <w:rFonts w:ascii="Arial" w:cs="Arial" w:eastAsia="Arial" w:hAnsi="Arial"/>
                <w:b w:val="false"/>
                <w:bCs w:val="false"/>
                <w:i w:val="false"/>
                <w:iCs w:val="false"/>
                <w:color w:val="000000"/>
                <w:sz w:val="18"/>
                <w:szCs w:val="18"/>
              </w:rPr>
              <w:t xml:space="preserve"> (or kWh equivalent) of energy saved.</w:t>
            </w:r>
          </w:p>
          <w:p>
            <w:pPr>
              <w:pStyle w:val="ListParagraph"/>
              <w:numPr>
                <w:ilvl w:val="0"/>
                <w:numId w:val="2"/>
              </w:numPr>
              <w:spacing w:after="40" w:before="0" w:line="250" w:lineRule="auto"/>
            </w:pPr>
            <w:r>
              <w:rPr>
                <w:rFonts w:ascii="Arial" w:cs="Arial" w:eastAsia="Arial" w:hAnsi="Arial"/>
                <w:b w:val="false"/>
                <w:bCs w:val="false"/>
                <w:i w:val="false"/>
                <w:iCs w:val="false"/>
                <w:color w:val="000000"/>
                <w:sz w:val="18"/>
                <w:szCs w:val="18"/>
              </w:rPr>
              <w:t xml:space="preserve">Requires measurement and verification by a </w:t>
            </w:r>
            <w:r>
              <w:rPr>
                <w:rFonts w:ascii="Arial" w:cs="Arial" w:eastAsia="Arial" w:hAnsi="Arial"/>
                <w:b/>
                <w:bCs/>
                <w:i w:val="false"/>
                <w:iCs w:val="false"/>
                <w:color w:val="000000"/>
                <w:sz w:val="18"/>
                <w:szCs w:val="18"/>
              </w:rPr>
              <w:t xml:space="preserve">SANAS-accredited M&amp;V body</w:t>
            </w:r>
            <w:r>
              <w:rPr>
                <w:rFonts w:ascii="Arial" w:cs="Arial" w:eastAsia="Arial" w:hAnsi="Arial"/>
                <w:b w:val="false"/>
                <w:bCs w:val="false"/>
                <w:i w:val="false"/>
                <w:iCs w:val="false"/>
                <w:color w:val="000000"/>
                <w:sz w:val="18"/>
                <w:szCs w:val="18"/>
              </w:rPr>
              <w:t xml:space="preserve">, and a </w:t>
            </w:r>
            <w:r>
              <w:rPr>
                <w:rFonts w:ascii="Arial" w:cs="Arial" w:eastAsia="Arial" w:hAnsi="Arial"/>
                <w:b/>
                <w:bCs/>
                <w:i w:val="false"/>
                <w:iCs w:val="false"/>
                <w:color w:val="000000"/>
                <w:sz w:val="18"/>
                <w:szCs w:val="18"/>
              </w:rPr>
              <w:t xml:space="preserve">certificate issued by SANEDI</w:t>
            </w:r>
            <w:r>
              <w:rPr>
                <w:rFonts w:ascii="Arial" w:cs="Arial" w:eastAsia="Arial" w:hAnsi="Arial"/>
                <w:b w:val="false"/>
                <w:bCs w:val="false"/>
                <w:i w:val="false"/>
                <w:iCs w:val="false"/>
                <w:color w:val="000000"/>
                <w:sz w:val="18"/>
                <w:szCs w:val="18"/>
              </w:rPr>
              <w:t xml:space="preserve">. No certificate, no deduction.</w:t>
            </w:r>
          </w:p>
          <w:p>
            <w:pPr>
              <w:pStyle w:val="ListParagraph"/>
              <w:numPr>
                <w:ilvl w:val="0"/>
                <w:numId w:val="2"/>
              </w:numPr>
              <w:spacing w:after="40" w:before="0" w:line="250" w:lineRule="auto"/>
            </w:pPr>
            <w:r>
              <w:rPr>
                <w:rFonts w:ascii="Arial" w:cs="Arial" w:eastAsia="Arial" w:hAnsi="Arial"/>
                <w:b w:val="false"/>
                <w:bCs w:val="false"/>
                <w:i w:val="false"/>
                <w:iCs w:val="false"/>
                <w:color w:val="000000"/>
                <w:sz w:val="18"/>
                <w:szCs w:val="18"/>
              </w:rPr>
              <w:t xml:space="preserve">Savings are measured against a </w:t>
            </w:r>
            <w:r>
              <w:rPr>
                <w:rFonts w:ascii="Arial" w:cs="Arial" w:eastAsia="Arial" w:hAnsi="Arial"/>
                <w:b/>
                <w:bCs/>
                <w:i w:val="false"/>
                <w:iCs w:val="false"/>
                <w:color w:val="000000"/>
                <w:sz w:val="18"/>
                <w:szCs w:val="18"/>
              </w:rPr>
              <w:t xml:space="preserve">baseline</w:t>
            </w:r>
            <w:r>
              <w:rPr>
                <w:rFonts w:ascii="Arial" w:cs="Arial" w:eastAsia="Arial" w:hAnsi="Arial"/>
                <w:b w:val="false"/>
                <w:bCs w:val="false"/>
                <w:i w:val="false"/>
                <w:iCs w:val="false"/>
                <w:color w:val="000000"/>
                <w:sz w:val="18"/>
                <w:szCs w:val="18"/>
              </w:rPr>
              <w:t xml:space="preserve">, so the baseline must be established and measured before the efficiency intervention.</w:t>
            </w:r>
          </w:p>
          <w:p>
            <w:pPr>
              <w:pStyle w:val="ListParagraph"/>
              <w:numPr>
                <w:ilvl w:val="0"/>
                <w:numId w:val="2"/>
              </w:numPr>
              <w:spacing w:after="0" w:before="0" w:line="250" w:lineRule="auto"/>
            </w:pPr>
            <w:r>
              <w:rPr>
                <w:rFonts w:ascii="Arial" w:cs="Arial" w:eastAsia="Arial" w:hAnsi="Arial"/>
                <w:b/>
                <w:bCs/>
                <w:i w:val="false"/>
                <w:iCs w:val="false"/>
                <w:color w:val="000000"/>
                <w:sz w:val="18"/>
                <w:szCs w:val="18"/>
              </w:rPr>
              <w:t xml:space="preserve">Sunset extended from 31 December 2025 to 31 December 2030</w:t>
            </w:r>
            <w:r>
              <w:rPr>
                <w:rFonts w:ascii="Arial" w:cs="Arial" w:eastAsia="Arial" w:hAnsi="Arial"/>
                <w:b w:val="false"/>
                <w:bCs w:val="false"/>
                <w:i w:val="false"/>
                <w:iCs w:val="false"/>
                <w:color w:val="000000"/>
                <w:sz w:val="18"/>
                <w:szCs w:val="18"/>
              </w:rPr>
              <w:t xml:space="preserve"> — the incentive is </w:t>
            </w:r>
            <w:r>
              <w:rPr>
                <w:rFonts w:ascii="Arial" w:cs="Arial" w:eastAsia="Arial" w:hAnsi="Arial"/>
                <w:b/>
                <w:bCs/>
                <w:i w:val="false"/>
                <w:iCs w:val="false"/>
                <w:color w:val="000000"/>
                <w:sz w:val="18"/>
                <w:szCs w:val="18"/>
              </w:rPr>
              <w:t xml:space="preserve">available</w:t>
            </w:r>
            <w:r>
              <w:rPr>
                <w:rFonts w:ascii="Arial" w:cs="Arial" w:eastAsia="Arial" w:hAnsi="Arial"/>
                <w:b w:val="false"/>
                <w:bCs w:val="false"/>
                <w:i w:val="false"/>
                <w:iCs w:val="false"/>
                <w:color w:val="000000"/>
                <w:sz w:val="18"/>
                <w:szCs w:val="18"/>
              </w:rPr>
              <w:t xml:space="preserve">.</w:t>
            </w:r>
          </w:p>
        </w:tc>
        <w:tc>
          <w:tcPr>
            <w:tcW w:type="dxa" w:w="5974"/>
            <w:tcBorders>
              <w:top w:val="single" w:color="888888" w:sz="4"/>
              <w:left w:val="single" w:color="888888" w:sz="4"/>
              <w:bottom w:val="single" w:color="888888" w:sz="4"/>
              <w:right w:val="single" w:color="888888" w:sz="4"/>
            </w:tcBorders>
            <w:tcMar>
              <w:top w:type="dxa" w:w="60"/>
              <w:left w:type="dxa" w:w="80"/>
              <w:bottom w:type="dxa" w:w="60"/>
              <w:right w:type="dxa" w:w="80"/>
            </w:tcMar>
          </w:tcPr>
          <w:p>
            <w:pPr>
              <w:pStyle w:val="ListParagraph"/>
              <w:numPr>
                <w:ilvl w:val="0"/>
                <w:numId w:val="2"/>
              </w:numPr>
              <w:spacing w:after="40" w:before="0" w:line="250" w:lineRule="auto"/>
            </w:pPr>
            <w:r>
              <w:rPr>
                <w:rFonts w:ascii="Arial" w:cs="Arial" w:eastAsia="Arial" w:hAnsi="Arial"/>
                <w:b/>
                <w:bCs/>
                <w:i w:val="false"/>
                <w:iCs w:val="false"/>
                <w:color w:val="0070C0"/>
                <w:sz w:val="18"/>
                <w:szCs w:val="18"/>
              </w:rPr>
              <w:t xml:space="preserve">This is the one incentive here that applies to Axion’s existing five facilities, not only to a new project.</w:t>
            </w:r>
            <w:r>
              <w:rPr>
                <w:rFonts w:ascii="Arial" w:cs="Arial" w:eastAsia="Arial" w:hAnsi="Arial"/>
                <w:b w:val="false"/>
                <w:bCs w:val="false"/>
                <w:i w:val="false"/>
                <w:iCs w:val="false"/>
                <w:color w:val="0070C0"/>
                <w:sz w:val="18"/>
                <w:szCs w:val="18"/>
              </w:rPr>
              <w:t xml:space="preserve"> It rewards </w:t>
            </w:r>
            <w:r>
              <w:rPr>
                <w:rFonts w:ascii="Arial" w:cs="Arial" w:eastAsia="Arial" w:hAnsi="Arial"/>
                <w:b/>
                <w:bCs/>
                <w:i w:val="false"/>
                <w:iCs w:val="false"/>
                <w:color w:val="0070C0"/>
                <w:sz w:val="18"/>
                <w:szCs w:val="18"/>
              </w:rPr>
              <w:t xml:space="preserve">using less</w:t>
            </w:r>
            <w:r>
              <w:rPr>
                <w:rFonts w:ascii="Arial" w:cs="Arial" w:eastAsia="Arial" w:hAnsi="Arial"/>
                <w:b w:val="false"/>
                <w:bCs w:val="false"/>
                <w:i w:val="false"/>
                <w:iCs w:val="false"/>
                <w:color w:val="0070C0"/>
                <w:sz w:val="18"/>
                <w:szCs w:val="18"/>
              </w:rPr>
              <w:t xml:space="preserve"> electricity rather than generating it, so it sits alongside the renewable options rather than competing with them.</w:t>
            </w:r>
          </w:p>
          <w:p>
            <w:pPr>
              <w:pStyle w:val="ListParagraph"/>
              <w:numPr>
                <w:ilvl w:val="0"/>
                <w:numId w:val="2"/>
              </w:numPr>
              <w:spacing w:after="40" w:before="0" w:line="250" w:lineRule="auto"/>
            </w:pPr>
            <w:r>
              <w:rPr>
                <w:rFonts w:ascii="Arial" w:cs="Arial" w:eastAsia="Arial" w:hAnsi="Arial"/>
                <w:b/>
                <w:bCs/>
                <w:i w:val="false"/>
                <w:iCs w:val="false"/>
                <w:color w:val="0070C0"/>
                <w:sz w:val="18"/>
                <w:szCs w:val="18"/>
              </w:rPr>
              <w:t xml:space="preserve">Why it fits Axion unusually well.</w:t>
            </w:r>
            <w:r>
              <w:rPr>
                <w:rFonts w:ascii="Arial" w:cs="Arial" w:eastAsia="Arial" w:hAnsi="Arial"/>
                <w:b w:val="false"/>
                <w:bCs w:val="false"/>
                <w:i w:val="false"/>
                <w:iCs w:val="false"/>
                <w:color w:val="0070C0"/>
                <w:sz w:val="18"/>
                <w:szCs w:val="18"/>
              </w:rPr>
              <w:t xml:space="preserve"> Electricity is one of its most significant operating costs (Document 7). Data centres measure efficiency continuously. And Document 7 page 19 describes an </w:t>
            </w:r>
            <w:r>
              <w:rPr>
                <w:rFonts w:ascii="Arial" w:cs="Arial" w:eastAsia="Arial" w:hAnsi="Arial"/>
                <w:b/>
                <w:bCs/>
                <w:i w:val="false"/>
                <w:iCs w:val="false"/>
                <w:color w:val="0070C0"/>
                <w:sz w:val="18"/>
                <w:szCs w:val="18"/>
              </w:rPr>
              <w:t xml:space="preserve">AI-enabled tool piloted at Johannesburg 1</w:t>
            </w:r>
            <w:r>
              <w:rPr>
                <w:rFonts w:ascii="Arial" w:cs="Arial" w:eastAsia="Arial" w:hAnsi="Arial"/>
                <w:b w:val="false"/>
                <w:bCs w:val="false"/>
                <w:i w:val="false"/>
                <w:iCs w:val="false"/>
                <w:color w:val="0070C0"/>
                <w:sz w:val="18"/>
                <w:szCs w:val="18"/>
              </w:rPr>
              <w:t xml:space="preserve"> that optimises maintenance — efficiency interventions of exactly the kind s12L is designed for.</w:t>
            </w:r>
          </w:p>
          <w:p>
            <w:pPr>
              <w:pStyle w:val="ListParagraph"/>
              <w:numPr>
                <w:ilvl w:val="0"/>
                <w:numId w:val="2"/>
              </w:numPr>
              <w:spacing w:after="40" w:before="0" w:line="250" w:lineRule="auto"/>
            </w:pPr>
            <w:r>
              <w:rPr>
                <w:rFonts w:ascii="Arial" w:cs="Arial" w:eastAsia="Arial" w:hAnsi="Arial"/>
                <w:b/>
                <w:bCs/>
                <w:i w:val="false"/>
                <w:iCs w:val="false"/>
                <w:color w:val="0070C0"/>
                <w:sz w:val="18"/>
                <w:szCs w:val="18"/>
              </w:rPr>
              <w:t xml:space="preserve">[WAITING FOR INPUT — information on the day]:</w:t>
            </w:r>
            <w:r>
              <w:rPr>
                <w:rFonts w:ascii="Arial" w:cs="Arial" w:eastAsia="Arial" w:hAnsi="Arial"/>
                <w:b w:val="false"/>
                <w:bCs w:val="false"/>
                <w:i w:val="false"/>
                <w:iCs w:val="false"/>
                <w:color w:val="0070C0"/>
                <w:sz w:val="18"/>
                <w:szCs w:val="18"/>
              </w:rPr>
              <w:t xml:space="preserve"> has Axion ever claimed s12L; is a measured baseline in place; are any efficiency projects planned?</w:t>
            </w:r>
          </w:p>
          <w:p>
            <w:pPr>
              <w:pStyle w:val="ListParagraph"/>
              <w:numPr>
                <w:ilvl w:val="0"/>
                <w:numId w:val="2"/>
              </w:numPr>
              <w:spacing w:after="40" w:before="0" w:line="250" w:lineRule="auto"/>
            </w:pPr>
            <w:r>
              <w:rPr>
                <w:rFonts w:ascii="Arial" w:cs="Arial" w:eastAsia="Arial" w:hAnsi="Arial"/>
                <w:b/>
                <w:bCs/>
                <w:i w:val="false"/>
                <w:iCs w:val="false"/>
                <w:color w:val="0070C0"/>
                <w:sz w:val="18"/>
                <w:szCs w:val="18"/>
              </w:rPr>
              <w:t xml:space="preserve">Worked example.</w:t>
            </w:r>
            <w:r>
              <w:rPr>
                <w:rFonts w:ascii="Arial" w:cs="Arial" w:eastAsia="Arial" w:hAnsi="Arial"/>
                <w:b w:val="false"/>
                <w:bCs w:val="false"/>
                <w:i w:val="false"/>
                <w:iCs w:val="false"/>
                <w:color w:val="0070C0"/>
                <w:sz w:val="18"/>
                <w:szCs w:val="18"/>
              </w:rPr>
              <w:t xml:space="preserve"> Assume a cooling optimisation saves 3 000 000 kWh in FY2027:</w:t>
            </w:r>
          </w:p>
          <w:p>
            <w:pPr>
              <w:pStyle w:val="ListParagraph"/>
              <w:numPr>
                <w:ilvl w:val="0"/>
                <w:numId w:val="2"/>
              </w:numPr>
              <w:spacing w:after="40" w:before="0" w:line="250" w:lineRule="auto"/>
            </w:pPr>
            <w:r>
              <w:rPr>
                <w:rFonts w:ascii="Arial" w:cs="Arial" w:eastAsia="Arial" w:hAnsi="Arial"/>
                <w:b w:val="false"/>
                <w:bCs w:val="false"/>
                <w:i w:val="false"/>
                <w:iCs w:val="false"/>
                <w:color w:val="0070C0"/>
                <w:sz w:val="18"/>
                <w:szCs w:val="18"/>
              </w:rPr>
              <w:t xml:space="preserve">3 000 000 kWh × 95c = </w:t>
            </w:r>
            <w:r>
              <w:rPr>
                <w:rFonts w:ascii="Arial" w:cs="Arial" w:eastAsia="Arial" w:hAnsi="Arial"/>
                <w:b/>
                <w:bCs/>
                <w:i w:val="false"/>
                <w:iCs w:val="false"/>
                <w:color w:val="0070C0"/>
                <w:sz w:val="18"/>
                <w:szCs w:val="18"/>
              </w:rPr>
              <w:t xml:space="preserve">R2.85m</w:t>
            </w:r>
            <w:r>
              <w:rPr>
                <w:rFonts w:ascii="Arial" w:cs="Arial" w:eastAsia="Arial" w:hAnsi="Arial"/>
                <w:b w:val="false"/>
                <w:bCs w:val="false"/>
                <w:i w:val="false"/>
                <w:iCs w:val="false"/>
                <w:color w:val="0070C0"/>
                <w:sz w:val="18"/>
                <w:szCs w:val="18"/>
              </w:rPr>
              <w:t xml:space="preserve"> deduction · tax at 27% = </w:t>
            </w:r>
            <w:r>
              <w:rPr>
                <w:rFonts w:ascii="Arial" w:cs="Arial" w:eastAsia="Arial" w:hAnsi="Arial"/>
                <w:b/>
                <w:bCs/>
                <w:i w:val="false"/>
                <w:iCs w:val="false"/>
                <w:color w:val="0070C0"/>
                <w:sz w:val="18"/>
                <w:szCs w:val="18"/>
              </w:rPr>
              <w:t xml:space="preserve">R769 500</w:t>
            </w:r>
          </w:p>
          <w:p>
            <w:pPr>
              <w:pStyle w:val="ListParagraph"/>
              <w:numPr>
                <w:ilvl w:val="0"/>
                <w:numId w:val="2"/>
              </w:numPr>
              <w:spacing w:after="40" w:before="0" w:line="250" w:lineRule="auto"/>
            </w:pPr>
            <w:r>
              <w:rPr>
                <w:rFonts w:ascii="Arial" w:cs="Arial" w:eastAsia="Arial" w:hAnsi="Arial"/>
                <w:b w:val="false"/>
                <w:bCs w:val="false"/>
                <w:i w:val="false"/>
                <w:iCs w:val="false"/>
                <w:color w:val="0070C0"/>
                <w:sz w:val="18"/>
                <w:szCs w:val="18"/>
              </w:rPr>
              <w:t xml:space="preserve">Modest against the s12B numbers — but it recurs annually while savings persist, it needs no capital, and raising it shows you looked beyond the two obvious sections. </w:t>
            </w:r>
            <w:r>
              <w:rPr>
                <w:rFonts w:ascii="Arial" w:cs="Arial" w:eastAsia="Arial" w:hAnsi="Arial"/>
                <w:b/>
                <w:bCs/>
                <w:i w:val="false"/>
                <w:iCs w:val="false"/>
                <w:color w:val="0070C0"/>
                <w:sz w:val="18"/>
                <w:szCs w:val="18"/>
              </w:rPr>
              <w:t xml:space="preserve">This is a breadth point, and breadth is what the examiners said candidates lacked.</w:t>
            </w:r>
          </w:p>
          <w:p>
            <w:pPr>
              <w:pStyle w:val="ListParagraph"/>
              <w:numPr>
                <w:ilvl w:val="0"/>
                <w:numId w:val="2"/>
              </w:numPr>
              <w:spacing w:after="0" w:before="0" w:line="250" w:lineRule="auto"/>
            </w:pPr>
            <w:r>
              <w:rPr>
                <w:rFonts w:ascii="Arial" w:cs="Arial" w:eastAsia="Arial" w:hAnsi="Arial"/>
                <w:b/>
                <w:bCs/>
                <w:i w:val="false"/>
                <w:iCs w:val="false"/>
                <w:color w:val="0070C0"/>
                <w:sz w:val="18"/>
                <w:szCs w:val="18"/>
              </w:rPr>
              <w:t xml:space="preserve">Practical caution to state:</w:t>
            </w:r>
            <w:r>
              <w:rPr>
                <w:rFonts w:ascii="Arial" w:cs="Arial" w:eastAsia="Arial" w:hAnsi="Arial"/>
                <w:b w:val="false"/>
                <w:bCs w:val="false"/>
                <w:i w:val="false"/>
                <w:iCs w:val="false"/>
                <w:color w:val="0070C0"/>
                <w:sz w:val="18"/>
                <w:szCs w:val="18"/>
              </w:rPr>
              <w:t xml:space="preserve"> the deduction is only available if the M&amp;V and SANEDI certification process is followed. Axion cannot claim retrospectively for savings it did not measure. That is advice worth giving.</w:t>
            </w:r>
          </w:p>
        </w:tc>
      </w:tr>
    </w:tbl>
    <w:p>
      <w:pPr>
        <w:keepNext w:val="false"/>
        <w:spacing w:after="0" w:before="0" w:line="250" w:lineRule="auto"/>
      </w:pPr>
      <w:r>
        <w:rPr>
          <w:rFonts w:ascii="Arial" w:cs="Arial" w:eastAsia="Arial" w:hAnsi="Arial"/>
          <w:sz w:val="12"/>
          <w:szCs w:val="12"/>
        </w:rPr>
        <w:t xml:space="preserve"/>
      </w:r>
    </w:p>
    <w:p>
      <w:pPr>
        <w:keepNext/>
        <w:pageBreakBefore/>
        <w:pBdr>
          <w:bottom w:val="single" w:color="000000" w:sz="8" w:space="2"/>
        </w:pBdr>
        <w:spacing w:after="110" w:before="0" w:line="250" w:lineRule="auto"/>
      </w:pPr>
      <w:r>
        <w:rPr>
          <w:rFonts w:ascii="Arial" w:cs="Arial" w:eastAsia="Arial" w:hAnsi="Arial"/>
          <w:b/>
          <w:bCs/>
          <w:i w:val="false"/>
          <w:iCs w:val="false"/>
          <w:color w:val="000000"/>
          <w:sz w:val="26"/>
          <w:szCs w:val="26"/>
        </w:rPr>
        <w:t xml:space="preserve">B. Other capital allowances that could apply</w:t>
      </w:r>
    </w:p>
    <w:p>
      <w:pPr>
        <w:keepNext/>
        <w:spacing w:after="70" w:before="200" w:line="250" w:lineRule="auto"/>
      </w:pPr>
      <w:r>
        <w:rPr>
          <w:rFonts w:ascii="Arial" w:cs="Arial" w:eastAsia="Arial" w:hAnsi="Arial"/>
          <w:b/>
          <w:bCs/>
          <w:i w:val="false"/>
          <w:iCs w:val="false"/>
          <w:color w:val="000000"/>
          <w:sz w:val="22"/>
          <w:szCs w:val="22"/>
        </w:rPr>
        <w:t xml:space="preserve">Table 6 — Section 11(e): wear and tear</w:t>
      </w:r>
    </w:p>
    <w:tbl>
      <w:tblPr>
        <w:tblW w:type="dxa" w:w="10300"/>
        <w:tblBorders>
          <w:top w:val="single" w:color="auto" w:sz="4"/>
          <w:left w:val="single" w:color="auto" w:sz="4"/>
          <w:bottom w:val="single" w:color="auto" w:sz="4"/>
          <w:right w:val="single" w:color="auto" w:sz="4"/>
          <w:insideH w:val="single" w:color="auto" w:sz="4"/>
          <w:insideV w:val="single" w:color="auto" w:sz="4"/>
        </w:tblBorders>
      </w:tblPr>
      <w:tblGrid>
        <w:gridCol w:w="4326"/>
        <w:gridCol w:w="5974"/>
      </w:tblGrid>
      <w:tr>
        <w:trPr>
          <w:tblHeader/>
        </w:trPr>
        <w:tc>
          <w:tcPr>
            <w:tcW w:type="dxa" w:w="4326"/>
            <w:tcBorders>
              <w:top w:val="single" w:color="888888" w:sz="4"/>
              <w:left w:val="single" w:color="888888" w:sz="4"/>
              <w:bottom w:val="single" w:color="888888" w:sz="4"/>
              <w:right w:val="single" w:color="888888" w:sz="4"/>
            </w:tcBorders>
            <w:shd w:fill="E8E8E8" w:val="clear"/>
            <w:tcMar>
              <w:top w:type="dxa" w:w="60"/>
              <w:left w:type="dxa" w:w="80"/>
              <w:bottom w:type="dxa" w:w="60"/>
              <w:right w:type="dxa" w:w="80"/>
            </w:tcMar>
            <w:vAlign w:val="center"/>
          </w:tcPr>
          <w:p>
            <w:pPr>
              <w:keepNext w:val="false"/>
              <w:spacing w:after="0" w:before="0" w:line="250" w:lineRule="auto"/>
            </w:pPr>
            <w:r>
              <w:rPr>
                <w:rFonts w:ascii="Arial" w:cs="Arial" w:eastAsia="Arial" w:hAnsi="Arial"/>
                <w:b/>
                <w:bCs/>
                <w:i w:val="false"/>
                <w:iCs w:val="false"/>
                <w:color w:val="000000"/>
                <w:sz w:val="18"/>
                <w:szCs w:val="18"/>
              </w:rPr>
              <w:t xml:space="preserve">Legislation — what the Act says</w:t>
            </w:r>
          </w:p>
        </w:tc>
        <w:tc>
          <w:tcPr>
            <w:tcW w:type="dxa" w:w="5974"/>
            <w:tcBorders>
              <w:top w:val="single" w:color="888888" w:sz="4"/>
              <w:left w:val="single" w:color="888888" w:sz="4"/>
              <w:bottom w:val="single" w:color="888888" w:sz="4"/>
              <w:right w:val="single" w:color="888888" w:sz="4"/>
            </w:tcBorders>
            <w:shd w:fill="E8E8E8" w:val="clear"/>
            <w:tcMar>
              <w:top w:type="dxa" w:w="60"/>
              <w:left w:type="dxa" w:w="80"/>
              <w:bottom w:type="dxa" w:w="60"/>
              <w:right w:type="dxa" w:w="80"/>
            </w:tcMar>
            <w:vAlign w:val="center"/>
          </w:tcPr>
          <w:p>
            <w:pPr>
              <w:keepNext w:val="false"/>
              <w:spacing w:after="0" w:before="0" w:line="250" w:lineRule="auto"/>
            </w:pPr>
            <w:r>
              <w:rPr>
                <w:rFonts w:ascii="Arial" w:cs="Arial" w:eastAsia="Arial" w:hAnsi="Arial"/>
                <w:b/>
                <w:bCs/>
                <w:i w:val="false"/>
                <w:iCs w:val="false"/>
                <w:color w:val="000000"/>
                <w:sz w:val="18"/>
                <w:szCs w:val="18"/>
              </w:rPr>
              <w:t xml:space="preserve">Application to Axion — tax consequences</w:t>
            </w:r>
          </w:p>
        </w:tc>
      </w:tr>
      <w:tr>
        <w:tc>
          <w:tcPr>
            <w:tcW w:type="dxa" w:w="4326"/>
            <w:tcBorders>
              <w:top w:val="single" w:color="888888" w:sz="4"/>
              <w:left w:val="single" w:color="888888" w:sz="4"/>
              <w:bottom w:val="single" w:color="888888" w:sz="4"/>
              <w:right w:val="single" w:color="888888" w:sz="4"/>
            </w:tcBorders>
            <w:tcMar>
              <w:top w:type="dxa" w:w="60"/>
              <w:left w:type="dxa" w:w="80"/>
              <w:bottom w:type="dxa" w:w="60"/>
              <w:right w:type="dxa" w:w="80"/>
            </w:tcMar>
          </w:tcPr>
          <w:p>
            <w:pPr>
              <w:pStyle w:val="ListParagraph"/>
              <w:numPr>
                <w:ilvl w:val="0"/>
                <w:numId w:val="2"/>
              </w:numPr>
              <w:spacing w:after="40" w:before="0" w:line="250" w:lineRule="auto"/>
            </w:pPr>
            <w:r>
              <w:rPr>
                <w:rFonts w:ascii="Arial" w:cs="Arial" w:eastAsia="Arial" w:hAnsi="Arial"/>
                <w:b w:val="false"/>
                <w:bCs w:val="false"/>
                <w:i w:val="false"/>
                <w:iCs w:val="false"/>
                <w:color w:val="000000"/>
                <w:sz w:val="18"/>
                <w:szCs w:val="18"/>
              </w:rPr>
              <w:t xml:space="preserve">Deduction for </w:t>
            </w:r>
            <w:r>
              <w:rPr>
                <w:rFonts w:ascii="Arial" w:cs="Arial" w:eastAsia="Arial" w:hAnsi="Arial"/>
                <w:b/>
                <w:bCs/>
                <w:i w:val="false"/>
                <w:iCs w:val="false"/>
                <w:color w:val="000000"/>
                <w:sz w:val="18"/>
                <w:szCs w:val="18"/>
              </w:rPr>
              <w:t xml:space="preserve">wear and tear or depreciation</w:t>
            </w:r>
            <w:r>
              <w:rPr>
                <w:rFonts w:ascii="Arial" w:cs="Arial" w:eastAsia="Arial" w:hAnsi="Arial"/>
                <w:b w:val="false"/>
                <w:bCs w:val="false"/>
                <w:i w:val="false"/>
                <w:iCs w:val="false"/>
                <w:color w:val="000000"/>
                <w:sz w:val="18"/>
                <w:szCs w:val="18"/>
              </w:rPr>
              <w:t xml:space="preserve"> of machinery, plant, implements, utensils and articles </w:t>
            </w:r>
            <w:r>
              <w:rPr>
                <w:rFonts w:ascii="Arial" w:cs="Arial" w:eastAsia="Arial" w:hAnsi="Arial"/>
                <w:b/>
                <w:bCs/>
                <w:i w:val="false"/>
                <w:iCs w:val="false"/>
                <w:color w:val="000000"/>
                <w:sz w:val="18"/>
                <w:szCs w:val="18"/>
              </w:rPr>
              <w:t xml:space="preserve">owned</w:t>
            </w:r>
            <w:r>
              <w:rPr>
                <w:rFonts w:ascii="Arial" w:cs="Arial" w:eastAsia="Arial" w:hAnsi="Arial"/>
                <w:b w:val="false"/>
                <w:bCs w:val="false"/>
                <w:i w:val="false"/>
                <w:iCs w:val="false"/>
                <w:color w:val="000000"/>
                <w:sz w:val="18"/>
                <w:szCs w:val="18"/>
              </w:rPr>
              <w:t xml:space="preserve"> by the taxpayer, or acquired under an instalment credit agreement, and </w:t>
            </w:r>
            <w:r>
              <w:rPr>
                <w:rFonts w:ascii="Arial" w:cs="Arial" w:eastAsia="Arial" w:hAnsi="Arial"/>
                <w:b/>
                <w:bCs/>
                <w:i w:val="false"/>
                <w:iCs w:val="false"/>
                <w:color w:val="000000"/>
                <w:sz w:val="18"/>
                <w:szCs w:val="18"/>
              </w:rPr>
              <w:t xml:space="preserve">used for the purposes of trade</w:t>
            </w:r>
            <w:r>
              <w:rPr>
                <w:rFonts w:ascii="Arial" w:cs="Arial" w:eastAsia="Arial" w:hAnsi="Arial"/>
                <w:b w:val="false"/>
                <w:bCs w:val="false"/>
                <w:i w:val="false"/>
                <w:iCs w:val="false"/>
                <w:color w:val="000000"/>
                <w:sz w:val="18"/>
                <w:szCs w:val="18"/>
              </w:rPr>
              <w:t xml:space="preserve">.</w:t>
            </w:r>
          </w:p>
          <w:p>
            <w:pPr>
              <w:pStyle w:val="ListParagraph"/>
              <w:numPr>
                <w:ilvl w:val="0"/>
                <w:numId w:val="2"/>
              </w:numPr>
              <w:spacing w:after="40" w:before="0" w:line="250" w:lineRule="auto"/>
            </w:pPr>
            <w:r>
              <w:rPr>
                <w:rFonts w:ascii="Arial" w:cs="Arial" w:eastAsia="Arial" w:hAnsi="Arial"/>
                <w:b w:val="false"/>
                <w:bCs w:val="false"/>
                <w:i w:val="false"/>
                <w:iCs w:val="false"/>
                <w:color w:val="000000"/>
                <w:sz w:val="18"/>
                <w:szCs w:val="18"/>
              </w:rPr>
              <w:t xml:space="preserve">Applies where </w:t>
            </w:r>
            <w:r>
              <w:rPr>
                <w:rFonts w:ascii="Arial" w:cs="Arial" w:eastAsia="Arial" w:hAnsi="Arial"/>
                <w:b/>
                <w:bCs/>
                <w:i w:val="false"/>
                <w:iCs w:val="false"/>
                <w:color w:val="000000"/>
                <w:sz w:val="18"/>
                <w:szCs w:val="18"/>
              </w:rPr>
              <w:t xml:space="preserve">no other specific allowance</w:t>
            </w:r>
            <w:r>
              <w:rPr>
                <w:rFonts w:ascii="Arial" w:cs="Arial" w:eastAsia="Arial" w:hAnsi="Arial"/>
                <w:b w:val="false"/>
                <w:bCs w:val="false"/>
                <w:i w:val="false"/>
                <w:iCs w:val="false"/>
                <w:color w:val="000000"/>
                <w:sz w:val="18"/>
                <w:szCs w:val="18"/>
              </w:rPr>
              <w:t xml:space="preserve"> applies. It is the residual provision.</w:t>
            </w:r>
          </w:p>
          <w:p>
            <w:pPr>
              <w:pStyle w:val="ListParagraph"/>
              <w:numPr>
                <w:ilvl w:val="0"/>
                <w:numId w:val="2"/>
              </w:numPr>
              <w:spacing w:after="40" w:before="0" w:line="250" w:lineRule="auto"/>
            </w:pPr>
            <w:r>
              <w:rPr>
                <w:rFonts w:ascii="Arial" w:cs="Arial" w:eastAsia="Arial" w:hAnsi="Arial"/>
                <w:b/>
                <w:bCs/>
                <w:i w:val="false"/>
                <w:iCs w:val="false"/>
                <w:color w:val="000000"/>
                <w:sz w:val="18"/>
                <w:szCs w:val="18"/>
              </w:rPr>
              <w:t xml:space="preserve">Apportioned</w:t>
            </w:r>
            <w:r>
              <w:rPr>
                <w:rFonts w:ascii="Arial" w:cs="Arial" w:eastAsia="Arial" w:hAnsi="Arial"/>
                <w:b w:val="false"/>
                <w:bCs w:val="false"/>
                <w:i w:val="false"/>
                <w:iCs w:val="false"/>
                <w:color w:val="000000"/>
                <w:sz w:val="18"/>
                <w:szCs w:val="18"/>
              </w:rPr>
              <w:t xml:space="preserve"> for part of a year of assessment — unlike s12B, s12BA and s12C.</w:t>
            </w:r>
          </w:p>
          <w:p>
            <w:pPr>
              <w:pStyle w:val="ListParagraph"/>
              <w:numPr>
                <w:ilvl w:val="0"/>
                <w:numId w:val="2"/>
              </w:numPr>
              <w:spacing w:after="40" w:before="0" w:line="250" w:lineRule="auto"/>
            </w:pPr>
            <w:r>
              <w:rPr>
                <w:rFonts w:ascii="Arial" w:cs="Arial" w:eastAsia="Arial" w:hAnsi="Arial"/>
                <w:b w:val="false"/>
                <w:bCs w:val="false"/>
                <w:i w:val="false"/>
                <w:iCs w:val="false"/>
                <w:color w:val="000000"/>
                <w:sz w:val="18"/>
                <w:szCs w:val="18"/>
              </w:rPr>
              <w:t xml:space="preserve">Write-off periods are set out in </w:t>
            </w:r>
            <w:r>
              <w:rPr>
                <w:rFonts w:ascii="Arial" w:cs="Arial" w:eastAsia="Arial" w:hAnsi="Arial"/>
                <w:b/>
                <w:bCs/>
                <w:i w:val="false"/>
                <w:iCs w:val="false"/>
                <w:color w:val="000000"/>
                <w:sz w:val="18"/>
                <w:szCs w:val="18"/>
              </w:rPr>
              <w:t xml:space="preserve">Interpretation Note 47</w:t>
            </w:r>
            <w:r>
              <w:rPr>
                <w:rFonts w:ascii="Arial" w:cs="Arial" w:eastAsia="Arial" w:hAnsi="Arial"/>
                <w:b w:val="false"/>
                <w:bCs w:val="false"/>
                <w:i w:val="false"/>
                <w:iCs w:val="false"/>
                <w:color w:val="000000"/>
                <w:sz w:val="18"/>
                <w:szCs w:val="18"/>
              </w:rPr>
              <w:t xml:space="preserve">. SARS accepts the periods listed there, or a shorter period the taxpayer can justify.</w:t>
            </w:r>
          </w:p>
          <w:p>
            <w:pPr>
              <w:pStyle w:val="ListParagraph"/>
              <w:numPr>
                <w:ilvl w:val="0"/>
                <w:numId w:val="2"/>
              </w:numPr>
              <w:spacing w:after="0" w:before="0" w:line="250" w:lineRule="auto"/>
            </w:pPr>
            <w:r>
              <w:rPr>
                <w:rFonts w:ascii="Arial" w:cs="Arial" w:eastAsia="Arial" w:hAnsi="Arial"/>
                <w:b w:val="false"/>
                <w:bCs w:val="false"/>
                <w:i w:val="false"/>
                <w:iCs w:val="false"/>
                <w:color w:val="000000"/>
                <w:sz w:val="18"/>
                <w:szCs w:val="18"/>
              </w:rPr>
              <w:t xml:space="preserve">Excludes buildings and other structures of a permanent nature.</w:t>
            </w:r>
          </w:p>
        </w:tc>
        <w:tc>
          <w:tcPr>
            <w:tcW w:type="dxa" w:w="5974"/>
            <w:tcBorders>
              <w:top w:val="single" w:color="888888" w:sz="4"/>
              <w:left w:val="single" w:color="888888" w:sz="4"/>
              <w:bottom w:val="single" w:color="888888" w:sz="4"/>
              <w:right w:val="single" w:color="888888" w:sz="4"/>
            </w:tcBorders>
            <w:tcMar>
              <w:top w:type="dxa" w:w="60"/>
              <w:left w:type="dxa" w:w="80"/>
              <w:bottom w:type="dxa" w:w="60"/>
              <w:right w:type="dxa" w:w="80"/>
            </w:tcMar>
          </w:tcPr>
          <w:p>
            <w:pPr>
              <w:pStyle w:val="ListParagraph"/>
              <w:numPr>
                <w:ilvl w:val="0"/>
                <w:numId w:val="2"/>
              </w:numPr>
              <w:spacing w:after="40" w:before="0" w:line="250" w:lineRule="auto"/>
            </w:pPr>
            <w:r>
              <w:rPr>
                <w:rFonts w:ascii="Arial" w:cs="Arial" w:eastAsia="Arial" w:hAnsi="Arial"/>
                <w:b/>
                <w:bCs/>
                <w:i w:val="false"/>
                <w:iCs w:val="false"/>
                <w:color w:val="0070C0"/>
                <w:sz w:val="18"/>
                <w:szCs w:val="18"/>
              </w:rPr>
              <w:t xml:space="preserve">This is the default for most of Axion’s asset base</w:t>
            </w:r>
            <w:r>
              <w:rPr>
                <w:rFonts w:ascii="Arial" w:cs="Arial" w:eastAsia="Arial" w:hAnsi="Arial"/>
                <w:b w:val="false"/>
                <w:bCs w:val="false"/>
                <w:i w:val="false"/>
                <w:iCs w:val="false"/>
                <w:color w:val="0070C0"/>
                <w:sz w:val="18"/>
                <w:szCs w:val="18"/>
              </w:rPr>
              <w:t xml:space="preserve"> — cooling plant, UPS and batteries, backup generators, network and security equipment — to the extent no specific section applies.</w:t>
            </w:r>
          </w:p>
          <w:p>
            <w:pPr>
              <w:pStyle w:val="ListParagraph"/>
              <w:numPr>
                <w:ilvl w:val="0"/>
                <w:numId w:val="2"/>
              </w:numPr>
              <w:spacing w:after="40" w:before="0" w:line="250" w:lineRule="auto"/>
            </w:pPr>
            <w:r>
              <w:rPr>
                <w:rFonts w:ascii="Arial" w:cs="Arial" w:eastAsia="Arial" w:hAnsi="Arial"/>
                <w:b/>
                <w:bCs/>
                <w:i w:val="false"/>
                <w:iCs w:val="false"/>
                <w:color w:val="0070C0"/>
                <w:sz w:val="18"/>
                <w:szCs w:val="18"/>
              </w:rPr>
              <w:t xml:space="preserve">The apportionment difference is worth a sentence in any answer.</w:t>
            </w:r>
            <w:r>
              <w:rPr>
                <w:rFonts w:ascii="Arial" w:cs="Arial" w:eastAsia="Arial" w:hAnsi="Arial"/>
                <w:b w:val="false"/>
                <w:bCs w:val="false"/>
                <w:i w:val="false"/>
                <w:iCs w:val="false"/>
                <w:color w:val="0070C0"/>
                <w:sz w:val="18"/>
                <w:szCs w:val="18"/>
              </w:rPr>
              <w:t xml:space="preserve"> Under s12B, commissioning on 29 June gives a full 50%. Under s11(e), the same date gives roughly one month of a write-off period. Two assets commissioned on the same day can produce completely different first-year deductions depending on which section applies.</w:t>
            </w:r>
          </w:p>
          <w:p>
            <w:pPr>
              <w:pStyle w:val="ListParagraph"/>
              <w:numPr>
                <w:ilvl w:val="0"/>
                <w:numId w:val="2"/>
              </w:numPr>
              <w:spacing w:after="40" w:before="0" w:line="250" w:lineRule="auto"/>
            </w:pPr>
            <w:r>
              <w:rPr>
                <w:rFonts w:ascii="Arial" w:cs="Arial" w:eastAsia="Arial" w:hAnsi="Arial"/>
                <w:b/>
                <w:bCs/>
                <w:i w:val="false"/>
                <w:iCs w:val="false"/>
                <w:color w:val="0070C0"/>
                <w:sz w:val="18"/>
                <w:szCs w:val="18"/>
              </w:rPr>
              <w:t xml:space="preserve">Worked example — the R60m transmission line if it falls to s11(e).</w:t>
            </w:r>
            <w:r>
              <w:rPr>
                <w:rFonts w:ascii="Arial" w:cs="Arial" w:eastAsia="Arial" w:hAnsi="Arial"/>
                <w:b w:val="false"/>
                <w:bCs w:val="false"/>
                <w:i w:val="false"/>
                <w:iCs w:val="false"/>
                <w:color w:val="0070C0"/>
                <w:sz w:val="18"/>
                <w:szCs w:val="18"/>
              </w:rPr>
              <w:t xml:space="preserve"> Assume a 20-year write-off period and the asset is used for 2 of the 12 months in FY2027:</w:t>
            </w:r>
          </w:p>
          <w:p>
            <w:pPr>
              <w:pStyle w:val="ListParagraph"/>
              <w:numPr>
                <w:ilvl w:val="0"/>
                <w:numId w:val="2"/>
              </w:numPr>
              <w:spacing w:after="40" w:before="0" w:line="250" w:lineRule="auto"/>
            </w:pPr>
            <w:r>
              <w:rPr>
                <w:rFonts w:ascii="Arial" w:cs="Arial" w:eastAsia="Arial" w:hAnsi="Arial"/>
                <w:b w:val="false"/>
                <w:bCs w:val="false"/>
                <w:i w:val="false"/>
                <w:iCs w:val="false"/>
                <w:color w:val="0070C0"/>
                <w:sz w:val="18"/>
                <w:szCs w:val="18"/>
              </w:rPr>
              <w:t xml:space="preserve">R60m ÷ 20 years × 2/12 = </w:t>
            </w:r>
            <w:r>
              <w:rPr>
                <w:rFonts w:ascii="Arial" w:cs="Arial" w:eastAsia="Arial" w:hAnsi="Arial"/>
                <w:b/>
                <w:bCs/>
                <w:i w:val="false"/>
                <w:iCs w:val="false"/>
                <w:color w:val="0070C0"/>
                <w:sz w:val="18"/>
                <w:szCs w:val="18"/>
              </w:rPr>
              <w:t xml:space="preserve">R500 000</w:t>
            </w:r>
            <w:r>
              <w:rPr>
                <w:rFonts w:ascii="Arial" w:cs="Arial" w:eastAsia="Arial" w:hAnsi="Arial"/>
                <w:b w:val="false"/>
                <w:bCs w:val="false"/>
                <w:i w:val="false"/>
                <w:iCs w:val="false"/>
                <w:color w:val="0070C0"/>
                <w:sz w:val="18"/>
                <w:szCs w:val="18"/>
              </w:rPr>
              <w:t xml:space="preserve"> · tax at 27% = </w:t>
            </w:r>
            <w:r>
              <w:rPr>
                <w:rFonts w:ascii="Arial" w:cs="Arial" w:eastAsia="Arial" w:hAnsi="Arial"/>
                <w:b/>
                <w:bCs/>
                <w:i w:val="false"/>
                <w:iCs w:val="false"/>
                <w:color w:val="0070C0"/>
                <w:sz w:val="18"/>
                <w:szCs w:val="18"/>
              </w:rPr>
              <w:t xml:space="preserve">R135 000</w:t>
            </w:r>
          </w:p>
          <w:p>
            <w:pPr>
              <w:pStyle w:val="ListParagraph"/>
              <w:numPr>
                <w:ilvl w:val="0"/>
                <w:numId w:val="2"/>
              </w:numPr>
              <w:spacing w:after="0" w:before="0" w:line="250" w:lineRule="auto"/>
            </w:pPr>
            <w:r>
              <w:rPr>
                <w:rFonts w:ascii="Arial" w:cs="Arial" w:eastAsia="Arial" w:hAnsi="Arial"/>
                <w:b w:val="false"/>
                <w:bCs w:val="false"/>
                <w:i w:val="false"/>
                <w:iCs w:val="false"/>
                <w:color w:val="0070C0"/>
                <w:sz w:val="18"/>
                <w:szCs w:val="18"/>
              </w:rPr>
              <w:t xml:space="preserve">Against R8.1m if the same R60m had qualified under s12B. </w:t>
            </w:r>
            <w:r>
              <w:rPr>
                <w:rFonts w:ascii="Arial" w:cs="Arial" w:eastAsia="Arial" w:hAnsi="Arial"/>
                <w:b/>
                <w:bCs/>
                <w:i w:val="false"/>
                <w:iCs w:val="false"/>
                <w:color w:val="0070C0"/>
                <w:sz w:val="18"/>
                <w:szCs w:val="18"/>
              </w:rPr>
              <w:t xml:space="preserve">[WAITING FOR INPUT — information on the day]:</w:t>
            </w:r>
            <w:r>
              <w:rPr>
                <w:rFonts w:ascii="Arial" w:cs="Arial" w:eastAsia="Arial" w:hAnsi="Arial"/>
                <w:b w:val="false"/>
                <w:bCs w:val="false"/>
                <w:i w:val="false"/>
                <w:iCs w:val="false"/>
                <w:color w:val="0070C0"/>
                <w:sz w:val="18"/>
                <w:szCs w:val="18"/>
              </w:rPr>
              <w:t xml:space="preserve"> the nature of the connection asset and the applicable write-off period from IN47.</w:t>
            </w:r>
          </w:p>
        </w:tc>
      </w:tr>
    </w:tbl>
    <w:p>
      <w:pPr>
        <w:keepNext w:val="false"/>
        <w:spacing w:after="0" w:before="0" w:line="250" w:lineRule="auto"/>
      </w:pPr>
      <w:r>
        <w:rPr>
          <w:rFonts w:ascii="Arial" w:cs="Arial" w:eastAsia="Arial" w:hAnsi="Arial"/>
          <w:sz w:val="12"/>
          <w:szCs w:val="12"/>
        </w:rPr>
        <w:t xml:space="preserve"/>
      </w:r>
    </w:p>
    <w:p>
      <w:pPr>
        <w:keepNext/>
        <w:spacing w:after="70" w:before="200" w:line="250" w:lineRule="auto"/>
      </w:pPr>
      <w:r>
        <w:rPr>
          <w:rFonts w:ascii="Arial" w:cs="Arial" w:eastAsia="Arial" w:hAnsi="Arial"/>
          <w:b/>
          <w:bCs/>
          <w:i w:val="false"/>
          <w:iCs w:val="false"/>
          <w:color w:val="000000"/>
          <w:sz w:val="22"/>
          <w:szCs w:val="22"/>
        </w:rPr>
        <w:t xml:space="preserve">Table 7 — Section 12C: plant used in a process of manufacture</w:t>
      </w:r>
    </w:p>
    <w:tbl>
      <w:tblPr>
        <w:tblW w:type="dxa" w:w="10300"/>
        <w:tblBorders>
          <w:top w:val="single" w:color="auto" w:sz="4"/>
          <w:left w:val="single" w:color="auto" w:sz="4"/>
          <w:bottom w:val="single" w:color="auto" w:sz="4"/>
          <w:right w:val="single" w:color="auto" w:sz="4"/>
          <w:insideH w:val="single" w:color="auto" w:sz="4"/>
          <w:insideV w:val="single" w:color="auto" w:sz="4"/>
        </w:tblBorders>
      </w:tblPr>
      <w:tblGrid>
        <w:gridCol w:w="4326"/>
        <w:gridCol w:w="5974"/>
      </w:tblGrid>
      <w:tr>
        <w:trPr>
          <w:tblHeader/>
        </w:trPr>
        <w:tc>
          <w:tcPr>
            <w:tcW w:type="dxa" w:w="4326"/>
            <w:tcBorders>
              <w:top w:val="single" w:color="888888" w:sz="4"/>
              <w:left w:val="single" w:color="888888" w:sz="4"/>
              <w:bottom w:val="single" w:color="888888" w:sz="4"/>
              <w:right w:val="single" w:color="888888" w:sz="4"/>
            </w:tcBorders>
            <w:shd w:fill="E8E8E8" w:val="clear"/>
            <w:tcMar>
              <w:top w:type="dxa" w:w="60"/>
              <w:left w:type="dxa" w:w="80"/>
              <w:bottom w:type="dxa" w:w="60"/>
              <w:right w:type="dxa" w:w="80"/>
            </w:tcMar>
            <w:vAlign w:val="center"/>
          </w:tcPr>
          <w:p>
            <w:pPr>
              <w:keepNext w:val="false"/>
              <w:spacing w:after="0" w:before="0" w:line="250" w:lineRule="auto"/>
            </w:pPr>
            <w:r>
              <w:rPr>
                <w:rFonts w:ascii="Arial" w:cs="Arial" w:eastAsia="Arial" w:hAnsi="Arial"/>
                <w:b/>
                <w:bCs/>
                <w:i w:val="false"/>
                <w:iCs w:val="false"/>
                <w:color w:val="000000"/>
                <w:sz w:val="18"/>
                <w:szCs w:val="18"/>
              </w:rPr>
              <w:t xml:space="preserve">Legislation — what the Act says</w:t>
            </w:r>
          </w:p>
        </w:tc>
        <w:tc>
          <w:tcPr>
            <w:tcW w:type="dxa" w:w="5974"/>
            <w:tcBorders>
              <w:top w:val="single" w:color="888888" w:sz="4"/>
              <w:left w:val="single" w:color="888888" w:sz="4"/>
              <w:bottom w:val="single" w:color="888888" w:sz="4"/>
              <w:right w:val="single" w:color="888888" w:sz="4"/>
            </w:tcBorders>
            <w:shd w:fill="E8E8E8" w:val="clear"/>
            <w:tcMar>
              <w:top w:type="dxa" w:w="60"/>
              <w:left w:type="dxa" w:w="80"/>
              <w:bottom w:type="dxa" w:w="60"/>
              <w:right w:type="dxa" w:w="80"/>
            </w:tcMar>
            <w:vAlign w:val="center"/>
          </w:tcPr>
          <w:p>
            <w:pPr>
              <w:keepNext w:val="false"/>
              <w:spacing w:after="0" w:before="0" w:line="250" w:lineRule="auto"/>
            </w:pPr>
            <w:r>
              <w:rPr>
                <w:rFonts w:ascii="Arial" w:cs="Arial" w:eastAsia="Arial" w:hAnsi="Arial"/>
                <w:b/>
                <w:bCs/>
                <w:i w:val="false"/>
                <w:iCs w:val="false"/>
                <w:color w:val="000000"/>
                <w:sz w:val="18"/>
                <w:szCs w:val="18"/>
              </w:rPr>
              <w:t xml:space="preserve">Application to Axion — tax consequences</w:t>
            </w:r>
          </w:p>
        </w:tc>
      </w:tr>
      <w:tr>
        <w:tc>
          <w:tcPr>
            <w:tcW w:type="dxa" w:w="4326"/>
            <w:tcBorders>
              <w:top w:val="single" w:color="888888" w:sz="4"/>
              <w:left w:val="single" w:color="888888" w:sz="4"/>
              <w:bottom w:val="single" w:color="888888" w:sz="4"/>
              <w:right w:val="single" w:color="888888" w:sz="4"/>
            </w:tcBorders>
            <w:tcMar>
              <w:top w:type="dxa" w:w="60"/>
              <w:left w:type="dxa" w:w="80"/>
              <w:bottom w:type="dxa" w:w="60"/>
              <w:right w:type="dxa" w:w="80"/>
            </w:tcMar>
          </w:tcPr>
          <w:p>
            <w:pPr>
              <w:pStyle w:val="ListParagraph"/>
              <w:numPr>
                <w:ilvl w:val="0"/>
                <w:numId w:val="2"/>
              </w:numPr>
              <w:spacing w:after="40" w:before="0" w:line="250" w:lineRule="auto"/>
            </w:pPr>
            <w:r>
              <w:rPr>
                <w:rFonts w:ascii="Arial" w:cs="Arial" w:eastAsia="Arial" w:hAnsi="Arial"/>
                <w:b/>
                <w:bCs/>
                <w:i w:val="false"/>
                <w:iCs w:val="false"/>
                <w:color w:val="000000"/>
                <w:sz w:val="18"/>
                <w:szCs w:val="18"/>
              </w:rPr>
              <w:t xml:space="preserve">40 / 20 / 20 / 20</w:t>
            </w:r>
            <w:r>
              <w:rPr>
                <w:rFonts w:ascii="Arial" w:cs="Arial" w:eastAsia="Arial" w:hAnsi="Arial"/>
                <w:b w:val="false"/>
                <w:bCs w:val="false"/>
                <w:i w:val="false"/>
                <w:iCs w:val="false"/>
                <w:color w:val="000000"/>
                <w:sz w:val="18"/>
                <w:szCs w:val="18"/>
              </w:rPr>
              <w:t xml:space="preserve"> over four years for </w:t>
            </w:r>
            <w:r>
              <w:rPr>
                <w:rFonts w:ascii="Arial" w:cs="Arial" w:eastAsia="Arial" w:hAnsi="Arial"/>
                <w:b/>
                <w:bCs/>
                <w:i w:val="false"/>
                <w:iCs w:val="false"/>
                <w:color w:val="000000"/>
                <w:sz w:val="18"/>
                <w:szCs w:val="18"/>
              </w:rPr>
              <w:t xml:space="preserve">new and unused</w:t>
            </w:r>
            <w:r>
              <w:rPr>
                <w:rFonts w:ascii="Arial" w:cs="Arial" w:eastAsia="Arial" w:hAnsi="Arial"/>
                <w:b w:val="false"/>
                <w:bCs w:val="false"/>
                <w:i w:val="false"/>
                <w:iCs w:val="false"/>
                <w:color w:val="000000"/>
                <w:sz w:val="18"/>
                <w:szCs w:val="18"/>
              </w:rPr>
              <w:t xml:space="preserve"> machinery or plant used </w:t>
            </w:r>
            <w:r>
              <w:rPr>
                <w:rFonts w:ascii="Arial" w:cs="Arial" w:eastAsia="Arial" w:hAnsi="Arial"/>
                <w:b/>
                <w:bCs/>
                <w:i w:val="false"/>
                <w:iCs w:val="false"/>
                <w:color w:val="000000"/>
                <w:sz w:val="18"/>
                <w:szCs w:val="18"/>
              </w:rPr>
              <w:t xml:space="preserve">directly in a process of manufacture</w:t>
            </w:r>
            <w:r>
              <w:rPr>
                <w:rFonts w:ascii="Arial" w:cs="Arial" w:eastAsia="Arial" w:hAnsi="Arial"/>
                <w:b w:val="false"/>
                <w:bCs w:val="false"/>
                <w:i w:val="false"/>
                <w:iCs w:val="false"/>
                <w:color w:val="000000"/>
                <w:sz w:val="18"/>
                <w:szCs w:val="18"/>
              </w:rPr>
              <w:t xml:space="preserve"> or a similar process.</w:t>
            </w:r>
          </w:p>
          <w:p>
            <w:pPr>
              <w:pStyle w:val="ListParagraph"/>
              <w:numPr>
                <w:ilvl w:val="0"/>
                <w:numId w:val="2"/>
              </w:numPr>
              <w:spacing w:after="40" w:before="0" w:line="250" w:lineRule="auto"/>
            </w:pPr>
            <w:r>
              <w:rPr>
                <w:rFonts w:ascii="Arial" w:cs="Arial" w:eastAsia="Arial" w:hAnsi="Arial"/>
                <w:b w:val="false"/>
                <w:bCs w:val="false"/>
                <w:i w:val="false"/>
                <w:iCs w:val="false"/>
                <w:color w:val="000000"/>
                <w:sz w:val="18"/>
                <w:szCs w:val="18"/>
              </w:rPr>
              <w:t xml:space="preserve">20% over five years for used or second-hand qualifying plant.</w:t>
            </w:r>
          </w:p>
          <w:p>
            <w:pPr>
              <w:pStyle w:val="ListParagraph"/>
              <w:numPr>
                <w:ilvl w:val="0"/>
                <w:numId w:val="2"/>
              </w:numPr>
              <w:spacing w:after="0" w:before="0" w:line="250" w:lineRule="auto"/>
            </w:pPr>
            <w:r>
              <w:rPr>
                <w:rFonts w:ascii="Arial" w:cs="Arial" w:eastAsia="Arial" w:hAnsi="Arial"/>
                <w:b/>
                <w:bCs/>
                <w:i w:val="false"/>
                <w:iCs w:val="false"/>
                <w:color w:val="000000"/>
                <w:sz w:val="18"/>
                <w:szCs w:val="18"/>
              </w:rPr>
              <w:t xml:space="preserve">Not apportioned</w:t>
            </w:r>
            <w:r>
              <w:rPr>
                <w:rFonts w:ascii="Arial" w:cs="Arial" w:eastAsia="Arial" w:hAnsi="Arial"/>
                <w:b w:val="false"/>
                <w:bCs w:val="false"/>
                <w:i w:val="false"/>
                <w:iCs w:val="false"/>
                <w:color w:val="000000"/>
                <w:sz w:val="18"/>
                <w:szCs w:val="18"/>
              </w:rPr>
              <w:t xml:space="preserve"> for part of a year.</w:t>
            </w:r>
          </w:p>
        </w:tc>
        <w:tc>
          <w:tcPr>
            <w:tcW w:type="dxa" w:w="5974"/>
            <w:tcBorders>
              <w:top w:val="single" w:color="888888" w:sz="4"/>
              <w:left w:val="single" w:color="888888" w:sz="4"/>
              <w:bottom w:val="single" w:color="888888" w:sz="4"/>
              <w:right w:val="single" w:color="888888" w:sz="4"/>
            </w:tcBorders>
            <w:tcMar>
              <w:top w:type="dxa" w:w="60"/>
              <w:left w:type="dxa" w:w="80"/>
              <w:bottom w:type="dxa" w:w="60"/>
              <w:right w:type="dxa" w:w="80"/>
            </w:tcMar>
          </w:tcPr>
          <w:p>
            <w:pPr>
              <w:pStyle w:val="ListParagraph"/>
              <w:numPr>
                <w:ilvl w:val="0"/>
                <w:numId w:val="2"/>
              </w:numPr>
              <w:spacing w:after="40" w:before="0" w:line="250" w:lineRule="auto"/>
            </w:pPr>
            <w:r>
              <w:rPr>
                <w:rFonts w:ascii="Arial" w:cs="Arial" w:eastAsia="Arial" w:hAnsi="Arial"/>
                <w:b/>
                <w:bCs/>
                <w:i w:val="false"/>
                <w:iCs w:val="false"/>
                <w:color w:val="0070C0"/>
                <w:sz w:val="18"/>
                <w:szCs w:val="18"/>
              </w:rPr>
              <w:t xml:space="preserve">Rule this out, and say why.</w:t>
            </w:r>
            <w:r>
              <w:rPr>
                <w:rFonts w:ascii="Arial" w:cs="Arial" w:eastAsia="Arial" w:hAnsi="Arial"/>
                <w:b w:val="false"/>
                <w:bCs w:val="false"/>
                <w:i w:val="false"/>
                <w:iCs w:val="false"/>
                <w:color w:val="0070C0"/>
                <w:sz w:val="18"/>
                <w:szCs w:val="18"/>
              </w:rPr>
              <w:t xml:space="preserve"> Axion provides colocation and interconnection services. It houses and powers other people’s computing equipment. It does not carry on a process of manufacture, so </w:t>
            </w:r>
            <w:r>
              <w:rPr>
                <w:rFonts w:ascii="Arial" w:cs="Arial" w:eastAsia="Arial" w:hAnsi="Arial"/>
                <w:b/>
                <w:bCs/>
                <w:i w:val="false"/>
                <w:iCs w:val="false"/>
                <w:color w:val="0070C0"/>
                <w:sz w:val="18"/>
                <w:szCs w:val="18"/>
              </w:rPr>
              <w:t xml:space="preserve">s12C does not apply to any of its assets.</w:t>
            </w:r>
          </w:p>
          <w:p>
            <w:pPr>
              <w:pStyle w:val="ListParagraph"/>
              <w:numPr>
                <w:ilvl w:val="0"/>
                <w:numId w:val="2"/>
              </w:numPr>
              <w:spacing w:after="40" w:before="0" w:line="250" w:lineRule="auto"/>
            </w:pPr>
            <w:r>
              <w:rPr>
                <w:rFonts w:ascii="Arial" w:cs="Arial" w:eastAsia="Arial" w:hAnsi="Arial"/>
                <w:b w:val="false"/>
                <w:bCs w:val="false"/>
                <w:i w:val="false"/>
                <w:iCs w:val="false"/>
                <w:color w:val="0070C0"/>
                <w:sz w:val="18"/>
                <w:szCs w:val="18"/>
              </w:rPr>
              <w:t xml:space="preserve">Write one clear sentence disposing of it. Markers specifically reward stating the obvious — the examiners’ comments on the August paper make the point that if you do not write it down, the marker cannot assume you knew it.</w:t>
            </w:r>
          </w:p>
          <w:p>
            <w:pPr>
              <w:pStyle w:val="ListParagraph"/>
              <w:numPr>
                <w:ilvl w:val="0"/>
                <w:numId w:val="2"/>
              </w:numPr>
              <w:spacing w:after="0" w:before="0" w:line="250" w:lineRule="auto"/>
            </w:pPr>
            <w:r>
              <w:rPr>
                <w:rFonts w:ascii="Arial" w:cs="Arial" w:eastAsia="Arial" w:hAnsi="Arial"/>
                <w:b/>
                <w:bCs/>
                <w:i w:val="false"/>
                <w:iCs w:val="false"/>
                <w:color w:val="0070C0"/>
                <w:sz w:val="18"/>
                <w:szCs w:val="18"/>
              </w:rPr>
              <w:t xml:space="preserve">Do not</w:t>
            </w:r>
            <w:r>
              <w:rPr>
                <w:rFonts w:ascii="Arial" w:cs="Arial" w:eastAsia="Arial" w:hAnsi="Arial"/>
                <w:b w:val="false"/>
                <w:bCs w:val="false"/>
                <w:i w:val="false"/>
                <w:iCs w:val="false"/>
                <w:color w:val="0070C0"/>
                <w:sz w:val="18"/>
                <w:szCs w:val="18"/>
              </w:rPr>
              <w:t xml:space="preserve"> stretch an argument that data processing is “manufacture”. It is not, and a wrong technical claim costs more than an omitted one.</w:t>
            </w:r>
          </w:p>
        </w:tc>
      </w:tr>
    </w:tbl>
    <w:p>
      <w:pPr>
        <w:keepNext w:val="false"/>
        <w:spacing w:after="0" w:before="0" w:line="250" w:lineRule="auto"/>
      </w:pPr>
      <w:r>
        <w:rPr>
          <w:rFonts w:ascii="Arial" w:cs="Arial" w:eastAsia="Arial" w:hAnsi="Arial"/>
          <w:sz w:val="12"/>
          <w:szCs w:val="12"/>
        </w:rPr>
        <w:t xml:space="preserve"/>
      </w:r>
    </w:p>
    <w:p>
      <w:pPr>
        <w:keepNext/>
        <w:spacing w:after="70" w:before="200" w:line="250" w:lineRule="auto"/>
      </w:pPr>
      <w:r>
        <w:rPr>
          <w:rFonts w:ascii="Arial" w:cs="Arial" w:eastAsia="Arial" w:hAnsi="Arial"/>
          <w:b/>
          <w:bCs/>
          <w:i w:val="false"/>
          <w:iCs w:val="false"/>
          <w:color w:val="000000"/>
          <w:sz w:val="22"/>
          <w:szCs w:val="22"/>
        </w:rPr>
        <w:t xml:space="preserve">Table 8 — Section 13quin: commercial buildings</w:t>
      </w:r>
    </w:p>
    <w:tbl>
      <w:tblPr>
        <w:tblW w:type="dxa" w:w="10300"/>
        <w:tblBorders>
          <w:top w:val="single" w:color="auto" w:sz="4"/>
          <w:left w:val="single" w:color="auto" w:sz="4"/>
          <w:bottom w:val="single" w:color="auto" w:sz="4"/>
          <w:right w:val="single" w:color="auto" w:sz="4"/>
          <w:insideH w:val="single" w:color="auto" w:sz="4"/>
          <w:insideV w:val="single" w:color="auto" w:sz="4"/>
        </w:tblBorders>
      </w:tblPr>
      <w:tblGrid>
        <w:gridCol w:w="4326"/>
        <w:gridCol w:w="5974"/>
      </w:tblGrid>
      <w:tr>
        <w:trPr>
          <w:tblHeader/>
        </w:trPr>
        <w:tc>
          <w:tcPr>
            <w:tcW w:type="dxa" w:w="4326"/>
            <w:tcBorders>
              <w:top w:val="single" w:color="888888" w:sz="4"/>
              <w:left w:val="single" w:color="888888" w:sz="4"/>
              <w:bottom w:val="single" w:color="888888" w:sz="4"/>
              <w:right w:val="single" w:color="888888" w:sz="4"/>
            </w:tcBorders>
            <w:shd w:fill="E8E8E8" w:val="clear"/>
            <w:tcMar>
              <w:top w:type="dxa" w:w="60"/>
              <w:left w:type="dxa" w:w="80"/>
              <w:bottom w:type="dxa" w:w="60"/>
              <w:right w:type="dxa" w:w="80"/>
            </w:tcMar>
            <w:vAlign w:val="center"/>
          </w:tcPr>
          <w:p>
            <w:pPr>
              <w:keepNext w:val="false"/>
              <w:spacing w:after="0" w:before="0" w:line="250" w:lineRule="auto"/>
            </w:pPr>
            <w:r>
              <w:rPr>
                <w:rFonts w:ascii="Arial" w:cs="Arial" w:eastAsia="Arial" w:hAnsi="Arial"/>
                <w:b/>
                <w:bCs/>
                <w:i w:val="false"/>
                <w:iCs w:val="false"/>
                <w:color w:val="000000"/>
                <w:sz w:val="18"/>
                <w:szCs w:val="18"/>
              </w:rPr>
              <w:t xml:space="preserve">Legislation — what the Act says</w:t>
            </w:r>
          </w:p>
        </w:tc>
        <w:tc>
          <w:tcPr>
            <w:tcW w:type="dxa" w:w="5974"/>
            <w:tcBorders>
              <w:top w:val="single" w:color="888888" w:sz="4"/>
              <w:left w:val="single" w:color="888888" w:sz="4"/>
              <w:bottom w:val="single" w:color="888888" w:sz="4"/>
              <w:right w:val="single" w:color="888888" w:sz="4"/>
            </w:tcBorders>
            <w:shd w:fill="E8E8E8" w:val="clear"/>
            <w:tcMar>
              <w:top w:type="dxa" w:w="60"/>
              <w:left w:type="dxa" w:w="80"/>
              <w:bottom w:type="dxa" w:w="60"/>
              <w:right w:type="dxa" w:w="80"/>
            </w:tcMar>
            <w:vAlign w:val="center"/>
          </w:tcPr>
          <w:p>
            <w:pPr>
              <w:keepNext w:val="false"/>
              <w:spacing w:after="0" w:before="0" w:line="250" w:lineRule="auto"/>
            </w:pPr>
            <w:r>
              <w:rPr>
                <w:rFonts w:ascii="Arial" w:cs="Arial" w:eastAsia="Arial" w:hAnsi="Arial"/>
                <w:b/>
                <w:bCs/>
                <w:i w:val="false"/>
                <w:iCs w:val="false"/>
                <w:color w:val="000000"/>
                <w:sz w:val="18"/>
                <w:szCs w:val="18"/>
              </w:rPr>
              <w:t xml:space="preserve">Application to Axion — tax consequences</w:t>
            </w:r>
          </w:p>
        </w:tc>
      </w:tr>
      <w:tr>
        <w:tc>
          <w:tcPr>
            <w:tcW w:type="dxa" w:w="4326"/>
            <w:tcBorders>
              <w:top w:val="single" w:color="888888" w:sz="4"/>
              <w:left w:val="single" w:color="888888" w:sz="4"/>
              <w:bottom w:val="single" w:color="888888" w:sz="4"/>
              <w:right w:val="single" w:color="888888" w:sz="4"/>
            </w:tcBorders>
            <w:tcMar>
              <w:top w:type="dxa" w:w="60"/>
              <w:left w:type="dxa" w:w="80"/>
              <w:bottom w:type="dxa" w:w="60"/>
              <w:right w:type="dxa" w:w="80"/>
            </w:tcMar>
          </w:tcPr>
          <w:p>
            <w:pPr>
              <w:pStyle w:val="ListParagraph"/>
              <w:numPr>
                <w:ilvl w:val="0"/>
                <w:numId w:val="2"/>
              </w:numPr>
              <w:spacing w:after="40" w:before="0" w:line="250" w:lineRule="auto"/>
            </w:pPr>
            <w:r>
              <w:rPr>
                <w:rFonts w:ascii="Arial" w:cs="Arial" w:eastAsia="Arial" w:hAnsi="Arial"/>
                <w:b/>
                <w:bCs/>
                <w:i w:val="false"/>
                <w:iCs w:val="false"/>
                <w:color w:val="000000"/>
                <w:sz w:val="18"/>
                <w:szCs w:val="18"/>
              </w:rPr>
              <w:t xml:space="preserve">5% per year</w:t>
            </w:r>
            <w:r>
              <w:rPr>
                <w:rFonts w:ascii="Arial" w:cs="Arial" w:eastAsia="Arial" w:hAnsi="Arial"/>
                <w:b w:val="false"/>
                <w:bCs w:val="false"/>
                <w:i w:val="false"/>
                <w:iCs w:val="false"/>
                <w:color w:val="000000"/>
                <w:sz w:val="18"/>
                <w:szCs w:val="18"/>
              </w:rPr>
              <w:t xml:space="preserve"> of the cost of any </w:t>
            </w:r>
            <w:r>
              <w:rPr>
                <w:rFonts w:ascii="Arial" w:cs="Arial" w:eastAsia="Arial" w:hAnsi="Arial"/>
                <w:b/>
                <w:bCs/>
                <w:i w:val="false"/>
                <w:iCs w:val="false"/>
                <w:color w:val="000000"/>
                <w:sz w:val="18"/>
                <w:szCs w:val="18"/>
              </w:rPr>
              <w:t xml:space="preserve">new and unused building</w:t>
            </w:r>
            <w:r>
              <w:rPr>
                <w:rFonts w:ascii="Arial" w:cs="Arial" w:eastAsia="Arial" w:hAnsi="Arial"/>
                <w:b w:val="false"/>
                <w:bCs w:val="false"/>
                <w:i w:val="false"/>
                <w:iCs w:val="false"/>
                <w:color w:val="000000"/>
                <w:sz w:val="18"/>
                <w:szCs w:val="18"/>
              </w:rPr>
              <w:t xml:space="preserve">, or </w:t>
            </w:r>
            <w:r>
              <w:rPr>
                <w:rFonts w:ascii="Arial" w:cs="Arial" w:eastAsia="Arial" w:hAnsi="Arial"/>
                <w:b/>
                <w:bCs/>
                <w:i w:val="false"/>
                <w:iCs w:val="false"/>
                <w:color w:val="000000"/>
                <w:sz w:val="18"/>
                <w:szCs w:val="18"/>
              </w:rPr>
              <w:t xml:space="preserve">new and unused improvement</w:t>
            </w:r>
            <w:r>
              <w:rPr>
                <w:rFonts w:ascii="Arial" w:cs="Arial" w:eastAsia="Arial" w:hAnsi="Arial"/>
                <w:b w:val="false"/>
                <w:bCs w:val="false"/>
                <w:i w:val="false"/>
                <w:iCs w:val="false"/>
                <w:color w:val="000000"/>
                <w:sz w:val="18"/>
                <w:szCs w:val="18"/>
              </w:rPr>
              <w:t xml:space="preserve"> to a building, </w:t>
            </w:r>
            <w:r>
              <w:rPr>
                <w:rFonts w:ascii="Arial" w:cs="Arial" w:eastAsia="Arial" w:hAnsi="Arial"/>
                <w:b/>
                <w:bCs/>
                <w:i w:val="false"/>
                <w:iCs w:val="false"/>
                <w:color w:val="000000"/>
                <w:sz w:val="18"/>
                <w:szCs w:val="18"/>
              </w:rPr>
              <w:t xml:space="preserve">owned</w:t>
            </w:r>
            <w:r>
              <w:rPr>
                <w:rFonts w:ascii="Arial" w:cs="Arial" w:eastAsia="Arial" w:hAnsi="Arial"/>
                <w:b w:val="false"/>
                <w:bCs w:val="false"/>
                <w:i w:val="false"/>
                <w:iCs w:val="false"/>
                <w:color w:val="000000"/>
                <w:sz w:val="18"/>
                <w:szCs w:val="18"/>
              </w:rPr>
              <w:t xml:space="preserve"> by the taxpayer.</w:t>
            </w:r>
          </w:p>
          <w:p>
            <w:pPr>
              <w:pStyle w:val="ListParagraph"/>
              <w:numPr>
                <w:ilvl w:val="0"/>
                <w:numId w:val="2"/>
              </w:numPr>
              <w:spacing w:after="40" w:before="0" w:line="250" w:lineRule="auto"/>
            </w:pPr>
            <w:r>
              <w:rPr>
                <w:rFonts w:ascii="Arial" w:cs="Arial" w:eastAsia="Arial" w:hAnsi="Arial"/>
                <w:b w:val="false"/>
                <w:bCs w:val="false"/>
                <w:i w:val="false"/>
                <w:iCs w:val="false"/>
                <w:color w:val="000000"/>
                <w:sz w:val="18"/>
                <w:szCs w:val="18"/>
              </w:rPr>
              <w:t xml:space="preserve">The building must be used by the taxpayer </w:t>
            </w:r>
            <w:r>
              <w:rPr>
                <w:rFonts w:ascii="Arial" w:cs="Arial" w:eastAsia="Arial" w:hAnsi="Arial"/>
                <w:b/>
                <w:bCs/>
                <w:i w:val="false"/>
                <w:iCs w:val="false"/>
                <w:color w:val="000000"/>
                <w:sz w:val="18"/>
                <w:szCs w:val="18"/>
              </w:rPr>
              <w:t xml:space="preserve">wholly or mainly for producing income in the course of a trade</w:t>
            </w:r>
            <w:r>
              <w:rPr>
                <w:rFonts w:ascii="Arial" w:cs="Arial" w:eastAsia="Arial" w:hAnsi="Arial"/>
                <w:b w:val="false"/>
                <w:bCs w:val="false"/>
                <w:i w:val="false"/>
                <w:iCs w:val="false"/>
                <w:color w:val="000000"/>
                <w:sz w:val="18"/>
                <w:szCs w:val="18"/>
              </w:rPr>
              <w:t xml:space="preserve">, other than the provision of residential accommodation.</w:t>
            </w:r>
          </w:p>
          <w:p>
            <w:pPr>
              <w:pStyle w:val="ListParagraph"/>
              <w:numPr>
                <w:ilvl w:val="0"/>
                <w:numId w:val="2"/>
              </w:numPr>
              <w:spacing w:after="40" w:before="0" w:line="250" w:lineRule="auto"/>
            </w:pPr>
            <w:r>
              <w:rPr>
                <w:rFonts w:ascii="Arial" w:cs="Arial" w:eastAsia="Arial" w:hAnsi="Arial"/>
                <w:b w:val="false"/>
                <w:bCs w:val="false"/>
                <w:i w:val="false"/>
                <w:iCs w:val="false"/>
                <w:color w:val="000000"/>
                <w:sz w:val="18"/>
                <w:szCs w:val="18"/>
              </w:rPr>
              <w:t xml:space="preserve">Special rules apply where a building, or a part of a building, is </w:t>
            </w:r>
            <w:r>
              <w:rPr>
                <w:rFonts w:ascii="Arial" w:cs="Arial" w:eastAsia="Arial" w:hAnsi="Arial"/>
                <w:b/>
                <w:bCs/>
                <w:i w:val="false"/>
                <w:iCs w:val="false"/>
                <w:color w:val="000000"/>
                <w:sz w:val="18"/>
                <w:szCs w:val="18"/>
              </w:rPr>
              <w:t xml:space="preserve">acquired from another person</w:t>
            </w:r>
            <w:r>
              <w:rPr>
                <w:rFonts w:ascii="Arial" w:cs="Arial" w:eastAsia="Arial" w:hAnsi="Arial"/>
                <w:b w:val="false"/>
                <w:bCs w:val="false"/>
                <w:i w:val="false"/>
                <w:iCs w:val="false"/>
                <w:color w:val="000000"/>
                <w:sz w:val="18"/>
                <w:szCs w:val="18"/>
              </w:rPr>
              <w:t xml:space="preserve"> rather than constructed.</w:t>
            </w:r>
          </w:p>
          <w:p>
            <w:pPr>
              <w:pStyle w:val="ListParagraph"/>
              <w:numPr>
                <w:ilvl w:val="0"/>
                <w:numId w:val="2"/>
              </w:numPr>
              <w:spacing w:after="0" w:before="0" w:line="250" w:lineRule="auto"/>
            </w:pPr>
            <w:r>
              <w:rPr>
                <w:rFonts w:ascii="Arial" w:cs="Arial" w:eastAsia="Arial" w:hAnsi="Arial"/>
                <w:b w:val="false"/>
                <w:bCs w:val="false"/>
                <w:i w:val="false"/>
                <w:iCs w:val="false"/>
                <w:color w:val="000000"/>
                <w:sz w:val="18"/>
                <w:szCs w:val="18"/>
              </w:rPr>
              <w:t xml:space="preserve">Land is excluded — the allowance is on the building only.</w:t>
            </w:r>
          </w:p>
        </w:tc>
        <w:tc>
          <w:tcPr>
            <w:tcW w:type="dxa" w:w="5974"/>
            <w:tcBorders>
              <w:top w:val="single" w:color="888888" w:sz="4"/>
              <w:left w:val="single" w:color="888888" w:sz="4"/>
              <w:bottom w:val="single" w:color="888888" w:sz="4"/>
              <w:right w:val="single" w:color="888888" w:sz="4"/>
            </w:tcBorders>
            <w:tcMar>
              <w:top w:type="dxa" w:w="60"/>
              <w:left w:type="dxa" w:w="80"/>
              <w:bottom w:type="dxa" w:w="60"/>
              <w:right w:type="dxa" w:w="80"/>
            </w:tcMar>
          </w:tcPr>
          <w:p>
            <w:pPr>
              <w:pStyle w:val="ListParagraph"/>
              <w:numPr>
                <w:ilvl w:val="0"/>
                <w:numId w:val="2"/>
              </w:numPr>
              <w:spacing w:after="40" w:before="0" w:line="250" w:lineRule="auto"/>
            </w:pPr>
            <w:r>
              <w:rPr>
                <w:rFonts w:ascii="Arial" w:cs="Arial" w:eastAsia="Arial" w:hAnsi="Arial"/>
                <w:b/>
                <w:bCs/>
                <w:i w:val="false"/>
                <w:iCs w:val="false"/>
                <w:color w:val="0070C0"/>
                <w:sz w:val="18"/>
                <w:szCs w:val="18"/>
              </w:rPr>
              <w:t xml:space="preserve">This is the section for Axion’s data centre buildings, including JHB4.</w:t>
            </w:r>
            <w:r>
              <w:rPr>
                <w:rFonts w:ascii="Arial" w:cs="Arial" w:eastAsia="Arial" w:hAnsi="Arial"/>
                <w:b w:val="false"/>
                <w:bCs w:val="false"/>
                <w:i w:val="false"/>
                <w:iCs w:val="false"/>
                <w:color w:val="0070C0"/>
                <w:sz w:val="18"/>
                <w:szCs w:val="18"/>
              </w:rPr>
              <w:t xml:space="preserve"> JHB4 is under construction (Document 6, page 17) so it is new and unused, and it will be used wholly in producing income in the course of Axion’s trade.</w:t>
            </w:r>
          </w:p>
          <w:p>
            <w:pPr>
              <w:pStyle w:val="ListParagraph"/>
              <w:numPr>
                <w:ilvl w:val="0"/>
                <w:numId w:val="2"/>
              </w:numPr>
              <w:spacing w:after="40" w:before="0" w:line="250" w:lineRule="auto"/>
            </w:pPr>
            <w:r>
              <w:rPr>
                <w:rFonts w:ascii="Arial" w:cs="Arial" w:eastAsia="Arial" w:hAnsi="Arial"/>
                <w:b/>
                <w:bCs/>
                <w:i w:val="false"/>
                <w:iCs w:val="false"/>
                <w:color w:val="0070C0"/>
                <w:sz w:val="18"/>
                <w:szCs w:val="18"/>
              </w:rPr>
              <w:t xml:space="preserve">The phased bring-into-service point.</w:t>
            </w:r>
            <w:r>
              <w:rPr>
                <w:rFonts w:ascii="Arial" w:cs="Arial" w:eastAsia="Arial" w:hAnsi="Arial"/>
                <w:b w:val="false"/>
                <w:bCs w:val="false"/>
                <w:i w:val="false"/>
                <w:iCs w:val="false"/>
                <w:color w:val="0070C0"/>
                <w:sz w:val="18"/>
                <w:szCs w:val="18"/>
              </w:rPr>
              <w:t xml:space="preserve"> Document 6 says JHB4 “will be brought into service in phases as customer capacity is contracted”. s13quin requires the building to be </w:t>
            </w:r>
            <w:r>
              <w:rPr>
                <w:rFonts w:ascii="Arial" w:cs="Arial" w:eastAsia="Arial" w:hAnsi="Arial"/>
                <w:b/>
                <w:bCs/>
                <w:i w:val="false"/>
                <w:iCs w:val="false"/>
                <w:color w:val="0070C0"/>
                <w:sz w:val="18"/>
                <w:szCs w:val="18"/>
              </w:rPr>
              <w:t xml:space="preserve">used</w:t>
            </w:r>
            <w:r>
              <w:rPr>
                <w:rFonts w:ascii="Arial" w:cs="Arial" w:eastAsia="Arial" w:hAnsi="Arial"/>
                <w:b w:val="false"/>
                <w:bCs w:val="false"/>
                <w:i w:val="false"/>
                <w:iCs w:val="false"/>
                <w:color w:val="0070C0"/>
                <w:sz w:val="18"/>
                <w:szCs w:val="18"/>
              </w:rPr>
              <w:t xml:space="preserve"> by the taxpayer. So the question is whether the allowance starts on the whole building when the first phase is used, or phase by phase. </w:t>
            </w:r>
            <w:r>
              <w:rPr>
                <w:rFonts w:ascii="Arial" w:cs="Arial" w:eastAsia="Arial" w:hAnsi="Arial"/>
                <w:b/>
                <w:bCs/>
                <w:i w:val="false"/>
                <w:iCs w:val="false"/>
                <w:color w:val="0070C0"/>
                <w:sz w:val="18"/>
                <w:szCs w:val="18"/>
              </w:rPr>
              <w:t xml:space="preserve">[WAITING FOR INPUT — information on the day]:</w:t>
            </w:r>
            <w:r>
              <w:rPr>
                <w:rFonts w:ascii="Arial" w:cs="Arial" w:eastAsia="Arial" w:hAnsi="Arial"/>
                <w:b w:val="false"/>
                <w:bCs w:val="false"/>
                <w:i w:val="false"/>
                <w:iCs w:val="false"/>
                <w:color w:val="0070C0"/>
                <w:sz w:val="18"/>
                <w:szCs w:val="18"/>
              </w:rPr>
              <w:t xml:space="preserve"> the phasing plan and whether the phases are physically distinct parts of the building.</w:t>
            </w:r>
          </w:p>
          <w:p>
            <w:pPr>
              <w:pStyle w:val="ListParagraph"/>
              <w:numPr>
                <w:ilvl w:val="0"/>
                <w:numId w:val="2"/>
              </w:numPr>
              <w:spacing w:after="40" w:before="0" w:line="250" w:lineRule="auto"/>
            </w:pPr>
            <w:r>
              <w:rPr>
                <w:rFonts w:ascii="Arial" w:cs="Arial" w:eastAsia="Arial" w:hAnsi="Arial"/>
                <w:b/>
                <w:bCs/>
                <w:i w:val="false"/>
                <w:iCs w:val="false"/>
                <w:color w:val="0070C0"/>
                <w:sz w:val="18"/>
                <w:szCs w:val="18"/>
              </w:rPr>
              <w:t xml:space="preserve">Worked example.</w:t>
            </w:r>
            <w:r>
              <w:rPr>
                <w:rFonts w:ascii="Arial" w:cs="Arial" w:eastAsia="Arial" w:hAnsi="Arial"/>
                <w:b w:val="false"/>
                <w:bCs w:val="false"/>
                <w:i w:val="false"/>
                <w:iCs w:val="false"/>
                <w:color w:val="0070C0"/>
                <w:sz w:val="18"/>
                <w:szCs w:val="18"/>
              </w:rPr>
              <w:t xml:space="preserve"> Assume a R900m data centre building brought into use in FY2027:</w:t>
            </w:r>
          </w:p>
          <w:p>
            <w:pPr>
              <w:pStyle w:val="ListParagraph"/>
              <w:numPr>
                <w:ilvl w:val="0"/>
                <w:numId w:val="2"/>
              </w:numPr>
              <w:spacing w:after="40" w:before="0" w:line="250" w:lineRule="auto"/>
            </w:pPr>
            <w:r>
              <w:rPr>
                <w:rFonts w:ascii="Arial" w:cs="Arial" w:eastAsia="Arial" w:hAnsi="Arial"/>
                <w:b w:val="false"/>
                <w:bCs w:val="false"/>
                <w:i w:val="false"/>
                <w:iCs w:val="false"/>
                <w:color w:val="0070C0"/>
                <w:sz w:val="18"/>
                <w:szCs w:val="18"/>
              </w:rPr>
              <w:t xml:space="preserve">R900m × 5% = </w:t>
            </w:r>
            <w:r>
              <w:rPr>
                <w:rFonts w:ascii="Arial" w:cs="Arial" w:eastAsia="Arial" w:hAnsi="Arial"/>
                <w:b/>
                <w:bCs/>
                <w:i w:val="false"/>
                <w:iCs w:val="false"/>
                <w:color w:val="0070C0"/>
                <w:sz w:val="18"/>
                <w:szCs w:val="18"/>
              </w:rPr>
              <w:t xml:space="preserve">R45m</w:t>
            </w:r>
            <w:r>
              <w:rPr>
                <w:rFonts w:ascii="Arial" w:cs="Arial" w:eastAsia="Arial" w:hAnsi="Arial"/>
                <w:b w:val="false"/>
                <w:bCs w:val="false"/>
                <w:i w:val="false"/>
                <w:iCs w:val="false"/>
                <w:color w:val="0070C0"/>
                <w:sz w:val="18"/>
                <w:szCs w:val="18"/>
              </w:rPr>
              <w:t xml:space="preserve"> per year · tax at 27% = </w:t>
            </w:r>
            <w:r>
              <w:rPr>
                <w:rFonts w:ascii="Arial" w:cs="Arial" w:eastAsia="Arial" w:hAnsi="Arial"/>
                <w:b/>
                <w:bCs/>
                <w:i w:val="false"/>
                <w:iCs w:val="false"/>
                <w:color w:val="0070C0"/>
                <w:sz w:val="18"/>
                <w:szCs w:val="18"/>
              </w:rPr>
              <w:t xml:space="preserve">R12.15m</w:t>
            </w:r>
            <w:r>
              <w:rPr>
                <w:rFonts w:ascii="Arial" w:cs="Arial" w:eastAsia="Arial" w:hAnsi="Arial"/>
                <w:b w:val="false"/>
                <w:bCs w:val="false"/>
                <w:i w:val="false"/>
                <w:iCs w:val="false"/>
                <w:color w:val="0070C0"/>
                <w:sz w:val="18"/>
                <w:szCs w:val="18"/>
              </w:rPr>
              <w:t xml:space="preserve"> per year, for 20 years</w:t>
            </w:r>
          </w:p>
          <w:p>
            <w:pPr>
              <w:pStyle w:val="ListParagraph"/>
              <w:numPr>
                <w:ilvl w:val="0"/>
                <w:numId w:val="2"/>
              </w:numPr>
              <w:spacing w:after="40" w:before="0" w:line="250" w:lineRule="auto"/>
            </w:pPr>
            <w:r>
              <w:rPr>
                <w:rFonts w:ascii="Arial" w:cs="Arial" w:eastAsia="Arial" w:hAnsi="Arial"/>
                <w:b w:val="false"/>
                <w:bCs w:val="false"/>
                <w:i w:val="false"/>
                <w:iCs w:val="false"/>
                <w:color w:val="0070C0"/>
                <w:sz w:val="18"/>
                <w:szCs w:val="18"/>
              </w:rPr>
              <w:t xml:space="preserve">If only 40% of the building is in use in FY2027 and the allowance is applied to that portion: R360m × 5% = </w:t>
            </w:r>
            <w:r>
              <w:rPr>
                <w:rFonts w:ascii="Arial" w:cs="Arial" w:eastAsia="Arial" w:hAnsi="Arial"/>
                <w:b/>
                <w:bCs/>
                <w:i w:val="false"/>
                <w:iCs w:val="false"/>
                <w:color w:val="0070C0"/>
                <w:sz w:val="18"/>
                <w:szCs w:val="18"/>
              </w:rPr>
              <w:t xml:space="preserve">R18m</w:t>
            </w:r>
            <w:r>
              <w:rPr>
                <w:rFonts w:ascii="Arial" w:cs="Arial" w:eastAsia="Arial" w:hAnsi="Arial"/>
                <w:b w:val="false"/>
                <w:bCs w:val="false"/>
                <w:i w:val="false"/>
                <w:iCs w:val="false"/>
                <w:color w:val="0070C0"/>
                <w:sz w:val="18"/>
                <w:szCs w:val="18"/>
              </w:rPr>
              <w:t xml:space="preserve"> · tax </w:t>
            </w:r>
            <w:r>
              <w:rPr>
                <w:rFonts w:ascii="Arial" w:cs="Arial" w:eastAsia="Arial" w:hAnsi="Arial"/>
                <w:b/>
                <w:bCs/>
                <w:i w:val="false"/>
                <w:iCs w:val="false"/>
                <w:color w:val="0070C0"/>
                <w:sz w:val="18"/>
                <w:szCs w:val="18"/>
              </w:rPr>
              <w:t xml:space="preserve">R4.86m</w:t>
            </w:r>
          </w:p>
          <w:p>
            <w:pPr>
              <w:pStyle w:val="ListParagraph"/>
              <w:numPr>
                <w:ilvl w:val="0"/>
                <w:numId w:val="2"/>
              </w:numPr>
              <w:spacing w:after="0" w:before="0" w:line="250" w:lineRule="auto"/>
            </w:pPr>
            <w:r>
              <w:rPr>
                <w:rFonts w:ascii="Arial" w:cs="Arial" w:eastAsia="Arial" w:hAnsi="Arial"/>
                <w:b/>
                <w:bCs/>
                <w:i w:val="false"/>
                <w:iCs w:val="false"/>
                <w:color w:val="0070C0"/>
                <w:sz w:val="18"/>
                <w:szCs w:val="18"/>
              </w:rPr>
              <w:t xml:space="preserve">Note the contrast that a good answer draws out:</w:t>
            </w:r>
            <w:r>
              <w:rPr>
                <w:rFonts w:ascii="Arial" w:cs="Arial" w:eastAsia="Arial" w:hAnsi="Arial"/>
                <w:b w:val="false"/>
                <w:bCs w:val="false"/>
                <w:i w:val="false"/>
                <w:iCs w:val="false"/>
                <w:color w:val="0070C0"/>
                <w:sz w:val="18"/>
                <w:szCs w:val="18"/>
              </w:rPr>
              <w:t xml:space="preserve"> the building gets 5% a year over 20 years, while the renewable plant inside gets 50% in year one. The same rand spent on generation plant rather than on building shell produces a dramatically front-loaded deduction.</w:t>
            </w:r>
          </w:p>
        </w:tc>
      </w:tr>
    </w:tbl>
    <w:p>
      <w:pPr>
        <w:keepNext w:val="false"/>
        <w:spacing w:after="0" w:before="0" w:line="250" w:lineRule="auto"/>
      </w:pPr>
      <w:r>
        <w:rPr>
          <w:rFonts w:ascii="Arial" w:cs="Arial" w:eastAsia="Arial" w:hAnsi="Arial"/>
          <w:sz w:val="12"/>
          <w:szCs w:val="12"/>
        </w:rPr>
        <w:t xml:space="preserve"/>
      </w:r>
    </w:p>
    <w:p>
      <w:pPr>
        <w:keepNext/>
        <w:pBdr>
          <w:bottom w:val="single" w:color="000000" w:sz="8" w:space="2"/>
        </w:pBdr>
        <w:spacing w:after="110" w:before="260" w:line="250" w:lineRule="auto"/>
      </w:pPr>
      <w:r>
        <w:rPr>
          <w:rFonts w:ascii="Arial" w:cs="Arial" w:eastAsia="Arial" w:hAnsi="Arial"/>
          <w:b/>
          <w:bCs/>
          <w:i w:val="false"/>
          <w:iCs w:val="false"/>
          <w:color w:val="000000"/>
          <w:sz w:val="26"/>
          <w:szCs w:val="26"/>
        </w:rPr>
        <w:t xml:space="preserve">C. Operating deductions and finance costs</w:t>
      </w:r>
    </w:p>
    <w:p>
      <w:pPr>
        <w:keepNext/>
        <w:spacing w:after="70" w:before="200" w:line="250" w:lineRule="auto"/>
      </w:pPr>
      <w:r>
        <w:rPr>
          <w:rFonts w:ascii="Arial" w:cs="Arial" w:eastAsia="Arial" w:hAnsi="Arial"/>
          <w:b/>
          <w:bCs/>
          <w:i w:val="false"/>
          <w:iCs w:val="false"/>
          <w:color w:val="000000"/>
          <w:sz w:val="22"/>
          <w:szCs w:val="22"/>
        </w:rPr>
        <w:t xml:space="preserve">Table 9 — Section 11(a): the general deduction formula</w:t>
      </w:r>
    </w:p>
    <w:tbl>
      <w:tblPr>
        <w:tblW w:type="dxa" w:w="10300"/>
        <w:tblBorders>
          <w:top w:val="single" w:color="auto" w:sz="4"/>
          <w:left w:val="single" w:color="auto" w:sz="4"/>
          <w:bottom w:val="single" w:color="auto" w:sz="4"/>
          <w:right w:val="single" w:color="auto" w:sz="4"/>
          <w:insideH w:val="single" w:color="auto" w:sz="4"/>
          <w:insideV w:val="single" w:color="auto" w:sz="4"/>
        </w:tblBorders>
      </w:tblPr>
      <w:tblGrid>
        <w:gridCol w:w="4326"/>
        <w:gridCol w:w="5974"/>
      </w:tblGrid>
      <w:tr>
        <w:trPr>
          <w:tblHeader/>
        </w:trPr>
        <w:tc>
          <w:tcPr>
            <w:tcW w:type="dxa" w:w="4326"/>
            <w:tcBorders>
              <w:top w:val="single" w:color="888888" w:sz="4"/>
              <w:left w:val="single" w:color="888888" w:sz="4"/>
              <w:bottom w:val="single" w:color="888888" w:sz="4"/>
              <w:right w:val="single" w:color="888888" w:sz="4"/>
            </w:tcBorders>
            <w:shd w:fill="E8E8E8" w:val="clear"/>
            <w:tcMar>
              <w:top w:type="dxa" w:w="60"/>
              <w:left w:type="dxa" w:w="80"/>
              <w:bottom w:type="dxa" w:w="60"/>
              <w:right w:type="dxa" w:w="80"/>
            </w:tcMar>
            <w:vAlign w:val="center"/>
          </w:tcPr>
          <w:p>
            <w:pPr>
              <w:keepNext w:val="false"/>
              <w:spacing w:after="0" w:before="0" w:line="250" w:lineRule="auto"/>
            </w:pPr>
            <w:r>
              <w:rPr>
                <w:rFonts w:ascii="Arial" w:cs="Arial" w:eastAsia="Arial" w:hAnsi="Arial"/>
                <w:b/>
                <w:bCs/>
                <w:i w:val="false"/>
                <w:iCs w:val="false"/>
                <w:color w:val="000000"/>
                <w:sz w:val="18"/>
                <w:szCs w:val="18"/>
              </w:rPr>
              <w:t xml:space="preserve">Legislation — what the Act says</w:t>
            </w:r>
          </w:p>
        </w:tc>
        <w:tc>
          <w:tcPr>
            <w:tcW w:type="dxa" w:w="5974"/>
            <w:tcBorders>
              <w:top w:val="single" w:color="888888" w:sz="4"/>
              <w:left w:val="single" w:color="888888" w:sz="4"/>
              <w:bottom w:val="single" w:color="888888" w:sz="4"/>
              <w:right w:val="single" w:color="888888" w:sz="4"/>
            </w:tcBorders>
            <w:shd w:fill="E8E8E8" w:val="clear"/>
            <w:tcMar>
              <w:top w:type="dxa" w:w="60"/>
              <w:left w:type="dxa" w:w="80"/>
              <w:bottom w:type="dxa" w:w="60"/>
              <w:right w:type="dxa" w:w="80"/>
            </w:tcMar>
            <w:vAlign w:val="center"/>
          </w:tcPr>
          <w:p>
            <w:pPr>
              <w:keepNext w:val="false"/>
              <w:spacing w:after="0" w:before="0" w:line="250" w:lineRule="auto"/>
            </w:pPr>
            <w:r>
              <w:rPr>
                <w:rFonts w:ascii="Arial" w:cs="Arial" w:eastAsia="Arial" w:hAnsi="Arial"/>
                <w:b/>
                <w:bCs/>
                <w:i w:val="false"/>
                <w:iCs w:val="false"/>
                <w:color w:val="000000"/>
                <w:sz w:val="18"/>
                <w:szCs w:val="18"/>
              </w:rPr>
              <w:t xml:space="preserve">Application to Axion — tax consequences</w:t>
            </w:r>
          </w:p>
        </w:tc>
      </w:tr>
      <w:tr>
        <w:tc>
          <w:tcPr>
            <w:tcW w:type="dxa" w:w="4326"/>
            <w:tcBorders>
              <w:top w:val="single" w:color="888888" w:sz="4"/>
              <w:left w:val="single" w:color="888888" w:sz="4"/>
              <w:bottom w:val="single" w:color="888888" w:sz="4"/>
              <w:right w:val="single" w:color="888888" w:sz="4"/>
            </w:tcBorders>
            <w:tcMar>
              <w:top w:type="dxa" w:w="60"/>
              <w:left w:type="dxa" w:w="80"/>
              <w:bottom w:type="dxa" w:w="60"/>
              <w:right w:type="dxa" w:w="80"/>
            </w:tcMar>
          </w:tcPr>
          <w:p>
            <w:pPr>
              <w:pStyle w:val="ListParagraph"/>
              <w:numPr>
                <w:ilvl w:val="0"/>
                <w:numId w:val="2"/>
              </w:numPr>
              <w:spacing w:after="40" w:before="0" w:line="250" w:lineRule="auto"/>
            </w:pPr>
            <w:r>
              <w:rPr>
                <w:rFonts w:ascii="Arial" w:cs="Arial" w:eastAsia="Arial" w:hAnsi="Arial"/>
                <w:b w:val="false"/>
                <w:bCs w:val="false"/>
                <w:i w:val="false"/>
                <w:iCs w:val="false"/>
                <w:color w:val="000000"/>
                <w:sz w:val="18"/>
                <w:szCs w:val="18"/>
              </w:rPr>
              <w:t xml:space="preserve">Deduction for </w:t>
            </w:r>
            <w:r>
              <w:rPr>
                <w:rFonts w:ascii="Arial" w:cs="Arial" w:eastAsia="Arial" w:hAnsi="Arial"/>
                <w:b/>
                <w:bCs/>
                <w:i w:val="false"/>
                <w:iCs w:val="false"/>
                <w:color w:val="000000"/>
                <w:sz w:val="18"/>
                <w:szCs w:val="18"/>
              </w:rPr>
              <w:t xml:space="preserve">expenditure and losses actually incurred</w:t>
            </w:r>
            <w:r>
              <w:rPr>
                <w:rFonts w:ascii="Arial" w:cs="Arial" w:eastAsia="Arial" w:hAnsi="Arial"/>
                <w:b w:val="false"/>
                <w:bCs w:val="false"/>
                <w:i w:val="false"/>
                <w:iCs w:val="false"/>
                <w:color w:val="000000"/>
                <w:sz w:val="18"/>
                <w:szCs w:val="18"/>
              </w:rPr>
              <w:t xml:space="preserve"> in the Republic </w:t>
            </w:r>
            <w:r>
              <w:rPr>
                <w:rFonts w:ascii="Arial" w:cs="Arial" w:eastAsia="Arial" w:hAnsi="Arial"/>
                <w:b/>
                <w:bCs/>
                <w:i w:val="false"/>
                <w:iCs w:val="false"/>
                <w:color w:val="000000"/>
                <w:sz w:val="18"/>
                <w:szCs w:val="18"/>
              </w:rPr>
              <w:t xml:space="preserve">in the production of income</w:t>
            </w:r>
            <w:r>
              <w:rPr>
                <w:rFonts w:ascii="Arial" w:cs="Arial" w:eastAsia="Arial" w:hAnsi="Arial"/>
                <w:b w:val="false"/>
                <w:bCs w:val="false"/>
                <w:i w:val="false"/>
                <w:iCs w:val="false"/>
                <w:color w:val="000000"/>
                <w:sz w:val="18"/>
                <w:szCs w:val="18"/>
              </w:rPr>
              <w:t xml:space="preserve">, provided they are </w:t>
            </w:r>
            <w:r>
              <w:rPr>
                <w:rFonts w:ascii="Arial" w:cs="Arial" w:eastAsia="Arial" w:hAnsi="Arial"/>
                <w:b/>
                <w:bCs/>
                <w:i w:val="false"/>
                <w:iCs w:val="false"/>
                <w:color w:val="000000"/>
                <w:sz w:val="18"/>
                <w:szCs w:val="18"/>
              </w:rPr>
              <w:t xml:space="preserve">not of a capital nature</w:t>
            </w:r>
            <w:r>
              <w:rPr>
                <w:rFonts w:ascii="Arial" w:cs="Arial" w:eastAsia="Arial" w:hAnsi="Arial"/>
                <w:b w:val="false"/>
                <w:bCs w:val="false"/>
                <w:i w:val="false"/>
                <w:iCs w:val="false"/>
                <w:color w:val="000000"/>
                <w:sz w:val="18"/>
                <w:szCs w:val="18"/>
              </w:rPr>
              <w:t xml:space="preserve">.</w:t>
            </w:r>
          </w:p>
          <w:p>
            <w:pPr>
              <w:pStyle w:val="ListParagraph"/>
              <w:numPr>
                <w:ilvl w:val="0"/>
                <w:numId w:val="2"/>
              </w:numPr>
              <w:spacing w:after="40" w:before="0" w:line="250" w:lineRule="auto"/>
            </w:pPr>
            <w:r>
              <w:rPr>
                <w:rFonts w:ascii="Arial" w:cs="Arial" w:eastAsia="Arial" w:hAnsi="Arial"/>
                <w:b w:val="false"/>
                <w:bCs w:val="false"/>
                <w:i w:val="false"/>
                <w:iCs w:val="false"/>
                <w:color w:val="000000"/>
                <w:sz w:val="18"/>
                <w:szCs w:val="18"/>
              </w:rPr>
              <w:t xml:space="preserve">Read with </w:t>
            </w:r>
            <w:r>
              <w:rPr>
                <w:rFonts w:ascii="Arial" w:cs="Arial" w:eastAsia="Arial" w:hAnsi="Arial"/>
                <w:b/>
                <w:bCs/>
                <w:i w:val="false"/>
                <w:iCs w:val="false"/>
                <w:color w:val="000000"/>
                <w:sz w:val="18"/>
                <w:szCs w:val="18"/>
              </w:rPr>
              <w:t xml:space="preserve">s23(g)</w:t>
            </w:r>
            <w:r>
              <w:rPr>
                <w:rFonts w:ascii="Arial" w:cs="Arial" w:eastAsia="Arial" w:hAnsi="Arial"/>
                <w:b w:val="false"/>
                <w:bCs w:val="false"/>
                <w:i w:val="false"/>
                <w:iCs w:val="false"/>
                <w:color w:val="000000"/>
                <w:sz w:val="18"/>
                <w:szCs w:val="18"/>
              </w:rPr>
              <w:t xml:space="preserve"> — only to the extent laid out for the purposes of trade.</w:t>
            </w:r>
          </w:p>
          <w:p>
            <w:pPr>
              <w:pStyle w:val="ListParagraph"/>
              <w:numPr>
                <w:ilvl w:val="0"/>
                <w:numId w:val="2"/>
              </w:numPr>
              <w:spacing w:after="0" w:before="0" w:line="250" w:lineRule="auto"/>
            </w:pPr>
            <w:r>
              <w:rPr>
                <w:rFonts w:ascii="Arial" w:cs="Arial" w:eastAsia="Arial" w:hAnsi="Arial"/>
                <w:b w:val="false"/>
                <w:bCs w:val="false"/>
                <w:i w:val="false"/>
                <w:iCs w:val="false"/>
                <w:color w:val="000000"/>
                <w:sz w:val="18"/>
                <w:szCs w:val="18"/>
              </w:rPr>
              <w:t xml:space="preserve">“Actually incurred” means an unconditional legal obligation has arisen, not necessarily that payment has been made.</w:t>
            </w:r>
          </w:p>
        </w:tc>
        <w:tc>
          <w:tcPr>
            <w:tcW w:type="dxa" w:w="5974"/>
            <w:tcBorders>
              <w:top w:val="single" w:color="888888" w:sz="4"/>
              <w:left w:val="single" w:color="888888" w:sz="4"/>
              <w:bottom w:val="single" w:color="888888" w:sz="4"/>
              <w:right w:val="single" w:color="888888" w:sz="4"/>
            </w:tcBorders>
            <w:tcMar>
              <w:top w:type="dxa" w:w="60"/>
              <w:left w:type="dxa" w:w="80"/>
              <w:bottom w:type="dxa" w:w="60"/>
              <w:right w:type="dxa" w:w="80"/>
            </w:tcMar>
          </w:tcPr>
          <w:p>
            <w:pPr>
              <w:pStyle w:val="ListParagraph"/>
              <w:numPr>
                <w:ilvl w:val="0"/>
                <w:numId w:val="2"/>
              </w:numPr>
              <w:spacing w:after="40" w:before="0" w:line="250" w:lineRule="auto"/>
            </w:pPr>
            <w:r>
              <w:rPr>
                <w:rFonts w:ascii="Arial" w:cs="Arial" w:eastAsia="Arial" w:hAnsi="Arial"/>
                <w:b/>
                <w:bCs/>
                <w:i w:val="false"/>
                <w:iCs w:val="false"/>
                <w:color w:val="0070C0"/>
                <w:sz w:val="18"/>
                <w:szCs w:val="18"/>
              </w:rPr>
              <w:t xml:space="preserve">This is the only deduction Axion gets on the PPA route.</w:t>
            </w:r>
            <w:r>
              <w:rPr>
                <w:rFonts w:ascii="Arial" w:cs="Arial" w:eastAsia="Arial" w:hAnsi="Arial"/>
                <w:b w:val="false"/>
                <w:bCs w:val="false"/>
                <w:i w:val="false"/>
                <w:iCs w:val="false"/>
                <w:color w:val="0070C0"/>
                <w:sz w:val="18"/>
                <w:szCs w:val="18"/>
              </w:rPr>
              <w:t xml:space="preserve"> No asset, no allowance — just the cost of electricity as it is incurred. That is the single most important tax difference between buying and building, and it must be said out loud in any comparison.</w:t>
            </w:r>
          </w:p>
          <w:p>
            <w:pPr>
              <w:pStyle w:val="ListParagraph"/>
              <w:numPr>
                <w:ilvl w:val="0"/>
                <w:numId w:val="2"/>
              </w:numPr>
              <w:spacing w:after="40" w:before="0" w:line="250" w:lineRule="auto"/>
            </w:pPr>
            <w:r>
              <w:rPr>
                <w:rFonts w:ascii="Arial" w:cs="Arial" w:eastAsia="Arial" w:hAnsi="Arial"/>
                <w:b/>
                <w:bCs/>
                <w:i w:val="false"/>
                <w:iCs w:val="false"/>
                <w:color w:val="0070C0"/>
                <w:sz w:val="18"/>
                <w:szCs w:val="18"/>
              </w:rPr>
              <w:t xml:space="preserve">Also covers:</w:t>
            </w:r>
            <w:r>
              <w:rPr>
                <w:rFonts w:ascii="Arial" w:cs="Arial" w:eastAsia="Arial" w:hAnsi="Arial"/>
                <w:b w:val="false"/>
                <w:bCs w:val="false"/>
                <w:i w:val="false"/>
                <w:iCs w:val="false"/>
                <w:color w:val="0070C0"/>
                <w:sz w:val="18"/>
                <w:szCs w:val="18"/>
              </w:rPr>
              <w:t xml:space="preserve"> wheeling charges, network charges and transmission losses borne by Axion under a wheeling arrangement (Document 7, page 20), and the electricity Axion already buys from the grid.</w:t>
            </w:r>
          </w:p>
          <w:p>
            <w:pPr>
              <w:pStyle w:val="ListParagraph"/>
              <w:numPr>
                <w:ilvl w:val="0"/>
                <w:numId w:val="2"/>
              </w:numPr>
              <w:spacing w:after="40" w:before="0" w:line="250" w:lineRule="auto"/>
            </w:pPr>
            <w:r>
              <w:rPr>
                <w:rFonts w:ascii="Arial" w:cs="Arial" w:eastAsia="Arial" w:hAnsi="Arial"/>
                <w:b/>
                <w:bCs/>
                <w:i w:val="false"/>
                <w:iCs w:val="false"/>
                <w:color w:val="0070C0"/>
                <w:sz w:val="18"/>
                <w:szCs w:val="18"/>
              </w:rPr>
              <w:t xml:space="preserve">Worked example — the PPA route on the same economics as Project X.</w:t>
            </w:r>
            <w:r>
              <w:rPr>
                <w:rFonts w:ascii="Arial" w:cs="Arial" w:eastAsia="Arial" w:hAnsi="Arial"/>
                <w:b w:val="false"/>
                <w:bCs w:val="false"/>
                <w:i w:val="false"/>
                <w:iCs w:val="false"/>
                <w:color w:val="0070C0"/>
                <w:sz w:val="18"/>
                <w:szCs w:val="18"/>
              </w:rPr>
              <w:t xml:space="preserve"> Assume Project X would generate electricity Axion would otherwise buy for R95m a year, and the PPA price is R88m a year:</w:t>
            </w:r>
          </w:p>
          <w:p>
            <w:pPr>
              <w:pStyle w:val="ListParagraph"/>
              <w:numPr>
                <w:ilvl w:val="0"/>
                <w:numId w:val="2"/>
              </w:numPr>
              <w:spacing w:after="40" w:before="0" w:line="250" w:lineRule="auto"/>
            </w:pPr>
            <w:r>
              <w:rPr>
                <w:rFonts w:ascii="Arial" w:cs="Arial" w:eastAsia="Arial" w:hAnsi="Arial"/>
                <w:b w:val="false"/>
                <w:bCs w:val="false"/>
                <w:i w:val="false"/>
                <w:iCs w:val="false"/>
                <w:color w:val="0070C0"/>
                <w:sz w:val="18"/>
                <w:szCs w:val="18"/>
              </w:rPr>
              <w:t xml:space="preserve">FY2027 deduction </w:t>
            </w:r>
            <w:r>
              <w:rPr>
                <w:rFonts w:ascii="Arial" w:cs="Arial" w:eastAsia="Arial" w:hAnsi="Arial"/>
                <w:b/>
                <w:bCs/>
                <w:i w:val="false"/>
                <w:iCs w:val="false"/>
                <w:color w:val="0070C0"/>
                <w:sz w:val="18"/>
                <w:szCs w:val="18"/>
              </w:rPr>
              <w:t xml:space="preserve">R88m</w:t>
            </w:r>
            <w:r>
              <w:rPr>
                <w:rFonts w:ascii="Arial" w:cs="Arial" w:eastAsia="Arial" w:hAnsi="Arial"/>
                <w:b w:val="false"/>
                <w:bCs w:val="false"/>
                <w:i w:val="false"/>
                <w:iCs w:val="false"/>
                <w:color w:val="0070C0"/>
                <w:sz w:val="18"/>
                <w:szCs w:val="18"/>
              </w:rPr>
              <w:t xml:space="preserve"> · tax at 27% = </w:t>
            </w:r>
            <w:r>
              <w:rPr>
                <w:rFonts w:ascii="Arial" w:cs="Arial" w:eastAsia="Arial" w:hAnsi="Arial"/>
                <w:b/>
                <w:bCs/>
                <w:i w:val="false"/>
                <w:iCs w:val="false"/>
                <w:color w:val="0070C0"/>
                <w:sz w:val="18"/>
                <w:szCs w:val="18"/>
              </w:rPr>
              <w:t xml:space="preserve">R23.76m</w:t>
            </w:r>
            <w:r>
              <w:rPr>
                <w:rFonts w:ascii="Arial" w:cs="Arial" w:eastAsia="Arial" w:hAnsi="Arial"/>
                <w:b w:val="false"/>
                <w:bCs w:val="false"/>
                <w:i w:val="false"/>
                <w:iCs w:val="false"/>
                <w:color w:val="0070C0"/>
                <w:sz w:val="18"/>
                <w:szCs w:val="18"/>
              </w:rPr>
              <w:t xml:space="preserve">, and the same again every year of the contract.</w:t>
            </w:r>
          </w:p>
          <w:p>
            <w:pPr>
              <w:pStyle w:val="ListParagraph"/>
              <w:numPr>
                <w:ilvl w:val="0"/>
                <w:numId w:val="2"/>
              </w:numPr>
              <w:spacing w:after="40" w:before="0" w:line="250" w:lineRule="auto"/>
            </w:pPr>
            <w:r>
              <w:rPr>
                <w:rFonts w:ascii="Arial" w:cs="Arial" w:eastAsia="Arial" w:hAnsi="Arial"/>
                <w:b/>
                <w:bCs/>
                <w:i w:val="false"/>
                <w:iCs w:val="false"/>
                <w:color w:val="0070C0"/>
                <w:sz w:val="18"/>
                <w:szCs w:val="18"/>
              </w:rPr>
              <w:t xml:space="preserve">Contrast with owning:</w:t>
            </w:r>
            <w:r>
              <w:rPr>
                <w:rFonts w:ascii="Arial" w:cs="Arial" w:eastAsia="Arial" w:hAnsi="Arial"/>
                <w:b w:val="false"/>
                <w:bCs w:val="false"/>
                <w:i w:val="false"/>
                <w:iCs w:val="false"/>
                <w:color w:val="0070C0"/>
                <w:sz w:val="18"/>
                <w:szCs w:val="18"/>
              </w:rPr>
              <w:t xml:space="preserve"> R250m of deductions in FY2027 (s12B R225m + s12U R25m), tax </w:t>
            </w:r>
            <w:r>
              <w:rPr>
                <w:rFonts w:ascii="Arial" w:cs="Arial" w:eastAsia="Arial" w:hAnsi="Arial"/>
                <w:b/>
                <w:bCs/>
                <w:i w:val="false"/>
                <w:iCs w:val="false"/>
                <w:color w:val="0070C0"/>
                <w:sz w:val="18"/>
                <w:szCs w:val="18"/>
              </w:rPr>
              <w:t xml:space="preserve">R67.5m</w:t>
            </w:r>
            <w:r>
              <w:rPr>
                <w:rFonts w:ascii="Arial" w:cs="Arial" w:eastAsia="Arial" w:hAnsi="Arial"/>
                <w:b w:val="false"/>
                <w:bCs w:val="false"/>
                <w:i w:val="false"/>
                <w:iCs w:val="false"/>
                <w:color w:val="0070C0"/>
                <w:sz w:val="18"/>
                <w:szCs w:val="18"/>
              </w:rPr>
              <w:t xml:space="preserve"> — but then the deductions run out after three years, while the PPA deduction continues for the life of the contract. </w:t>
            </w:r>
            <w:r>
              <w:rPr>
                <w:rFonts w:ascii="Arial" w:cs="Arial" w:eastAsia="Arial" w:hAnsi="Arial"/>
                <w:b/>
                <w:bCs/>
                <w:i w:val="false"/>
                <w:iCs w:val="false"/>
                <w:color w:val="0070C0"/>
                <w:sz w:val="18"/>
                <w:szCs w:val="18"/>
              </w:rPr>
              <w:t xml:space="preserve">The tax shield is front-loaded on ownership and level on a PPA.</w:t>
            </w:r>
            <w:r>
              <w:rPr>
                <w:rFonts w:ascii="Arial" w:cs="Arial" w:eastAsia="Arial" w:hAnsi="Arial"/>
                <w:b w:val="false"/>
                <w:bCs w:val="false"/>
                <w:i w:val="false"/>
                <w:iCs w:val="false"/>
                <w:color w:val="0070C0"/>
                <w:sz w:val="18"/>
                <w:szCs w:val="18"/>
              </w:rPr>
              <w:t xml:space="preserve"> Say that; it is the shape of the answer, not just the size.</w:t>
            </w:r>
          </w:p>
          <w:p>
            <w:pPr>
              <w:pStyle w:val="ListParagraph"/>
              <w:numPr>
                <w:ilvl w:val="0"/>
                <w:numId w:val="2"/>
              </w:numPr>
              <w:spacing w:after="0" w:before="0" w:line="250" w:lineRule="auto"/>
            </w:pPr>
            <w:r>
              <w:rPr>
                <w:rFonts w:ascii="Arial" w:cs="Arial" w:eastAsia="Arial" w:hAnsi="Arial"/>
                <w:b/>
                <w:bCs/>
                <w:i w:val="false"/>
                <w:iCs w:val="false"/>
                <w:color w:val="0070C0"/>
                <w:sz w:val="18"/>
                <w:szCs w:val="18"/>
              </w:rPr>
              <w:t xml:space="preserve">Onerous contract warning — Document 7 page 20 raises it directly:</w:t>
            </w:r>
            <w:r>
              <w:rPr>
                <w:rFonts w:ascii="Arial" w:cs="Arial" w:eastAsia="Arial" w:hAnsi="Arial"/>
                <w:b w:val="false"/>
                <w:bCs w:val="false"/>
                <w:i w:val="false"/>
                <w:iCs w:val="false"/>
                <w:color w:val="0070C0"/>
                <w:sz w:val="18"/>
                <w:szCs w:val="18"/>
              </w:rPr>
              <w:t xml:space="preserve"> “purchase commitments may begin before the new facility is fully utilised”. Electricity Axion pays for but cannot use is still incurred in the production of income and remains deductible, but it is a real cash cost. Flag it commercially as well as technically.</w:t>
            </w:r>
          </w:p>
        </w:tc>
      </w:tr>
    </w:tbl>
    <w:p>
      <w:pPr>
        <w:keepNext w:val="false"/>
        <w:spacing w:after="0" w:before="0" w:line="250" w:lineRule="auto"/>
      </w:pPr>
      <w:r>
        <w:rPr>
          <w:rFonts w:ascii="Arial" w:cs="Arial" w:eastAsia="Arial" w:hAnsi="Arial"/>
          <w:sz w:val="12"/>
          <w:szCs w:val="12"/>
        </w:rPr>
        <w:t xml:space="preserve"/>
      </w:r>
    </w:p>
    <w:p>
      <w:pPr>
        <w:keepNext/>
        <w:spacing w:after="70" w:before="200" w:line="250" w:lineRule="auto"/>
      </w:pPr>
      <w:r>
        <w:rPr>
          <w:rFonts w:ascii="Arial" w:cs="Arial" w:eastAsia="Arial" w:hAnsi="Arial"/>
          <w:b/>
          <w:bCs/>
          <w:i w:val="false"/>
          <w:iCs w:val="false"/>
          <w:color w:val="000000"/>
          <w:sz w:val="22"/>
          <w:szCs w:val="22"/>
        </w:rPr>
        <w:t xml:space="preserve">Table 10 — Section 11(d): repairs</w:t>
      </w:r>
    </w:p>
    <w:tbl>
      <w:tblPr>
        <w:tblW w:type="dxa" w:w="10300"/>
        <w:tblBorders>
          <w:top w:val="single" w:color="auto" w:sz="4"/>
          <w:left w:val="single" w:color="auto" w:sz="4"/>
          <w:bottom w:val="single" w:color="auto" w:sz="4"/>
          <w:right w:val="single" w:color="auto" w:sz="4"/>
          <w:insideH w:val="single" w:color="auto" w:sz="4"/>
          <w:insideV w:val="single" w:color="auto" w:sz="4"/>
        </w:tblBorders>
      </w:tblPr>
      <w:tblGrid>
        <w:gridCol w:w="4326"/>
        <w:gridCol w:w="5974"/>
      </w:tblGrid>
      <w:tr>
        <w:trPr>
          <w:tblHeader/>
        </w:trPr>
        <w:tc>
          <w:tcPr>
            <w:tcW w:type="dxa" w:w="4326"/>
            <w:tcBorders>
              <w:top w:val="single" w:color="888888" w:sz="4"/>
              <w:left w:val="single" w:color="888888" w:sz="4"/>
              <w:bottom w:val="single" w:color="888888" w:sz="4"/>
              <w:right w:val="single" w:color="888888" w:sz="4"/>
            </w:tcBorders>
            <w:shd w:fill="E8E8E8" w:val="clear"/>
            <w:tcMar>
              <w:top w:type="dxa" w:w="60"/>
              <w:left w:type="dxa" w:w="80"/>
              <w:bottom w:type="dxa" w:w="60"/>
              <w:right w:type="dxa" w:w="80"/>
            </w:tcMar>
            <w:vAlign w:val="center"/>
          </w:tcPr>
          <w:p>
            <w:pPr>
              <w:keepNext w:val="false"/>
              <w:spacing w:after="0" w:before="0" w:line="250" w:lineRule="auto"/>
            </w:pPr>
            <w:r>
              <w:rPr>
                <w:rFonts w:ascii="Arial" w:cs="Arial" w:eastAsia="Arial" w:hAnsi="Arial"/>
                <w:b/>
                <w:bCs/>
                <w:i w:val="false"/>
                <w:iCs w:val="false"/>
                <w:color w:val="000000"/>
                <w:sz w:val="18"/>
                <w:szCs w:val="18"/>
              </w:rPr>
              <w:t xml:space="preserve">Legislation — what the Act says</w:t>
            </w:r>
          </w:p>
        </w:tc>
        <w:tc>
          <w:tcPr>
            <w:tcW w:type="dxa" w:w="5974"/>
            <w:tcBorders>
              <w:top w:val="single" w:color="888888" w:sz="4"/>
              <w:left w:val="single" w:color="888888" w:sz="4"/>
              <w:bottom w:val="single" w:color="888888" w:sz="4"/>
              <w:right w:val="single" w:color="888888" w:sz="4"/>
            </w:tcBorders>
            <w:shd w:fill="E8E8E8" w:val="clear"/>
            <w:tcMar>
              <w:top w:type="dxa" w:w="60"/>
              <w:left w:type="dxa" w:w="80"/>
              <w:bottom w:type="dxa" w:w="60"/>
              <w:right w:type="dxa" w:w="80"/>
            </w:tcMar>
            <w:vAlign w:val="center"/>
          </w:tcPr>
          <w:p>
            <w:pPr>
              <w:keepNext w:val="false"/>
              <w:spacing w:after="0" w:before="0" w:line="250" w:lineRule="auto"/>
            </w:pPr>
            <w:r>
              <w:rPr>
                <w:rFonts w:ascii="Arial" w:cs="Arial" w:eastAsia="Arial" w:hAnsi="Arial"/>
                <w:b/>
                <w:bCs/>
                <w:i w:val="false"/>
                <w:iCs w:val="false"/>
                <w:color w:val="000000"/>
                <w:sz w:val="18"/>
                <w:szCs w:val="18"/>
              </w:rPr>
              <w:t xml:space="preserve">Application to Axion — tax consequences</w:t>
            </w:r>
          </w:p>
        </w:tc>
      </w:tr>
      <w:tr>
        <w:tc>
          <w:tcPr>
            <w:tcW w:type="dxa" w:w="4326"/>
            <w:tcBorders>
              <w:top w:val="single" w:color="888888" w:sz="4"/>
              <w:left w:val="single" w:color="888888" w:sz="4"/>
              <w:bottom w:val="single" w:color="888888" w:sz="4"/>
              <w:right w:val="single" w:color="888888" w:sz="4"/>
            </w:tcBorders>
            <w:tcMar>
              <w:top w:type="dxa" w:w="60"/>
              <w:left w:type="dxa" w:w="80"/>
              <w:bottom w:type="dxa" w:w="60"/>
              <w:right w:type="dxa" w:w="80"/>
            </w:tcMar>
          </w:tcPr>
          <w:p>
            <w:pPr>
              <w:pStyle w:val="ListParagraph"/>
              <w:numPr>
                <w:ilvl w:val="0"/>
                <w:numId w:val="2"/>
              </w:numPr>
              <w:spacing w:after="40" w:before="0" w:line="250" w:lineRule="auto"/>
            </w:pPr>
            <w:r>
              <w:rPr>
                <w:rFonts w:ascii="Arial" w:cs="Arial" w:eastAsia="Arial" w:hAnsi="Arial"/>
                <w:b w:val="false"/>
                <w:bCs w:val="false"/>
                <w:i w:val="false"/>
                <w:iCs w:val="false"/>
                <w:color w:val="000000"/>
                <w:sz w:val="18"/>
                <w:szCs w:val="18"/>
              </w:rPr>
              <w:t xml:space="preserve">Deduction for </w:t>
            </w:r>
            <w:r>
              <w:rPr>
                <w:rFonts w:ascii="Arial" w:cs="Arial" w:eastAsia="Arial" w:hAnsi="Arial"/>
                <w:b/>
                <w:bCs/>
                <w:i w:val="false"/>
                <w:iCs w:val="false"/>
                <w:color w:val="000000"/>
                <w:sz w:val="18"/>
                <w:szCs w:val="18"/>
              </w:rPr>
              <w:t xml:space="preserve">expenditure on repairs</w:t>
            </w:r>
            <w:r>
              <w:rPr>
                <w:rFonts w:ascii="Arial" w:cs="Arial" w:eastAsia="Arial" w:hAnsi="Arial"/>
                <w:b w:val="false"/>
                <w:bCs w:val="false"/>
                <w:i w:val="false"/>
                <w:iCs w:val="false"/>
                <w:color w:val="000000"/>
                <w:sz w:val="18"/>
                <w:szCs w:val="18"/>
              </w:rPr>
              <w:t xml:space="preserve"> to property occupied for trade, or from which income is derived, including machinery and plant used for trade.</w:t>
            </w:r>
          </w:p>
          <w:p>
            <w:pPr>
              <w:pStyle w:val="ListParagraph"/>
              <w:numPr>
                <w:ilvl w:val="0"/>
                <w:numId w:val="2"/>
              </w:numPr>
              <w:spacing w:after="0" w:before="0" w:line="250" w:lineRule="auto"/>
            </w:pPr>
            <w:r>
              <w:rPr>
                <w:rFonts w:ascii="Arial" w:cs="Arial" w:eastAsia="Arial" w:hAnsi="Arial"/>
                <w:b w:val="false"/>
                <w:bCs w:val="false"/>
                <w:i w:val="false"/>
                <w:iCs w:val="false"/>
                <w:color w:val="000000"/>
                <w:sz w:val="18"/>
                <w:szCs w:val="18"/>
              </w:rPr>
              <w:t xml:space="preserve">A </w:t>
            </w:r>
            <w:r>
              <w:rPr>
                <w:rFonts w:ascii="Arial" w:cs="Arial" w:eastAsia="Arial" w:hAnsi="Arial"/>
                <w:b/>
                <w:bCs/>
                <w:i w:val="false"/>
                <w:iCs w:val="false"/>
                <w:color w:val="000000"/>
                <w:sz w:val="18"/>
                <w:szCs w:val="18"/>
              </w:rPr>
              <w:t xml:space="preserve">repair</w:t>
            </w:r>
            <w:r>
              <w:rPr>
                <w:rFonts w:ascii="Arial" w:cs="Arial" w:eastAsia="Arial" w:hAnsi="Arial"/>
                <w:b w:val="false"/>
                <w:bCs w:val="false"/>
                <w:i w:val="false"/>
                <w:iCs w:val="false"/>
                <w:color w:val="000000"/>
                <w:sz w:val="18"/>
                <w:szCs w:val="18"/>
              </w:rPr>
              <w:t xml:space="preserve"> restores an asset to its former condition. An </w:t>
            </w:r>
            <w:r>
              <w:rPr>
                <w:rFonts w:ascii="Arial" w:cs="Arial" w:eastAsia="Arial" w:hAnsi="Arial"/>
                <w:b/>
                <w:bCs/>
                <w:i w:val="false"/>
                <w:iCs w:val="false"/>
                <w:color w:val="000000"/>
                <w:sz w:val="18"/>
                <w:szCs w:val="18"/>
              </w:rPr>
              <w:t xml:space="preserve">improvement</w:t>
            </w:r>
            <w:r>
              <w:rPr>
                <w:rFonts w:ascii="Arial" w:cs="Arial" w:eastAsia="Arial" w:hAnsi="Arial"/>
                <w:b w:val="false"/>
                <w:bCs w:val="false"/>
                <w:i w:val="false"/>
                <w:iCs w:val="false"/>
                <w:color w:val="000000"/>
                <w:sz w:val="18"/>
                <w:szCs w:val="18"/>
              </w:rPr>
              <w:t xml:space="preserve"> creates a better asset and is </w:t>
            </w:r>
            <w:r>
              <w:rPr>
                <w:rFonts w:ascii="Arial" w:cs="Arial" w:eastAsia="Arial" w:hAnsi="Arial"/>
                <w:b/>
                <w:bCs/>
                <w:i w:val="false"/>
                <w:iCs w:val="false"/>
                <w:color w:val="000000"/>
                <w:sz w:val="18"/>
                <w:szCs w:val="18"/>
              </w:rPr>
              <w:t xml:space="preserve">capital</w:t>
            </w:r>
            <w:r>
              <w:rPr>
                <w:rFonts w:ascii="Arial" w:cs="Arial" w:eastAsia="Arial" w:hAnsi="Arial"/>
                <w:b w:val="false"/>
                <w:bCs w:val="false"/>
                <w:i w:val="false"/>
                <w:iCs w:val="false"/>
                <w:color w:val="000000"/>
                <w:sz w:val="18"/>
                <w:szCs w:val="18"/>
              </w:rPr>
              <w:t xml:space="preserve"> — no s11(d) deduction.</w:t>
            </w:r>
          </w:p>
        </w:tc>
        <w:tc>
          <w:tcPr>
            <w:tcW w:type="dxa" w:w="5974"/>
            <w:tcBorders>
              <w:top w:val="single" w:color="888888" w:sz="4"/>
              <w:left w:val="single" w:color="888888" w:sz="4"/>
              <w:bottom w:val="single" w:color="888888" w:sz="4"/>
              <w:right w:val="single" w:color="888888" w:sz="4"/>
            </w:tcBorders>
            <w:tcMar>
              <w:top w:type="dxa" w:w="60"/>
              <w:left w:type="dxa" w:w="80"/>
              <w:bottom w:type="dxa" w:w="60"/>
              <w:right w:type="dxa" w:w="80"/>
            </w:tcMar>
          </w:tcPr>
          <w:p>
            <w:pPr>
              <w:pStyle w:val="ListParagraph"/>
              <w:numPr>
                <w:ilvl w:val="0"/>
                <w:numId w:val="2"/>
              </w:numPr>
              <w:spacing w:after="40" w:before="0" w:line="250" w:lineRule="auto"/>
            </w:pPr>
            <w:r>
              <w:rPr>
                <w:rFonts w:ascii="Arial" w:cs="Arial" w:eastAsia="Arial" w:hAnsi="Arial"/>
                <w:b w:val="false"/>
                <w:bCs w:val="false"/>
                <w:i w:val="false"/>
                <w:iCs w:val="false"/>
                <w:color w:val="0070C0"/>
                <w:sz w:val="18"/>
                <w:szCs w:val="18"/>
              </w:rPr>
              <w:t xml:space="preserve">Routine maintenance of generation plant, cooling equipment and generators is deductible under s11(d).</w:t>
            </w:r>
          </w:p>
          <w:p>
            <w:pPr>
              <w:pStyle w:val="ListParagraph"/>
              <w:numPr>
                <w:ilvl w:val="0"/>
                <w:numId w:val="2"/>
              </w:numPr>
              <w:spacing w:after="40" w:before="0" w:line="250" w:lineRule="auto"/>
            </w:pPr>
            <w:r>
              <w:rPr>
                <w:rFonts w:ascii="Arial" w:cs="Arial" w:eastAsia="Arial" w:hAnsi="Arial"/>
                <w:b/>
                <w:bCs/>
                <w:i w:val="false"/>
                <w:iCs w:val="false"/>
                <w:color w:val="0070C0"/>
                <w:sz w:val="18"/>
                <w:szCs w:val="18"/>
              </w:rPr>
              <w:t xml:space="preserve">Draw the line explicitly in any answer.</w:t>
            </w:r>
            <w:r>
              <w:rPr>
                <w:rFonts w:ascii="Arial" w:cs="Arial" w:eastAsia="Arial" w:hAnsi="Arial"/>
                <w:b w:val="false"/>
                <w:bCs w:val="false"/>
                <w:i w:val="false"/>
                <w:iCs w:val="false"/>
                <w:color w:val="0070C0"/>
                <w:sz w:val="18"/>
                <w:szCs w:val="18"/>
              </w:rPr>
              <w:t xml:space="preserve"> Replacing failed solar panels with equivalent panels is a repair — deductible in full. Replacing them with higher-output panels is an improvement — capital, and it goes to s12B as an </w:t>
            </w:r>
            <w:r>
              <w:rPr>
                <w:rFonts w:ascii="Arial" w:cs="Arial" w:eastAsia="Arial" w:hAnsi="Arial"/>
                <w:b/>
                <w:bCs/>
                <w:i w:val="false"/>
                <w:iCs w:val="false"/>
                <w:color w:val="0070C0"/>
                <w:sz w:val="18"/>
                <w:szCs w:val="18"/>
              </w:rPr>
              <w:t xml:space="preserve">improvement to a qualifying asset</w:t>
            </w:r>
            <w:r>
              <w:rPr>
                <w:rFonts w:ascii="Arial" w:cs="Arial" w:eastAsia="Arial" w:hAnsi="Arial"/>
                <w:b w:val="false"/>
                <w:bCs w:val="false"/>
                <w:i w:val="false"/>
                <w:iCs w:val="false"/>
                <w:color w:val="0070C0"/>
                <w:sz w:val="18"/>
                <w:szCs w:val="18"/>
              </w:rPr>
              <w:t xml:space="preserve">, which s12B expressly covers.</w:t>
            </w:r>
          </w:p>
          <w:p>
            <w:pPr>
              <w:pStyle w:val="ListParagraph"/>
              <w:numPr>
                <w:ilvl w:val="0"/>
                <w:numId w:val="2"/>
              </w:numPr>
              <w:spacing w:after="0" w:before="0" w:line="250" w:lineRule="auto"/>
            </w:pPr>
            <w:r>
              <w:rPr>
                <w:rFonts w:ascii="Arial" w:cs="Arial" w:eastAsia="Arial" w:hAnsi="Arial"/>
                <w:b/>
                <w:bCs/>
                <w:i w:val="false"/>
                <w:iCs w:val="false"/>
                <w:color w:val="0070C0"/>
                <w:sz w:val="18"/>
                <w:szCs w:val="18"/>
              </w:rPr>
              <w:t xml:space="preserve">The AI maintenance tool in Document 7 page 19 connects here.</w:t>
            </w:r>
            <w:r>
              <w:rPr>
                <w:rFonts w:ascii="Arial" w:cs="Arial" w:eastAsia="Arial" w:hAnsi="Arial"/>
                <w:b w:val="false"/>
                <w:bCs w:val="false"/>
                <w:i w:val="false"/>
                <w:iCs w:val="false"/>
                <w:color w:val="0070C0"/>
                <w:sz w:val="18"/>
                <w:szCs w:val="18"/>
              </w:rPr>
              <w:t xml:space="preserve"> If it shifts Axion from reactive replacement to preventative maintenance, more spend becomes deductible repairs rather than capitalised replacement. That is a genuine tax consequence of an operational decision — exactly the kind of cross-disciplinary point the APC rewards.</w:t>
            </w:r>
          </w:p>
        </w:tc>
      </w:tr>
    </w:tbl>
    <w:p>
      <w:pPr>
        <w:keepNext w:val="false"/>
        <w:spacing w:after="0" w:before="0" w:line="250" w:lineRule="auto"/>
      </w:pPr>
      <w:r>
        <w:rPr>
          <w:rFonts w:ascii="Arial" w:cs="Arial" w:eastAsia="Arial" w:hAnsi="Arial"/>
          <w:sz w:val="12"/>
          <w:szCs w:val="12"/>
        </w:rPr>
        <w:t xml:space="preserve"/>
      </w:r>
    </w:p>
    <w:p>
      <w:pPr>
        <w:keepNext/>
        <w:spacing w:after="70" w:before="200" w:line="250" w:lineRule="auto"/>
      </w:pPr>
      <w:r>
        <w:rPr>
          <w:rFonts w:ascii="Arial" w:cs="Arial" w:eastAsia="Arial" w:hAnsi="Arial"/>
          <w:b/>
          <w:bCs/>
          <w:i w:val="false"/>
          <w:iCs w:val="false"/>
          <w:color w:val="000000"/>
          <w:sz w:val="22"/>
          <w:szCs w:val="22"/>
        </w:rPr>
        <w:t xml:space="preserve">Table 11 — Section 24J: interest</w:t>
      </w:r>
    </w:p>
    <w:tbl>
      <w:tblPr>
        <w:tblW w:type="dxa" w:w="10300"/>
        <w:tblBorders>
          <w:top w:val="single" w:color="auto" w:sz="4"/>
          <w:left w:val="single" w:color="auto" w:sz="4"/>
          <w:bottom w:val="single" w:color="auto" w:sz="4"/>
          <w:right w:val="single" w:color="auto" w:sz="4"/>
          <w:insideH w:val="single" w:color="auto" w:sz="4"/>
          <w:insideV w:val="single" w:color="auto" w:sz="4"/>
        </w:tblBorders>
      </w:tblPr>
      <w:tblGrid>
        <w:gridCol w:w="4326"/>
        <w:gridCol w:w="5974"/>
      </w:tblGrid>
      <w:tr>
        <w:trPr>
          <w:tblHeader/>
        </w:trPr>
        <w:tc>
          <w:tcPr>
            <w:tcW w:type="dxa" w:w="4326"/>
            <w:tcBorders>
              <w:top w:val="single" w:color="888888" w:sz="4"/>
              <w:left w:val="single" w:color="888888" w:sz="4"/>
              <w:bottom w:val="single" w:color="888888" w:sz="4"/>
              <w:right w:val="single" w:color="888888" w:sz="4"/>
            </w:tcBorders>
            <w:shd w:fill="E8E8E8" w:val="clear"/>
            <w:tcMar>
              <w:top w:type="dxa" w:w="60"/>
              <w:left w:type="dxa" w:w="80"/>
              <w:bottom w:type="dxa" w:w="60"/>
              <w:right w:type="dxa" w:w="80"/>
            </w:tcMar>
            <w:vAlign w:val="center"/>
          </w:tcPr>
          <w:p>
            <w:pPr>
              <w:keepNext w:val="false"/>
              <w:spacing w:after="0" w:before="0" w:line="250" w:lineRule="auto"/>
            </w:pPr>
            <w:r>
              <w:rPr>
                <w:rFonts w:ascii="Arial" w:cs="Arial" w:eastAsia="Arial" w:hAnsi="Arial"/>
                <w:b/>
                <w:bCs/>
                <w:i w:val="false"/>
                <w:iCs w:val="false"/>
                <w:color w:val="000000"/>
                <w:sz w:val="18"/>
                <w:szCs w:val="18"/>
              </w:rPr>
              <w:t xml:space="preserve">Legislation — what the Act says</w:t>
            </w:r>
          </w:p>
        </w:tc>
        <w:tc>
          <w:tcPr>
            <w:tcW w:type="dxa" w:w="5974"/>
            <w:tcBorders>
              <w:top w:val="single" w:color="888888" w:sz="4"/>
              <w:left w:val="single" w:color="888888" w:sz="4"/>
              <w:bottom w:val="single" w:color="888888" w:sz="4"/>
              <w:right w:val="single" w:color="888888" w:sz="4"/>
            </w:tcBorders>
            <w:shd w:fill="E8E8E8" w:val="clear"/>
            <w:tcMar>
              <w:top w:type="dxa" w:w="60"/>
              <w:left w:type="dxa" w:w="80"/>
              <w:bottom w:type="dxa" w:w="60"/>
              <w:right w:type="dxa" w:w="80"/>
            </w:tcMar>
            <w:vAlign w:val="center"/>
          </w:tcPr>
          <w:p>
            <w:pPr>
              <w:keepNext w:val="false"/>
              <w:spacing w:after="0" w:before="0" w:line="250" w:lineRule="auto"/>
            </w:pPr>
            <w:r>
              <w:rPr>
                <w:rFonts w:ascii="Arial" w:cs="Arial" w:eastAsia="Arial" w:hAnsi="Arial"/>
                <w:b/>
                <w:bCs/>
                <w:i w:val="false"/>
                <w:iCs w:val="false"/>
                <w:color w:val="000000"/>
                <w:sz w:val="18"/>
                <w:szCs w:val="18"/>
              </w:rPr>
              <w:t xml:space="preserve">Application to Axion — tax consequences</w:t>
            </w:r>
          </w:p>
        </w:tc>
      </w:tr>
      <w:tr>
        <w:tc>
          <w:tcPr>
            <w:tcW w:type="dxa" w:w="4326"/>
            <w:tcBorders>
              <w:top w:val="single" w:color="888888" w:sz="4"/>
              <w:left w:val="single" w:color="888888" w:sz="4"/>
              <w:bottom w:val="single" w:color="888888" w:sz="4"/>
              <w:right w:val="single" w:color="888888" w:sz="4"/>
            </w:tcBorders>
            <w:tcMar>
              <w:top w:type="dxa" w:w="60"/>
              <w:left w:type="dxa" w:w="80"/>
              <w:bottom w:type="dxa" w:w="60"/>
              <w:right w:type="dxa" w:w="80"/>
            </w:tcMar>
          </w:tcPr>
          <w:p>
            <w:pPr>
              <w:pStyle w:val="ListParagraph"/>
              <w:numPr>
                <w:ilvl w:val="0"/>
                <w:numId w:val="2"/>
              </w:numPr>
              <w:spacing w:after="40" w:before="0" w:line="250" w:lineRule="auto"/>
            </w:pPr>
            <w:r>
              <w:rPr>
                <w:rFonts w:ascii="Arial" w:cs="Arial" w:eastAsia="Arial" w:hAnsi="Arial"/>
                <w:b w:val="false"/>
                <w:bCs w:val="false"/>
                <w:i w:val="false"/>
                <w:iCs w:val="false"/>
                <w:color w:val="000000"/>
                <w:sz w:val="18"/>
                <w:szCs w:val="18"/>
              </w:rPr>
              <w:t xml:space="preserve">Interest is </w:t>
            </w:r>
            <w:r>
              <w:rPr>
                <w:rFonts w:ascii="Arial" w:cs="Arial" w:eastAsia="Arial" w:hAnsi="Arial"/>
                <w:b/>
                <w:bCs/>
                <w:i w:val="false"/>
                <w:iCs w:val="false"/>
                <w:color w:val="000000"/>
                <w:sz w:val="18"/>
                <w:szCs w:val="18"/>
              </w:rPr>
              <w:t xml:space="preserve">incurred and accrued on a yield-to-maturity basis</w:t>
            </w:r>
            <w:r>
              <w:rPr>
                <w:rFonts w:ascii="Arial" w:cs="Arial" w:eastAsia="Arial" w:hAnsi="Arial"/>
                <w:b w:val="false"/>
                <w:bCs w:val="false"/>
                <w:i w:val="false"/>
                <w:iCs w:val="false"/>
                <w:color w:val="000000"/>
                <w:sz w:val="18"/>
                <w:szCs w:val="18"/>
              </w:rPr>
              <w:t xml:space="preserve"> over the term of the instrument, regardless of when it is paid.</w:t>
            </w:r>
          </w:p>
          <w:p>
            <w:pPr>
              <w:pStyle w:val="ListParagraph"/>
              <w:numPr>
                <w:ilvl w:val="0"/>
                <w:numId w:val="2"/>
              </w:numPr>
              <w:spacing w:after="0" w:before="0" w:line="250" w:lineRule="auto"/>
            </w:pPr>
            <w:r>
              <w:rPr>
                <w:rFonts w:ascii="Arial" w:cs="Arial" w:eastAsia="Arial" w:hAnsi="Arial"/>
                <w:b w:val="false"/>
                <w:bCs w:val="false"/>
                <w:i w:val="false"/>
                <w:iCs w:val="false"/>
                <w:color w:val="000000"/>
                <w:sz w:val="18"/>
                <w:szCs w:val="18"/>
              </w:rPr>
              <w:t xml:space="preserve">The tax treatment is </w:t>
            </w:r>
            <w:r>
              <w:rPr>
                <w:rFonts w:ascii="Arial" w:cs="Arial" w:eastAsia="Arial" w:hAnsi="Arial"/>
                <w:b/>
                <w:bCs/>
                <w:i w:val="false"/>
                <w:iCs w:val="false"/>
                <w:color w:val="000000"/>
                <w:sz w:val="18"/>
                <w:szCs w:val="18"/>
              </w:rPr>
              <w:t xml:space="preserve">independent of the accounting treatment</w:t>
            </w:r>
            <w:r>
              <w:rPr>
                <w:rFonts w:ascii="Arial" w:cs="Arial" w:eastAsia="Arial" w:hAnsi="Arial"/>
                <w:b w:val="false"/>
                <w:bCs w:val="false"/>
                <w:i w:val="false"/>
                <w:iCs w:val="false"/>
                <w:color w:val="000000"/>
                <w:sz w:val="18"/>
                <w:szCs w:val="18"/>
              </w:rPr>
              <w:t xml:space="preserve">. Interest capitalised into the cost of an asset for accounting purposes is still </w:t>
            </w:r>
            <w:r>
              <w:rPr>
                <w:rFonts w:ascii="Arial" w:cs="Arial" w:eastAsia="Arial" w:hAnsi="Arial"/>
                <w:b/>
                <w:bCs/>
                <w:i w:val="false"/>
                <w:iCs w:val="false"/>
                <w:color w:val="000000"/>
                <w:sz w:val="18"/>
                <w:szCs w:val="18"/>
              </w:rPr>
              <w:t xml:space="preserve">deducted</w:t>
            </w:r>
            <w:r>
              <w:rPr>
                <w:rFonts w:ascii="Arial" w:cs="Arial" w:eastAsia="Arial" w:hAnsi="Arial"/>
                <w:b w:val="false"/>
                <w:bCs w:val="false"/>
                <w:i w:val="false"/>
                <w:iCs w:val="false"/>
                <w:color w:val="000000"/>
                <w:sz w:val="18"/>
                <w:szCs w:val="18"/>
              </w:rPr>
              <w:t xml:space="preserve"> for tax as it is incurred, unless another provision prevents it.</w:t>
            </w:r>
          </w:p>
        </w:tc>
        <w:tc>
          <w:tcPr>
            <w:tcW w:type="dxa" w:w="5974"/>
            <w:tcBorders>
              <w:top w:val="single" w:color="888888" w:sz="4"/>
              <w:left w:val="single" w:color="888888" w:sz="4"/>
              <w:bottom w:val="single" w:color="888888" w:sz="4"/>
              <w:right w:val="single" w:color="888888" w:sz="4"/>
            </w:tcBorders>
            <w:tcMar>
              <w:top w:type="dxa" w:w="60"/>
              <w:left w:type="dxa" w:w="80"/>
              <w:bottom w:type="dxa" w:w="60"/>
              <w:right w:type="dxa" w:w="80"/>
            </w:tcMar>
          </w:tcPr>
          <w:p>
            <w:pPr>
              <w:pStyle w:val="ListParagraph"/>
              <w:numPr>
                <w:ilvl w:val="0"/>
                <w:numId w:val="2"/>
              </w:numPr>
              <w:spacing w:after="40" w:before="0" w:line="250" w:lineRule="auto"/>
            </w:pPr>
            <w:r>
              <w:rPr>
                <w:rFonts w:ascii="Arial" w:cs="Arial" w:eastAsia="Arial" w:hAnsi="Arial"/>
                <w:b/>
                <w:bCs/>
                <w:i w:val="false"/>
                <w:iCs w:val="false"/>
                <w:color w:val="0070C0"/>
                <w:sz w:val="18"/>
                <w:szCs w:val="18"/>
              </w:rPr>
              <w:t xml:space="preserve">This is a divergence worth flagging.</w:t>
            </w:r>
            <w:r>
              <w:rPr>
                <w:rFonts w:ascii="Arial" w:cs="Arial" w:eastAsia="Arial" w:hAnsi="Arial"/>
                <w:b w:val="false"/>
                <w:bCs w:val="false"/>
                <w:i w:val="false"/>
                <w:iCs w:val="false"/>
                <w:color w:val="0070C0"/>
                <w:sz w:val="18"/>
                <w:szCs w:val="18"/>
              </w:rPr>
              <w:t xml:space="preserve"> Under IAS 23 Axion capitalises borrowing costs on JHB4 into the cost of the asset. For tax, s24J deducts the same interest as it is incurred. So the accounting profit and the taxable income diverge, creating a temporary difference and deferred tax.</w:t>
            </w:r>
          </w:p>
          <w:p>
            <w:pPr>
              <w:pStyle w:val="ListParagraph"/>
              <w:numPr>
                <w:ilvl w:val="0"/>
                <w:numId w:val="2"/>
              </w:numPr>
              <w:spacing w:after="40" w:before="0" w:line="250" w:lineRule="auto"/>
            </w:pPr>
            <w:r>
              <w:rPr>
                <w:rFonts w:ascii="Arial" w:cs="Arial" w:eastAsia="Arial" w:hAnsi="Arial"/>
                <w:b/>
                <w:bCs/>
                <w:i w:val="false"/>
                <w:iCs w:val="false"/>
                <w:color w:val="0070C0"/>
                <w:sz w:val="18"/>
                <w:szCs w:val="18"/>
              </w:rPr>
              <w:t xml:space="preserve">Worked example — project debt on Project X.</w:t>
            </w:r>
            <w:r>
              <w:rPr>
                <w:rFonts w:ascii="Arial" w:cs="Arial" w:eastAsia="Arial" w:hAnsi="Arial"/>
                <w:b w:val="false"/>
                <w:bCs w:val="false"/>
                <w:i w:val="false"/>
                <w:iCs w:val="false"/>
                <w:color w:val="0070C0"/>
                <w:sz w:val="18"/>
                <w:szCs w:val="18"/>
              </w:rPr>
              <w:t xml:space="preserve"> Assume R300m of the R450m plant is debt-funded at 11%, drawn for 8 months of FY2027:</w:t>
            </w:r>
          </w:p>
          <w:p>
            <w:pPr>
              <w:pStyle w:val="ListParagraph"/>
              <w:numPr>
                <w:ilvl w:val="0"/>
                <w:numId w:val="2"/>
              </w:numPr>
              <w:spacing w:after="40" w:before="0" w:line="250" w:lineRule="auto"/>
            </w:pPr>
            <w:r>
              <w:rPr>
                <w:rFonts w:ascii="Arial" w:cs="Arial" w:eastAsia="Arial" w:hAnsi="Arial"/>
                <w:b w:val="false"/>
                <w:bCs w:val="false"/>
                <w:i w:val="false"/>
                <w:iCs w:val="false"/>
                <w:color w:val="0070C0"/>
                <w:sz w:val="18"/>
                <w:szCs w:val="18"/>
              </w:rPr>
              <w:t xml:space="preserve">R300m × 11% × 8/12 = </w:t>
            </w:r>
            <w:r>
              <w:rPr>
                <w:rFonts w:ascii="Arial" w:cs="Arial" w:eastAsia="Arial" w:hAnsi="Arial"/>
                <w:b/>
                <w:bCs/>
                <w:i w:val="false"/>
                <w:iCs w:val="false"/>
                <w:color w:val="0070C0"/>
                <w:sz w:val="18"/>
                <w:szCs w:val="18"/>
              </w:rPr>
              <w:t xml:space="preserve">R22m</w:t>
            </w:r>
            <w:r>
              <w:rPr>
                <w:rFonts w:ascii="Arial" w:cs="Arial" w:eastAsia="Arial" w:hAnsi="Arial"/>
                <w:b w:val="false"/>
                <w:bCs w:val="false"/>
                <w:i w:val="false"/>
                <w:iCs w:val="false"/>
                <w:color w:val="0070C0"/>
                <w:sz w:val="18"/>
                <w:szCs w:val="18"/>
              </w:rPr>
              <w:t xml:space="preserve"> interest incurred · deductible under s24J · tax at 27% = </w:t>
            </w:r>
            <w:r>
              <w:rPr>
                <w:rFonts w:ascii="Arial" w:cs="Arial" w:eastAsia="Arial" w:hAnsi="Arial"/>
                <w:b/>
                <w:bCs/>
                <w:i w:val="false"/>
                <w:iCs w:val="false"/>
                <w:color w:val="0070C0"/>
                <w:sz w:val="18"/>
                <w:szCs w:val="18"/>
              </w:rPr>
              <w:t xml:space="preserve">R5.94m</w:t>
            </w:r>
          </w:p>
          <w:p>
            <w:pPr>
              <w:pStyle w:val="ListParagraph"/>
              <w:numPr>
                <w:ilvl w:val="0"/>
                <w:numId w:val="2"/>
              </w:numPr>
              <w:spacing w:after="40" w:before="0" w:line="250" w:lineRule="auto"/>
            </w:pPr>
            <w:r>
              <w:rPr>
                <w:rFonts w:ascii="Arial" w:cs="Arial" w:eastAsia="Arial" w:hAnsi="Arial"/>
                <w:b w:val="false"/>
                <w:bCs w:val="false"/>
                <w:i w:val="false"/>
                <w:iCs w:val="false"/>
                <w:color w:val="0070C0"/>
                <w:sz w:val="18"/>
                <w:szCs w:val="18"/>
              </w:rPr>
              <w:t xml:space="preserve">If that R22m is capitalised into the asset for accounting, it is </w:t>
            </w:r>
            <w:r>
              <w:rPr>
                <w:rFonts w:ascii="Arial" w:cs="Arial" w:eastAsia="Arial" w:hAnsi="Arial"/>
                <w:b/>
                <w:bCs/>
                <w:i w:val="false"/>
                <w:iCs w:val="false"/>
                <w:color w:val="0070C0"/>
                <w:sz w:val="18"/>
                <w:szCs w:val="18"/>
              </w:rPr>
              <w:t xml:space="preserve">not</w:t>
            </w:r>
            <w:r>
              <w:rPr>
                <w:rFonts w:ascii="Arial" w:cs="Arial" w:eastAsia="Arial" w:hAnsi="Arial"/>
                <w:b w:val="false"/>
                <w:bCs w:val="false"/>
                <w:i w:val="false"/>
                <w:iCs w:val="false"/>
                <w:color w:val="0070C0"/>
                <w:sz w:val="18"/>
                <w:szCs w:val="18"/>
              </w:rPr>
              <w:t xml:space="preserve"> in accounting profit but </w:t>
            </w:r>
            <w:r>
              <w:rPr>
                <w:rFonts w:ascii="Arial" w:cs="Arial" w:eastAsia="Arial" w:hAnsi="Arial"/>
                <w:b/>
                <w:bCs/>
                <w:i w:val="false"/>
                <w:iCs w:val="false"/>
                <w:color w:val="0070C0"/>
                <w:sz w:val="18"/>
                <w:szCs w:val="18"/>
              </w:rPr>
              <w:t xml:space="preserve">is</w:t>
            </w:r>
            <w:r>
              <w:rPr>
                <w:rFonts w:ascii="Arial" w:cs="Arial" w:eastAsia="Arial" w:hAnsi="Arial"/>
                <w:b w:val="false"/>
                <w:bCs w:val="false"/>
                <w:i w:val="false"/>
                <w:iCs w:val="false"/>
                <w:color w:val="0070C0"/>
                <w:sz w:val="18"/>
                <w:szCs w:val="18"/>
              </w:rPr>
              <w:t xml:space="preserve"> deducted for tax — and it is then also part of the asset’s cost for s12B, which would double count. </w:t>
            </w:r>
            <w:r>
              <w:rPr>
                <w:rFonts w:ascii="Arial" w:cs="Arial" w:eastAsia="Arial" w:hAnsi="Arial"/>
                <w:b/>
                <w:bCs/>
                <w:i w:val="false"/>
                <w:iCs w:val="false"/>
                <w:color w:val="0070C0"/>
                <w:sz w:val="18"/>
                <w:szCs w:val="18"/>
              </w:rPr>
              <w:t xml:space="preserve">[WAITING FOR INPUT — information on the day]:</w:t>
            </w:r>
            <w:r>
              <w:rPr>
                <w:rFonts w:ascii="Arial" w:cs="Arial" w:eastAsia="Arial" w:hAnsi="Arial"/>
                <w:b w:val="false"/>
                <w:bCs w:val="false"/>
                <w:i w:val="false"/>
                <w:iCs w:val="false"/>
                <w:color w:val="0070C0"/>
                <w:sz w:val="18"/>
                <w:szCs w:val="18"/>
              </w:rPr>
              <w:t xml:space="preserve"> confirm whether capitalised interest is included in the s12B cost base, because it cannot be both deducted under s24J and written off under s12B.</w:t>
            </w:r>
          </w:p>
          <w:p>
            <w:pPr>
              <w:pStyle w:val="ListParagraph"/>
              <w:numPr>
                <w:ilvl w:val="0"/>
                <w:numId w:val="2"/>
              </w:numPr>
              <w:spacing w:after="0" w:before="0" w:line="250" w:lineRule="auto"/>
            </w:pPr>
            <w:r>
              <w:rPr>
                <w:rFonts w:ascii="Arial" w:cs="Arial" w:eastAsia="Arial" w:hAnsi="Arial"/>
                <w:b w:val="false"/>
                <w:bCs w:val="false"/>
                <w:i w:val="false"/>
                <w:iCs w:val="false"/>
                <w:color w:val="0070C0"/>
                <w:sz w:val="18"/>
                <w:szCs w:val="18"/>
              </w:rPr>
              <w:t xml:space="preserve">That double-count trap is a high-quality point. Raise it as a question rather than asserting the answer.</w:t>
            </w:r>
          </w:p>
        </w:tc>
      </w:tr>
    </w:tbl>
    <w:p>
      <w:pPr>
        <w:keepNext w:val="false"/>
        <w:spacing w:after="0" w:before="0" w:line="250" w:lineRule="auto"/>
      </w:pPr>
      <w:r>
        <w:rPr>
          <w:rFonts w:ascii="Arial" w:cs="Arial" w:eastAsia="Arial" w:hAnsi="Arial"/>
          <w:sz w:val="12"/>
          <w:szCs w:val="12"/>
        </w:rPr>
        <w:t xml:space="preserve"/>
      </w:r>
    </w:p>
    <w:p>
      <w:pPr>
        <w:keepNext/>
        <w:spacing w:after="70" w:before="200" w:line="250" w:lineRule="auto"/>
      </w:pPr>
      <w:r>
        <w:rPr>
          <w:rFonts w:ascii="Arial" w:cs="Arial" w:eastAsia="Arial" w:hAnsi="Arial"/>
          <w:b/>
          <w:bCs/>
          <w:i w:val="false"/>
          <w:iCs w:val="false"/>
          <w:color w:val="000000"/>
          <w:sz w:val="22"/>
          <w:szCs w:val="22"/>
        </w:rPr>
        <w:t xml:space="preserve">Table 12 — Section 23M: limitation of interest deductions</w:t>
      </w:r>
    </w:p>
    <w:tbl>
      <w:tblPr>
        <w:tblW w:type="dxa" w:w="10300"/>
        <w:tblBorders>
          <w:top w:val="single" w:color="auto" w:sz="4"/>
          <w:left w:val="single" w:color="auto" w:sz="4"/>
          <w:bottom w:val="single" w:color="auto" w:sz="4"/>
          <w:right w:val="single" w:color="auto" w:sz="4"/>
          <w:insideH w:val="single" w:color="auto" w:sz="4"/>
          <w:insideV w:val="single" w:color="auto" w:sz="4"/>
        </w:tblBorders>
      </w:tblPr>
      <w:tblGrid>
        <w:gridCol w:w="4326"/>
        <w:gridCol w:w="5974"/>
      </w:tblGrid>
      <w:tr>
        <w:trPr>
          <w:tblHeader/>
        </w:trPr>
        <w:tc>
          <w:tcPr>
            <w:tcW w:type="dxa" w:w="4326"/>
            <w:tcBorders>
              <w:top w:val="single" w:color="888888" w:sz="4"/>
              <w:left w:val="single" w:color="888888" w:sz="4"/>
              <w:bottom w:val="single" w:color="888888" w:sz="4"/>
              <w:right w:val="single" w:color="888888" w:sz="4"/>
            </w:tcBorders>
            <w:shd w:fill="E8E8E8" w:val="clear"/>
            <w:tcMar>
              <w:top w:type="dxa" w:w="60"/>
              <w:left w:type="dxa" w:w="80"/>
              <w:bottom w:type="dxa" w:w="60"/>
              <w:right w:type="dxa" w:w="80"/>
            </w:tcMar>
            <w:vAlign w:val="center"/>
          </w:tcPr>
          <w:p>
            <w:pPr>
              <w:keepNext w:val="false"/>
              <w:spacing w:after="0" w:before="0" w:line="250" w:lineRule="auto"/>
            </w:pPr>
            <w:r>
              <w:rPr>
                <w:rFonts w:ascii="Arial" w:cs="Arial" w:eastAsia="Arial" w:hAnsi="Arial"/>
                <w:b/>
                <w:bCs/>
                <w:i w:val="false"/>
                <w:iCs w:val="false"/>
                <w:color w:val="000000"/>
                <w:sz w:val="18"/>
                <w:szCs w:val="18"/>
              </w:rPr>
              <w:t xml:space="preserve">Legislation — what the Act says</w:t>
            </w:r>
          </w:p>
        </w:tc>
        <w:tc>
          <w:tcPr>
            <w:tcW w:type="dxa" w:w="5974"/>
            <w:tcBorders>
              <w:top w:val="single" w:color="888888" w:sz="4"/>
              <w:left w:val="single" w:color="888888" w:sz="4"/>
              <w:bottom w:val="single" w:color="888888" w:sz="4"/>
              <w:right w:val="single" w:color="888888" w:sz="4"/>
            </w:tcBorders>
            <w:shd w:fill="E8E8E8" w:val="clear"/>
            <w:tcMar>
              <w:top w:type="dxa" w:w="60"/>
              <w:left w:type="dxa" w:w="80"/>
              <w:bottom w:type="dxa" w:w="60"/>
              <w:right w:type="dxa" w:w="80"/>
            </w:tcMar>
            <w:vAlign w:val="center"/>
          </w:tcPr>
          <w:p>
            <w:pPr>
              <w:keepNext w:val="false"/>
              <w:spacing w:after="0" w:before="0" w:line="250" w:lineRule="auto"/>
            </w:pPr>
            <w:r>
              <w:rPr>
                <w:rFonts w:ascii="Arial" w:cs="Arial" w:eastAsia="Arial" w:hAnsi="Arial"/>
                <w:b/>
                <w:bCs/>
                <w:i w:val="false"/>
                <w:iCs w:val="false"/>
                <w:color w:val="000000"/>
                <w:sz w:val="18"/>
                <w:szCs w:val="18"/>
              </w:rPr>
              <w:t xml:space="preserve">Application to Axion — tax consequences</w:t>
            </w:r>
          </w:p>
        </w:tc>
      </w:tr>
      <w:tr>
        <w:tc>
          <w:tcPr>
            <w:tcW w:type="dxa" w:w="4326"/>
            <w:tcBorders>
              <w:top w:val="single" w:color="888888" w:sz="4"/>
              <w:left w:val="single" w:color="888888" w:sz="4"/>
              <w:bottom w:val="single" w:color="888888" w:sz="4"/>
              <w:right w:val="single" w:color="888888" w:sz="4"/>
            </w:tcBorders>
            <w:tcMar>
              <w:top w:type="dxa" w:w="60"/>
              <w:left w:type="dxa" w:w="80"/>
              <w:bottom w:type="dxa" w:w="60"/>
              <w:right w:type="dxa" w:w="80"/>
            </w:tcMar>
          </w:tcPr>
          <w:p>
            <w:pPr>
              <w:pStyle w:val="ListParagraph"/>
              <w:numPr>
                <w:ilvl w:val="0"/>
                <w:numId w:val="2"/>
              </w:numPr>
              <w:spacing w:after="40" w:before="0" w:line="250" w:lineRule="auto"/>
            </w:pPr>
            <w:r>
              <w:rPr>
                <w:rFonts w:ascii="Arial" w:cs="Arial" w:eastAsia="Arial" w:hAnsi="Arial"/>
                <w:b w:val="false"/>
                <w:bCs w:val="false"/>
                <w:i w:val="false"/>
                <w:iCs w:val="false"/>
                <w:color w:val="000000"/>
                <w:sz w:val="18"/>
                <w:szCs w:val="18"/>
              </w:rPr>
              <w:t xml:space="preserve">Limits the deduction of </w:t>
            </w:r>
            <w:r>
              <w:rPr>
                <w:rFonts w:ascii="Arial" w:cs="Arial" w:eastAsia="Arial" w:hAnsi="Arial"/>
                <w:b/>
                <w:bCs/>
                <w:i w:val="false"/>
                <w:iCs w:val="false"/>
                <w:color w:val="000000"/>
                <w:sz w:val="18"/>
                <w:szCs w:val="18"/>
              </w:rPr>
              <w:t xml:space="preserve">interest incurred in respect of debt owed to a creditor in a controlling relationship</w:t>
            </w:r>
            <w:r>
              <w:rPr>
                <w:rFonts w:ascii="Arial" w:cs="Arial" w:eastAsia="Arial" w:hAnsi="Arial"/>
                <w:b w:val="false"/>
                <w:bCs w:val="false"/>
                <w:i w:val="false"/>
                <w:iCs w:val="false"/>
                <w:color w:val="000000"/>
                <w:sz w:val="18"/>
                <w:szCs w:val="18"/>
              </w:rPr>
              <w:t xml:space="preserve"> with the debtor, where that creditor is </w:t>
            </w:r>
            <w:r>
              <w:rPr>
                <w:rFonts w:ascii="Arial" w:cs="Arial" w:eastAsia="Arial" w:hAnsi="Arial"/>
                <w:b/>
                <w:bCs/>
                <w:i w:val="false"/>
                <w:iCs w:val="false"/>
                <w:color w:val="000000"/>
                <w:sz w:val="18"/>
                <w:szCs w:val="18"/>
              </w:rPr>
              <w:t xml:space="preserve">not subject to South African tax</w:t>
            </w:r>
            <w:r>
              <w:rPr>
                <w:rFonts w:ascii="Arial" w:cs="Arial" w:eastAsia="Arial" w:hAnsi="Arial"/>
                <w:b w:val="false"/>
                <w:bCs w:val="false"/>
                <w:i w:val="false"/>
                <w:iCs w:val="false"/>
                <w:color w:val="000000"/>
                <w:sz w:val="18"/>
                <w:szCs w:val="18"/>
              </w:rPr>
              <w:t xml:space="preserve"> on the interest.</w:t>
            </w:r>
          </w:p>
          <w:p>
            <w:pPr>
              <w:pStyle w:val="ListParagraph"/>
              <w:numPr>
                <w:ilvl w:val="0"/>
                <w:numId w:val="2"/>
              </w:numPr>
              <w:spacing w:after="40" w:before="0" w:line="250" w:lineRule="auto"/>
            </w:pPr>
            <w:r>
              <w:rPr>
                <w:rFonts w:ascii="Arial" w:cs="Arial" w:eastAsia="Arial" w:hAnsi="Arial"/>
                <w:b w:val="false"/>
                <w:bCs w:val="false"/>
                <w:i w:val="false"/>
                <w:iCs w:val="false"/>
                <w:color w:val="000000"/>
                <w:sz w:val="18"/>
                <w:szCs w:val="18"/>
              </w:rPr>
              <w:t xml:space="preserve">The deduction is capped by reference to a percentage of adjusted taxable income; the excess is carried forward.</w:t>
            </w:r>
          </w:p>
          <w:p>
            <w:pPr>
              <w:pStyle w:val="ListParagraph"/>
              <w:numPr>
                <w:ilvl w:val="0"/>
                <w:numId w:val="2"/>
              </w:numPr>
              <w:spacing w:after="0" w:before="0" w:line="250" w:lineRule="auto"/>
            </w:pPr>
            <w:r>
              <w:rPr>
                <w:rFonts w:ascii="Arial" w:cs="Arial" w:eastAsia="Arial" w:hAnsi="Arial"/>
                <w:b/>
                <w:bCs/>
                <w:i w:val="false"/>
                <w:iCs w:val="false"/>
                <w:color w:val="000000"/>
                <w:sz w:val="18"/>
                <w:szCs w:val="18"/>
              </w:rPr>
              <w:t xml:space="preserve">[NOT VERIFIED — read s23M and confirm the current percentage and the definition of a controlling relationship before using a number.]</w:t>
            </w:r>
          </w:p>
        </w:tc>
        <w:tc>
          <w:tcPr>
            <w:tcW w:type="dxa" w:w="5974"/>
            <w:tcBorders>
              <w:top w:val="single" w:color="888888" w:sz="4"/>
              <w:left w:val="single" w:color="888888" w:sz="4"/>
              <w:bottom w:val="single" w:color="888888" w:sz="4"/>
              <w:right w:val="single" w:color="888888" w:sz="4"/>
            </w:tcBorders>
            <w:tcMar>
              <w:top w:type="dxa" w:w="60"/>
              <w:left w:type="dxa" w:w="80"/>
              <w:bottom w:type="dxa" w:w="60"/>
              <w:right w:type="dxa" w:w="80"/>
            </w:tcMar>
          </w:tcPr>
          <w:p>
            <w:pPr>
              <w:pStyle w:val="ListParagraph"/>
              <w:numPr>
                <w:ilvl w:val="0"/>
                <w:numId w:val="2"/>
              </w:numPr>
              <w:spacing w:after="40" w:before="0" w:line="250" w:lineRule="auto"/>
            </w:pPr>
            <w:r>
              <w:rPr>
                <w:rFonts w:ascii="Arial" w:cs="Arial" w:eastAsia="Arial" w:hAnsi="Arial"/>
                <w:b/>
                <w:bCs/>
                <w:i w:val="false"/>
                <w:iCs w:val="false"/>
                <w:color w:val="0070C0"/>
                <w:sz w:val="18"/>
                <w:szCs w:val="18"/>
              </w:rPr>
              <w:t xml:space="preserve">Why this is live for Axion.</w:t>
            </w:r>
            <w:r>
              <w:rPr>
                <w:rFonts w:ascii="Arial" w:cs="Arial" w:eastAsia="Arial" w:hAnsi="Arial"/>
                <w:b w:val="false"/>
                <w:bCs w:val="false"/>
                <w:i w:val="false"/>
                <w:iCs w:val="false"/>
                <w:color w:val="0070C0"/>
                <w:sz w:val="18"/>
                <w:szCs w:val="18"/>
              </w:rPr>
              <w:t xml:space="preserve"> Ubuntu Infrastructure holds 35% and Horizon holds 30% (Document 4, page 11). If either lends to Axion or to a project company, and either is a non-resident or otherwise not subject to SA tax on the interest, s23M could restrict the deduction.</w:t>
            </w:r>
          </w:p>
          <w:p>
            <w:pPr>
              <w:pStyle w:val="ListParagraph"/>
              <w:numPr>
                <w:ilvl w:val="0"/>
                <w:numId w:val="2"/>
              </w:numPr>
              <w:spacing w:after="40" w:before="0" w:line="250" w:lineRule="auto"/>
            </w:pPr>
            <w:r>
              <w:rPr>
                <w:rFonts w:ascii="Arial" w:cs="Arial" w:eastAsia="Arial" w:hAnsi="Arial"/>
                <w:b/>
                <w:bCs/>
                <w:i w:val="false"/>
                <w:iCs w:val="false"/>
                <w:color w:val="0070C0"/>
                <w:sz w:val="18"/>
                <w:szCs w:val="18"/>
              </w:rPr>
              <w:t xml:space="preserve">[WAITING FOR INPUT — information on the day]:</w:t>
            </w:r>
            <w:r>
              <w:rPr>
                <w:rFonts w:ascii="Arial" w:cs="Arial" w:eastAsia="Arial" w:hAnsi="Arial"/>
                <w:b w:val="false"/>
                <w:bCs w:val="false"/>
                <w:i w:val="false"/>
                <w:iCs w:val="false"/>
                <w:color w:val="0070C0"/>
                <w:sz w:val="18"/>
                <w:szCs w:val="18"/>
              </w:rPr>
              <w:t xml:space="preserve"> the identity, tax residence and shareholding of any project lender; whether shareholder funding forms part of the funding structure; the interest rate and quantum.</w:t>
            </w:r>
          </w:p>
          <w:p>
            <w:pPr>
              <w:pStyle w:val="ListParagraph"/>
              <w:numPr>
                <w:ilvl w:val="0"/>
                <w:numId w:val="2"/>
              </w:numPr>
              <w:spacing w:after="40" w:before="0" w:line="250" w:lineRule="auto"/>
            </w:pPr>
            <w:r>
              <w:rPr>
                <w:rFonts w:ascii="Arial" w:cs="Arial" w:eastAsia="Arial" w:hAnsi="Arial"/>
                <w:b w:val="false"/>
                <w:bCs w:val="false"/>
                <w:i w:val="false"/>
                <w:iCs w:val="false"/>
                <w:color w:val="0070C0"/>
                <w:sz w:val="18"/>
                <w:szCs w:val="18"/>
              </w:rPr>
              <w:t xml:space="preserve">Document 3 page 8 lists “investment from existing shareholders” as one of three funding options, so shareholder funding is expressly on the table. </w:t>
            </w:r>
            <w:r>
              <w:rPr>
                <w:rFonts w:ascii="Arial" w:cs="Arial" w:eastAsia="Arial" w:hAnsi="Arial"/>
                <w:b/>
                <w:bCs/>
                <w:i w:val="false"/>
                <w:iCs w:val="false"/>
                <w:color w:val="0070C0"/>
                <w:sz w:val="18"/>
                <w:szCs w:val="18"/>
              </w:rPr>
              <w:t xml:space="preserve">Do not skip this section just because the pre-release does not give you the lender.</w:t>
            </w:r>
          </w:p>
          <w:p>
            <w:pPr>
              <w:pStyle w:val="ListParagraph"/>
              <w:numPr>
                <w:ilvl w:val="0"/>
                <w:numId w:val="2"/>
              </w:numPr>
              <w:spacing w:after="0" w:before="0" w:line="250" w:lineRule="auto"/>
            </w:pPr>
            <w:r>
              <w:rPr>
                <w:rFonts w:ascii="Arial" w:cs="Arial" w:eastAsia="Arial" w:hAnsi="Arial"/>
                <w:b w:val="false"/>
                <w:bCs w:val="false"/>
                <w:i w:val="false"/>
                <w:iCs w:val="false"/>
                <w:color w:val="0070C0"/>
                <w:sz w:val="18"/>
                <w:szCs w:val="18"/>
              </w:rPr>
              <w:t xml:space="preserve">If the funding is </w:t>
            </w:r>
            <w:r>
              <w:rPr>
                <w:rFonts w:ascii="Arial" w:cs="Arial" w:eastAsia="Arial" w:hAnsi="Arial"/>
                <w:b/>
                <w:bCs/>
                <w:i w:val="false"/>
                <w:iCs w:val="false"/>
                <w:color w:val="0070C0"/>
                <w:sz w:val="18"/>
                <w:szCs w:val="18"/>
              </w:rPr>
              <w:t xml:space="preserve">equity</w:t>
            </w:r>
            <w:r>
              <w:rPr>
                <w:rFonts w:ascii="Arial" w:cs="Arial" w:eastAsia="Arial" w:hAnsi="Arial"/>
                <w:b w:val="false"/>
                <w:bCs w:val="false"/>
                <w:i w:val="false"/>
                <w:iCs w:val="false"/>
                <w:color w:val="0070C0"/>
                <w:sz w:val="18"/>
                <w:szCs w:val="18"/>
              </w:rPr>
              <w:t xml:space="preserve"> rather than debt, s23M falls away entirely — but so does the interest deduction. That trade-off belongs in the funding recommendation.</w:t>
            </w:r>
          </w:p>
        </w:tc>
      </w:tr>
    </w:tbl>
    <w:p>
      <w:pPr>
        <w:keepNext w:val="false"/>
        <w:spacing w:after="0" w:before="0" w:line="250" w:lineRule="auto"/>
      </w:pPr>
      <w:r>
        <w:rPr>
          <w:rFonts w:ascii="Arial" w:cs="Arial" w:eastAsia="Arial" w:hAnsi="Arial"/>
          <w:sz w:val="12"/>
          <w:szCs w:val="12"/>
        </w:rPr>
        <w:t xml:space="preserve"/>
      </w:r>
    </w:p>
    <w:p>
      <w:pPr>
        <w:keepNext/>
        <w:pageBreakBefore/>
        <w:pBdr>
          <w:bottom w:val="single" w:color="000000" w:sz="8" w:space="2"/>
        </w:pBdr>
        <w:spacing w:after="110" w:before="0" w:line="250" w:lineRule="auto"/>
      </w:pPr>
      <w:r>
        <w:rPr>
          <w:rFonts w:ascii="Arial" w:cs="Arial" w:eastAsia="Arial" w:hAnsi="Arial"/>
          <w:b/>
          <w:bCs/>
          <w:i w:val="false"/>
          <w:iCs w:val="false"/>
          <w:color w:val="000000"/>
          <w:sz w:val="26"/>
          <w:szCs w:val="26"/>
        </w:rPr>
        <w:t xml:space="preserve">D. Disposal — recoupment and capital gains</w:t>
      </w:r>
    </w:p>
    <w:p>
      <w:pPr>
        <w:keepNext/>
        <w:spacing w:after="70" w:before="200" w:line="250" w:lineRule="auto"/>
      </w:pPr>
      <w:r>
        <w:rPr>
          <w:rFonts w:ascii="Arial" w:cs="Arial" w:eastAsia="Arial" w:hAnsi="Arial"/>
          <w:b/>
          <w:bCs/>
          <w:i w:val="false"/>
          <w:iCs w:val="false"/>
          <w:color w:val="000000"/>
          <w:sz w:val="22"/>
          <w:szCs w:val="22"/>
        </w:rPr>
        <w:t xml:space="preserve">Table 13 — Section 8(4)(a) recoupment, section 11(o), and CGT</w:t>
      </w:r>
    </w:p>
    <w:tbl>
      <w:tblPr>
        <w:tblW w:type="dxa" w:w="10300"/>
        <w:tblBorders>
          <w:top w:val="single" w:color="auto" w:sz="4"/>
          <w:left w:val="single" w:color="auto" w:sz="4"/>
          <w:bottom w:val="single" w:color="auto" w:sz="4"/>
          <w:right w:val="single" w:color="auto" w:sz="4"/>
          <w:insideH w:val="single" w:color="auto" w:sz="4"/>
          <w:insideV w:val="single" w:color="auto" w:sz="4"/>
        </w:tblBorders>
      </w:tblPr>
      <w:tblGrid>
        <w:gridCol w:w="4326"/>
        <w:gridCol w:w="5974"/>
      </w:tblGrid>
      <w:tr>
        <w:trPr>
          <w:tblHeader/>
        </w:trPr>
        <w:tc>
          <w:tcPr>
            <w:tcW w:type="dxa" w:w="4326"/>
            <w:tcBorders>
              <w:top w:val="single" w:color="888888" w:sz="4"/>
              <w:left w:val="single" w:color="888888" w:sz="4"/>
              <w:bottom w:val="single" w:color="888888" w:sz="4"/>
              <w:right w:val="single" w:color="888888" w:sz="4"/>
            </w:tcBorders>
            <w:shd w:fill="E8E8E8" w:val="clear"/>
            <w:tcMar>
              <w:top w:type="dxa" w:w="60"/>
              <w:left w:type="dxa" w:w="80"/>
              <w:bottom w:type="dxa" w:w="60"/>
              <w:right w:type="dxa" w:w="80"/>
            </w:tcMar>
            <w:vAlign w:val="center"/>
          </w:tcPr>
          <w:p>
            <w:pPr>
              <w:keepNext w:val="false"/>
              <w:spacing w:after="0" w:before="0" w:line="250" w:lineRule="auto"/>
            </w:pPr>
            <w:r>
              <w:rPr>
                <w:rFonts w:ascii="Arial" w:cs="Arial" w:eastAsia="Arial" w:hAnsi="Arial"/>
                <w:b/>
                <w:bCs/>
                <w:i w:val="false"/>
                <w:iCs w:val="false"/>
                <w:color w:val="000000"/>
                <w:sz w:val="18"/>
                <w:szCs w:val="18"/>
              </w:rPr>
              <w:t xml:space="preserve">Legislation — what the Act says</w:t>
            </w:r>
          </w:p>
        </w:tc>
        <w:tc>
          <w:tcPr>
            <w:tcW w:type="dxa" w:w="5974"/>
            <w:tcBorders>
              <w:top w:val="single" w:color="888888" w:sz="4"/>
              <w:left w:val="single" w:color="888888" w:sz="4"/>
              <w:bottom w:val="single" w:color="888888" w:sz="4"/>
              <w:right w:val="single" w:color="888888" w:sz="4"/>
            </w:tcBorders>
            <w:shd w:fill="E8E8E8" w:val="clear"/>
            <w:tcMar>
              <w:top w:type="dxa" w:w="60"/>
              <w:left w:type="dxa" w:w="80"/>
              <w:bottom w:type="dxa" w:w="60"/>
              <w:right w:type="dxa" w:w="80"/>
            </w:tcMar>
            <w:vAlign w:val="center"/>
          </w:tcPr>
          <w:p>
            <w:pPr>
              <w:keepNext w:val="false"/>
              <w:spacing w:after="0" w:before="0" w:line="250" w:lineRule="auto"/>
            </w:pPr>
            <w:r>
              <w:rPr>
                <w:rFonts w:ascii="Arial" w:cs="Arial" w:eastAsia="Arial" w:hAnsi="Arial"/>
                <w:b/>
                <w:bCs/>
                <w:i w:val="false"/>
                <w:iCs w:val="false"/>
                <w:color w:val="000000"/>
                <w:sz w:val="18"/>
                <w:szCs w:val="18"/>
              </w:rPr>
              <w:t xml:space="preserve">Application to Axion — tax consequences</w:t>
            </w:r>
          </w:p>
        </w:tc>
      </w:tr>
      <w:tr>
        <w:tc>
          <w:tcPr>
            <w:tcW w:type="dxa" w:w="4326"/>
            <w:tcBorders>
              <w:top w:val="single" w:color="888888" w:sz="4"/>
              <w:left w:val="single" w:color="888888" w:sz="4"/>
              <w:bottom w:val="single" w:color="888888" w:sz="4"/>
              <w:right w:val="single" w:color="888888" w:sz="4"/>
            </w:tcBorders>
            <w:tcMar>
              <w:top w:type="dxa" w:w="60"/>
              <w:left w:type="dxa" w:w="80"/>
              <w:bottom w:type="dxa" w:w="60"/>
              <w:right w:type="dxa" w:w="80"/>
            </w:tcMar>
          </w:tcPr>
          <w:p>
            <w:pPr>
              <w:pStyle w:val="ListParagraph"/>
              <w:numPr>
                <w:ilvl w:val="0"/>
                <w:numId w:val="2"/>
              </w:numPr>
              <w:spacing w:after="40" w:before="0" w:line="250" w:lineRule="auto"/>
            </w:pPr>
            <w:r>
              <w:rPr>
                <w:rFonts w:ascii="Arial" w:cs="Arial" w:eastAsia="Arial" w:hAnsi="Arial"/>
                <w:b/>
                <w:bCs/>
                <w:i w:val="false"/>
                <w:iCs w:val="false"/>
                <w:color w:val="000000"/>
                <w:sz w:val="18"/>
                <w:szCs w:val="18"/>
              </w:rPr>
              <w:t xml:space="preserve">s8(4)(a) — recoupment.</w:t>
            </w:r>
            <w:r>
              <w:rPr>
                <w:rFonts w:ascii="Arial" w:cs="Arial" w:eastAsia="Arial" w:hAnsi="Arial"/>
                <w:b w:val="false"/>
                <w:bCs w:val="false"/>
                <w:i w:val="false"/>
                <w:iCs w:val="false"/>
                <w:color w:val="000000"/>
                <w:sz w:val="18"/>
                <w:szCs w:val="18"/>
              </w:rPr>
              <w:t xml:space="preserve"> On disposal, amounts previously allowed as a deduction are </w:t>
            </w:r>
            <w:r>
              <w:rPr>
                <w:rFonts w:ascii="Arial" w:cs="Arial" w:eastAsia="Arial" w:hAnsi="Arial"/>
                <w:b/>
                <w:bCs/>
                <w:i w:val="false"/>
                <w:iCs w:val="false"/>
                <w:color w:val="000000"/>
                <w:sz w:val="18"/>
                <w:szCs w:val="18"/>
              </w:rPr>
              <w:t xml:space="preserve">recouped and included in income</w:t>
            </w:r>
            <w:r>
              <w:rPr>
                <w:rFonts w:ascii="Arial" w:cs="Arial" w:eastAsia="Arial" w:hAnsi="Arial"/>
                <w:b w:val="false"/>
                <w:bCs w:val="false"/>
                <w:i w:val="false"/>
                <w:iCs w:val="false"/>
                <w:color w:val="000000"/>
                <w:sz w:val="18"/>
                <w:szCs w:val="18"/>
              </w:rPr>
              <w:t xml:space="preserve">, to the extent the proceeds exceed the tax value. The recoupment is </w:t>
            </w:r>
            <w:r>
              <w:rPr>
                <w:rFonts w:ascii="Arial" w:cs="Arial" w:eastAsia="Arial" w:hAnsi="Arial"/>
                <w:b/>
                <w:bCs/>
                <w:i w:val="false"/>
                <w:iCs w:val="false"/>
                <w:color w:val="000000"/>
                <w:sz w:val="18"/>
                <w:szCs w:val="18"/>
              </w:rPr>
              <w:t xml:space="preserve">capped at the allowances actually claimed</w:t>
            </w:r>
            <w:r>
              <w:rPr>
                <w:rFonts w:ascii="Arial" w:cs="Arial" w:eastAsia="Arial" w:hAnsi="Arial"/>
                <w:b w:val="false"/>
                <w:bCs w:val="false"/>
                <w:i w:val="false"/>
                <w:iCs w:val="false"/>
                <w:color w:val="000000"/>
                <w:sz w:val="18"/>
                <w:szCs w:val="18"/>
              </w:rPr>
              <w:t xml:space="preserve">.</w:t>
            </w:r>
          </w:p>
          <w:p>
            <w:pPr>
              <w:pStyle w:val="ListParagraph"/>
              <w:numPr>
                <w:ilvl w:val="0"/>
                <w:numId w:val="2"/>
              </w:numPr>
              <w:spacing w:after="40" w:before="0" w:line="250" w:lineRule="auto"/>
            </w:pPr>
            <w:r>
              <w:rPr>
                <w:rFonts w:ascii="Arial" w:cs="Arial" w:eastAsia="Arial" w:hAnsi="Arial"/>
                <w:b w:val="false"/>
                <w:bCs w:val="false"/>
                <w:i w:val="false"/>
                <w:iCs w:val="false"/>
                <w:color w:val="000000"/>
                <w:sz w:val="18"/>
                <w:szCs w:val="18"/>
              </w:rPr>
              <w:t xml:space="preserve">Recoupment is taxed as </w:t>
            </w:r>
            <w:r>
              <w:rPr>
                <w:rFonts w:ascii="Arial" w:cs="Arial" w:eastAsia="Arial" w:hAnsi="Arial"/>
                <w:b/>
                <w:bCs/>
                <w:i w:val="false"/>
                <w:iCs w:val="false"/>
                <w:color w:val="000000"/>
                <w:sz w:val="18"/>
                <w:szCs w:val="18"/>
              </w:rPr>
              <w:t xml:space="preserve">ordinary income at 27%</w:t>
            </w:r>
            <w:r>
              <w:rPr>
                <w:rFonts w:ascii="Arial" w:cs="Arial" w:eastAsia="Arial" w:hAnsi="Arial"/>
                <w:b w:val="false"/>
                <w:bCs w:val="false"/>
                <w:i w:val="false"/>
                <w:iCs w:val="false"/>
                <w:color w:val="000000"/>
                <w:sz w:val="18"/>
                <w:szCs w:val="18"/>
              </w:rPr>
              <w:t xml:space="preserve">, not as a capital gain.</w:t>
            </w:r>
          </w:p>
          <w:p>
            <w:pPr>
              <w:pStyle w:val="ListParagraph"/>
              <w:numPr>
                <w:ilvl w:val="0"/>
                <w:numId w:val="2"/>
              </w:numPr>
              <w:spacing w:after="40" w:before="0" w:line="250" w:lineRule="auto"/>
            </w:pPr>
            <w:r>
              <w:rPr>
                <w:rFonts w:ascii="Arial" w:cs="Arial" w:eastAsia="Arial" w:hAnsi="Arial"/>
                <w:b/>
                <w:bCs/>
                <w:i w:val="false"/>
                <w:iCs w:val="false"/>
                <w:color w:val="000000"/>
                <w:sz w:val="18"/>
                <w:szCs w:val="18"/>
              </w:rPr>
              <w:t xml:space="preserve">s11(o) — scrapping allowance.</w:t>
            </w:r>
            <w:r>
              <w:rPr>
                <w:rFonts w:ascii="Arial" w:cs="Arial" w:eastAsia="Arial" w:hAnsi="Arial"/>
                <w:b w:val="false"/>
                <w:bCs w:val="false"/>
                <w:i w:val="false"/>
                <w:iCs w:val="false"/>
                <w:color w:val="000000"/>
                <w:sz w:val="18"/>
                <w:szCs w:val="18"/>
              </w:rPr>
              <w:t xml:space="preserve"> Where an asset with a write-off period </w:t>
            </w:r>
            <w:r>
              <w:rPr>
                <w:rFonts w:ascii="Arial" w:cs="Arial" w:eastAsia="Arial" w:hAnsi="Arial"/>
                <w:b/>
                <w:bCs/>
                <w:i w:val="false"/>
                <w:iCs w:val="false"/>
                <w:color w:val="000000"/>
                <w:sz w:val="18"/>
                <w:szCs w:val="18"/>
              </w:rPr>
              <w:t xml:space="preserve">not exceeding 10 years</w:t>
            </w:r>
            <w:r>
              <w:rPr>
                <w:rFonts w:ascii="Arial" w:cs="Arial" w:eastAsia="Arial" w:hAnsi="Arial"/>
                <w:b w:val="false"/>
                <w:bCs w:val="false"/>
                <w:i w:val="false"/>
                <w:iCs w:val="false"/>
                <w:color w:val="000000"/>
                <w:sz w:val="18"/>
                <w:szCs w:val="18"/>
              </w:rPr>
              <w:t xml:space="preserve"> is alienated, lost or destroyed for proceeds </w:t>
            </w:r>
            <w:r>
              <w:rPr>
                <w:rFonts w:ascii="Arial" w:cs="Arial" w:eastAsia="Arial" w:hAnsi="Arial"/>
                <w:b/>
                <w:bCs/>
                <w:i w:val="false"/>
                <w:iCs w:val="false"/>
                <w:color w:val="000000"/>
                <w:sz w:val="18"/>
                <w:szCs w:val="18"/>
              </w:rPr>
              <w:t xml:space="preserve">less than</w:t>
            </w:r>
            <w:r>
              <w:rPr>
                <w:rFonts w:ascii="Arial" w:cs="Arial" w:eastAsia="Arial" w:hAnsi="Arial"/>
                <w:b w:val="false"/>
                <w:bCs w:val="false"/>
                <w:i w:val="false"/>
                <w:iCs w:val="false"/>
                <w:color w:val="000000"/>
                <w:sz w:val="18"/>
                <w:szCs w:val="18"/>
              </w:rPr>
              <w:t xml:space="preserve"> its tax value, the shortfall may be deducted. Election required.</w:t>
            </w:r>
          </w:p>
          <w:p>
            <w:pPr>
              <w:pStyle w:val="ListParagraph"/>
              <w:numPr>
                <w:ilvl w:val="0"/>
                <w:numId w:val="2"/>
              </w:numPr>
              <w:spacing w:after="40" w:before="0" w:line="250" w:lineRule="auto"/>
            </w:pPr>
            <w:r>
              <w:rPr>
                <w:rFonts w:ascii="Arial" w:cs="Arial" w:eastAsia="Arial" w:hAnsi="Arial"/>
                <w:b/>
                <w:bCs/>
                <w:i w:val="false"/>
                <w:iCs w:val="false"/>
                <w:color w:val="000000"/>
                <w:sz w:val="18"/>
                <w:szCs w:val="18"/>
              </w:rPr>
              <w:t xml:space="preserve">Eighth Schedule — CGT.</w:t>
            </w:r>
            <w:r>
              <w:rPr>
                <w:rFonts w:ascii="Arial" w:cs="Arial" w:eastAsia="Arial" w:hAnsi="Arial"/>
                <w:b w:val="false"/>
                <w:bCs w:val="false"/>
                <w:i w:val="false"/>
                <w:iCs w:val="false"/>
                <w:color w:val="000000"/>
                <w:sz w:val="18"/>
                <w:szCs w:val="18"/>
              </w:rPr>
              <w:t xml:space="preserve"> Proceeds less base cost. </w:t>
            </w:r>
            <w:r>
              <w:rPr>
                <w:rFonts w:ascii="Arial" w:cs="Arial" w:eastAsia="Arial" w:hAnsi="Arial"/>
                <w:b/>
                <w:bCs/>
                <w:i w:val="false"/>
                <w:iCs w:val="false"/>
                <w:color w:val="000000"/>
                <w:sz w:val="18"/>
                <w:szCs w:val="18"/>
              </w:rPr>
              <w:t xml:space="preserve">Base cost is reduced by allowances claimed.</w:t>
            </w:r>
            <w:r>
              <w:rPr>
                <w:rFonts w:ascii="Arial" w:cs="Arial" w:eastAsia="Arial" w:hAnsi="Arial"/>
                <w:b w:val="false"/>
                <w:bCs w:val="false"/>
                <w:i w:val="false"/>
                <w:iCs w:val="false"/>
                <w:color w:val="000000"/>
                <w:sz w:val="18"/>
                <w:szCs w:val="18"/>
              </w:rPr>
              <w:t xml:space="preserve"> Any amount recouped under s8(4)(a) is excluded from proceeds for CGT, to avoid double taxation.</w:t>
            </w:r>
          </w:p>
          <w:p>
            <w:pPr>
              <w:pStyle w:val="ListParagraph"/>
              <w:numPr>
                <w:ilvl w:val="0"/>
                <w:numId w:val="2"/>
              </w:numPr>
              <w:spacing w:after="40" w:before="0" w:line="250" w:lineRule="auto"/>
            </w:pPr>
            <w:r>
              <w:rPr>
                <w:rFonts w:ascii="Arial" w:cs="Arial" w:eastAsia="Arial" w:hAnsi="Arial"/>
                <w:b/>
                <w:bCs/>
                <w:i w:val="false"/>
                <w:iCs w:val="false"/>
                <w:color w:val="000000"/>
                <w:sz w:val="18"/>
                <w:szCs w:val="18"/>
              </w:rPr>
              <w:t xml:space="preserve">Company CGT: inclusion rate 80%</w:t>
            </w:r>
            <w:r>
              <w:rPr>
                <w:rFonts w:ascii="Arial" w:cs="Arial" w:eastAsia="Arial" w:hAnsi="Arial"/>
                <w:b w:val="false"/>
                <w:bCs w:val="false"/>
                <w:i w:val="false"/>
                <w:iCs w:val="false"/>
                <w:color w:val="000000"/>
                <w:sz w:val="18"/>
                <w:szCs w:val="18"/>
              </w:rPr>
              <w:t xml:space="preserve">, taxed at 27% → </w:t>
            </w:r>
            <w:r>
              <w:rPr>
                <w:rFonts w:ascii="Arial" w:cs="Arial" w:eastAsia="Arial" w:hAnsi="Arial"/>
                <w:b/>
                <w:bCs/>
                <w:i w:val="false"/>
                <w:iCs w:val="false"/>
                <w:color w:val="000000"/>
                <w:sz w:val="18"/>
                <w:szCs w:val="18"/>
              </w:rPr>
              <w:t xml:space="preserve">effective 21.6%</w:t>
            </w:r>
            <w:r>
              <w:rPr>
                <w:rFonts w:ascii="Arial" w:cs="Arial" w:eastAsia="Arial" w:hAnsi="Arial"/>
                <w:b w:val="false"/>
                <w:bCs w:val="false"/>
                <w:i w:val="false"/>
                <w:iCs w:val="false"/>
                <w:color w:val="000000"/>
                <w:sz w:val="18"/>
                <w:szCs w:val="18"/>
              </w:rPr>
              <w:t xml:space="preserve">.</w:t>
            </w:r>
          </w:p>
          <w:p>
            <w:pPr>
              <w:pStyle w:val="ListParagraph"/>
              <w:numPr>
                <w:ilvl w:val="0"/>
                <w:numId w:val="2"/>
              </w:numPr>
              <w:spacing w:after="0" w:before="0" w:line="250" w:lineRule="auto"/>
            </w:pPr>
            <w:r>
              <w:rPr>
                <w:rFonts w:ascii="Arial" w:cs="Arial" w:eastAsia="Arial" w:hAnsi="Arial"/>
                <w:b/>
                <w:bCs/>
                <w:i w:val="false"/>
                <w:iCs w:val="false"/>
                <w:color w:val="000000"/>
                <w:sz w:val="18"/>
                <w:szCs w:val="18"/>
              </w:rPr>
              <w:t xml:space="preserve">s8(4)(nA)</w:t>
            </w:r>
            <w:r>
              <w:rPr>
                <w:rFonts w:ascii="Arial" w:cs="Arial" w:eastAsia="Arial" w:hAnsi="Arial"/>
                <w:b w:val="false"/>
                <w:bCs w:val="false"/>
                <w:i w:val="false"/>
                <w:iCs w:val="false"/>
                <w:color w:val="000000"/>
                <w:sz w:val="18"/>
                <w:szCs w:val="18"/>
              </w:rPr>
              <w:t xml:space="preserve"> applies instead for assets on which s12BA was claimed — see Table 2.</w:t>
            </w:r>
          </w:p>
        </w:tc>
        <w:tc>
          <w:tcPr>
            <w:tcW w:type="dxa" w:w="5974"/>
            <w:tcBorders>
              <w:top w:val="single" w:color="888888" w:sz="4"/>
              <w:left w:val="single" w:color="888888" w:sz="4"/>
              <w:bottom w:val="single" w:color="888888" w:sz="4"/>
              <w:right w:val="single" w:color="888888" w:sz="4"/>
            </w:tcBorders>
            <w:tcMar>
              <w:top w:type="dxa" w:w="60"/>
              <w:left w:type="dxa" w:w="80"/>
              <w:bottom w:type="dxa" w:w="60"/>
              <w:right w:type="dxa" w:w="80"/>
            </w:tcMar>
          </w:tcPr>
          <w:p>
            <w:pPr>
              <w:pStyle w:val="ListParagraph"/>
              <w:numPr>
                <w:ilvl w:val="0"/>
                <w:numId w:val="2"/>
              </w:numPr>
              <w:spacing w:after="40" w:before="0" w:line="250" w:lineRule="auto"/>
            </w:pPr>
            <w:r>
              <w:rPr>
                <w:rFonts w:ascii="Arial" w:cs="Arial" w:eastAsia="Arial" w:hAnsi="Arial"/>
                <w:b/>
                <w:bCs/>
                <w:i w:val="false"/>
                <w:iCs w:val="false"/>
                <w:color w:val="0070C0"/>
                <w:sz w:val="18"/>
                <w:szCs w:val="18"/>
              </w:rPr>
              <w:t xml:space="preserve">When this bites for Axion:</w:t>
            </w:r>
            <w:r>
              <w:rPr>
                <w:rFonts w:ascii="Arial" w:cs="Arial" w:eastAsia="Arial" w:hAnsi="Arial"/>
                <w:b w:val="false"/>
                <w:bCs w:val="false"/>
                <w:i w:val="false"/>
                <w:iCs w:val="false"/>
                <w:color w:val="0070C0"/>
                <w:sz w:val="18"/>
                <w:szCs w:val="18"/>
              </w:rPr>
              <w:t xml:space="preserve"> sale of generation plant, replacement of cooling or UPS equipment during an upgrade, or disposal of the undeveloped land (trigger 2).</w:t>
            </w:r>
          </w:p>
          <w:p>
            <w:pPr>
              <w:pStyle w:val="ListParagraph"/>
              <w:numPr>
                <w:ilvl w:val="0"/>
                <w:numId w:val="2"/>
              </w:numPr>
              <w:spacing w:after="40" w:before="0" w:line="250" w:lineRule="auto"/>
            </w:pPr>
            <w:r>
              <w:rPr>
                <w:rFonts w:ascii="Arial" w:cs="Arial" w:eastAsia="Arial" w:hAnsi="Arial"/>
                <w:b/>
                <w:bCs/>
                <w:i w:val="false"/>
                <w:iCs w:val="false"/>
                <w:color w:val="0070C0"/>
                <w:sz w:val="18"/>
                <w:szCs w:val="18"/>
              </w:rPr>
              <w:t xml:space="preserve">Worked example 1 — Project X plant sold below cost.</w:t>
            </w:r>
            <w:r>
              <w:rPr>
                <w:rFonts w:ascii="Arial" w:cs="Arial" w:eastAsia="Arial" w:hAnsi="Arial"/>
                <w:b w:val="false"/>
                <w:bCs w:val="false"/>
                <w:i w:val="false"/>
                <w:iCs w:val="false"/>
                <w:color w:val="0070C0"/>
                <w:sz w:val="18"/>
                <w:szCs w:val="18"/>
              </w:rPr>
              <w:t xml:space="preserve"> Assume the R450m plant is sold in FY2032 for R200m. By FY2029 the allowances are fully claimed, so the </w:t>
            </w:r>
            <w:r>
              <w:rPr>
                <w:rFonts w:ascii="Arial" w:cs="Arial" w:eastAsia="Arial" w:hAnsi="Arial"/>
                <w:b/>
                <w:bCs/>
                <w:i w:val="false"/>
                <w:iCs w:val="false"/>
                <w:color w:val="0070C0"/>
                <w:sz w:val="18"/>
                <w:szCs w:val="18"/>
              </w:rPr>
              <w:t xml:space="preserve">tax value is nil</w:t>
            </w:r>
            <w:r>
              <w:rPr>
                <w:rFonts w:ascii="Arial" w:cs="Arial" w:eastAsia="Arial" w:hAnsi="Arial"/>
                <w:b w:val="false"/>
                <w:bCs w:val="false"/>
                <w:i w:val="false"/>
                <w:iCs w:val="false"/>
                <w:color w:val="0070C0"/>
                <w:sz w:val="18"/>
                <w:szCs w:val="18"/>
              </w:rPr>
              <w:t xml:space="preserve">.</w:t>
            </w:r>
          </w:p>
          <w:p>
            <w:pPr>
              <w:pStyle w:val="ListParagraph"/>
              <w:numPr>
                <w:ilvl w:val="0"/>
                <w:numId w:val="2"/>
              </w:numPr>
              <w:spacing w:after="40" w:before="0" w:line="250" w:lineRule="auto"/>
            </w:pPr>
            <w:r>
              <w:rPr>
                <w:rFonts w:ascii="Arial" w:cs="Arial" w:eastAsia="Arial" w:hAnsi="Arial"/>
                <w:b w:val="false"/>
                <w:bCs w:val="false"/>
                <w:i w:val="false"/>
                <w:iCs w:val="false"/>
                <w:color w:val="0070C0"/>
                <w:sz w:val="18"/>
                <w:szCs w:val="18"/>
              </w:rPr>
              <w:t xml:space="preserve">Recoupment = lesser of (proceeds R200m − tax value nil) and allowances claimed R450m = </w:t>
            </w:r>
            <w:r>
              <w:rPr>
                <w:rFonts w:ascii="Arial" w:cs="Arial" w:eastAsia="Arial" w:hAnsi="Arial"/>
                <w:b/>
                <w:bCs/>
                <w:i w:val="false"/>
                <w:iCs w:val="false"/>
                <w:color w:val="0070C0"/>
                <w:sz w:val="18"/>
                <w:szCs w:val="18"/>
              </w:rPr>
              <w:t xml:space="preserve">R200m</w:t>
            </w:r>
            <w:r>
              <w:rPr>
                <w:rFonts w:ascii="Arial" w:cs="Arial" w:eastAsia="Arial" w:hAnsi="Arial"/>
                <w:b w:val="false"/>
                <w:bCs w:val="false"/>
                <w:i w:val="false"/>
                <w:iCs w:val="false"/>
                <w:color w:val="0070C0"/>
                <w:sz w:val="18"/>
                <w:szCs w:val="18"/>
              </w:rPr>
              <w:t xml:space="preserve"> into income · tax at 27% = </w:t>
            </w:r>
            <w:r>
              <w:rPr>
                <w:rFonts w:ascii="Arial" w:cs="Arial" w:eastAsia="Arial" w:hAnsi="Arial"/>
                <w:b/>
                <w:bCs/>
                <w:i w:val="false"/>
                <w:iCs w:val="false"/>
                <w:color w:val="0070C0"/>
                <w:sz w:val="18"/>
                <w:szCs w:val="18"/>
              </w:rPr>
              <w:t xml:space="preserve">R54.0m</w:t>
            </w:r>
          </w:p>
          <w:p>
            <w:pPr>
              <w:pStyle w:val="ListParagraph"/>
              <w:numPr>
                <w:ilvl w:val="0"/>
                <w:numId w:val="2"/>
              </w:numPr>
              <w:spacing w:after="40" w:before="0" w:line="250" w:lineRule="auto"/>
            </w:pPr>
            <w:r>
              <w:rPr>
                <w:rFonts w:ascii="Arial" w:cs="Arial" w:eastAsia="Arial" w:hAnsi="Arial"/>
                <w:b w:val="false"/>
                <w:bCs w:val="false"/>
                <w:i w:val="false"/>
                <w:iCs w:val="false"/>
                <w:color w:val="0070C0"/>
                <w:sz w:val="18"/>
                <w:szCs w:val="18"/>
              </w:rPr>
              <w:t xml:space="preserve">Proceeds of R200m are below original cost of R450m, so </w:t>
            </w:r>
            <w:r>
              <w:rPr>
                <w:rFonts w:ascii="Arial" w:cs="Arial" w:eastAsia="Arial" w:hAnsi="Arial"/>
                <w:b/>
                <w:bCs/>
                <w:i w:val="false"/>
                <w:iCs w:val="false"/>
                <w:color w:val="0070C0"/>
                <w:sz w:val="18"/>
                <w:szCs w:val="18"/>
              </w:rPr>
              <w:t xml:space="preserve">no capital gain</w:t>
            </w:r>
            <w:r>
              <w:rPr>
                <w:rFonts w:ascii="Arial" w:cs="Arial" w:eastAsia="Arial" w:hAnsi="Arial"/>
                <w:b w:val="false"/>
                <w:bCs w:val="false"/>
                <w:i w:val="false"/>
                <w:iCs w:val="false"/>
                <w:color w:val="0070C0"/>
                <w:sz w:val="18"/>
                <w:szCs w:val="18"/>
              </w:rPr>
              <w:t xml:space="preserve"> arises.</w:t>
            </w:r>
          </w:p>
          <w:p>
            <w:pPr>
              <w:pStyle w:val="ListParagraph"/>
              <w:numPr>
                <w:ilvl w:val="0"/>
                <w:numId w:val="2"/>
              </w:numPr>
              <w:spacing w:after="40" w:before="0" w:line="250" w:lineRule="auto"/>
            </w:pPr>
            <w:r>
              <w:rPr>
                <w:rFonts w:ascii="Arial" w:cs="Arial" w:eastAsia="Arial" w:hAnsi="Arial"/>
                <w:b/>
                <w:bCs/>
                <w:i w:val="false"/>
                <w:iCs w:val="false"/>
                <w:color w:val="0070C0"/>
                <w:sz w:val="18"/>
                <w:szCs w:val="18"/>
              </w:rPr>
              <w:t xml:space="preserve">Worked example 2 — sold above cost.</w:t>
            </w:r>
            <w:r>
              <w:rPr>
                <w:rFonts w:ascii="Arial" w:cs="Arial" w:eastAsia="Arial" w:hAnsi="Arial"/>
                <w:b w:val="false"/>
                <w:bCs w:val="false"/>
                <w:i w:val="false"/>
                <w:iCs w:val="false"/>
                <w:color w:val="0070C0"/>
                <w:sz w:val="18"/>
                <w:szCs w:val="18"/>
              </w:rPr>
              <w:t xml:space="preserve"> Assume sold for R500m instead:</w:t>
            </w:r>
          </w:p>
          <w:p>
            <w:pPr>
              <w:pStyle w:val="ListParagraph"/>
              <w:numPr>
                <w:ilvl w:val="0"/>
                <w:numId w:val="2"/>
              </w:numPr>
              <w:spacing w:after="40" w:before="0" w:line="250" w:lineRule="auto"/>
            </w:pPr>
            <w:r>
              <w:rPr>
                <w:rFonts w:ascii="Arial" w:cs="Arial" w:eastAsia="Arial" w:hAnsi="Arial"/>
                <w:b w:val="false"/>
                <w:bCs w:val="false"/>
                <w:i w:val="false"/>
                <w:iCs w:val="false"/>
                <w:color w:val="0070C0"/>
                <w:sz w:val="18"/>
                <w:szCs w:val="18"/>
              </w:rPr>
              <w:t xml:space="preserve">Recoupment capped at allowances claimed = </w:t>
            </w:r>
            <w:r>
              <w:rPr>
                <w:rFonts w:ascii="Arial" w:cs="Arial" w:eastAsia="Arial" w:hAnsi="Arial"/>
                <w:b/>
                <w:bCs/>
                <w:i w:val="false"/>
                <w:iCs w:val="false"/>
                <w:color w:val="0070C0"/>
                <w:sz w:val="18"/>
                <w:szCs w:val="18"/>
              </w:rPr>
              <w:t xml:space="preserve">R450m</w:t>
            </w:r>
            <w:r>
              <w:rPr>
                <w:rFonts w:ascii="Arial" w:cs="Arial" w:eastAsia="Arial" w:hAnsi="Arial"/>
                <w:b w:val="false"/>
                <w:bCs w:val="false"/>
                <w:i w:val="false"/>
                <w:iCs w:val="false"/>
                <w:color w:val="0070C0"/>
                <w:sz w:val="18"/>
                <w:szCs w:val="18"/>
              </w:rPr>
              <w:t xml:space="preserve"> into income · tax at 27% = </w:t>
            </w:r>
            <w:r>
              <w:rPr>
                <w:rFonts w:ascii="Arial" w:cs="Arial" w:eastAsia="Arial" w:hAnsi="Arial"/>
                <w:b/>
                <w:bCs/>
                <w:i w:val="false"/>
                <w:iCs w:val="false"/>
                <w:color w:val="0070C0"/>
                <w:sz w:val="18"/>
                <w:szCs w:val="18"/>
              </w:rPr>
              <w:t xml:space="preserve">R121.5m</w:t>
            </w:r>
          </w:p>
          <w:p>
            <w:pPr>
              <w:pStyle w:val="ListParagraph"/>
              <w:numPr>
                <w:ilvl w:val="0"/>
                <w:numId w:val="2"/>
              </w:numPr>
              <w:spacing w:after="40" w:before="0" w:line="250" w:lineRule="auto"/>
            </w:pPr>
            <w:r>
              <w:rPr>
                <w:rFonts w:ascii="Arial" w:cs="Arial" w:eastAsia="Arial" w:hAnsi="Arial"/>
                <w:b w:val="false"/>
                <w:bCs w:val="false"/>
                <w:i w:val="false"/>
                <w:iCs w:val="false"/>
                <w:color w:val="0070C0"/>
                <w:sz w:val="18"/>
                <w:szCs w:val="18"/>
              </w:rPr>
              <w:t xml:space="preserve">Capital gain = proceeds R500m − cost R450m = </w:t>
            </w:r>
            <w:r>
              <w:rPr>
                <w:rFonts w:ascii="Arial" w:cs="Arial" w:eastAsia="Arial" w:hAnsi="Arial"/>
                <w:b/>
                <w:bCs/>
                <w:i w:val="false"/>
                <w:iCs w:val="false"/>
                <w:color w:val="0070C0"/>
                <w:sz w:val="18"/>
                <w:szCs w:val="18"/>
              </w:rPr>
              <w:t xml:space="preserve">R50m</w:t>
            </w:r>
            <w:r>
              <w:rPr>
                <w:rFonts w:ascii="Arial" w:cs="Arial" w:eastAsia="Arial" w:hAnsi="Arial"/>
                <w:b w:val="false"/>
                <w:bCs w:val="false"/>
                <w:i w:val="false"/>
                <w:iCs w:val="false"/>
                <w:color w:val="0070C0"/>
                <w:sz w:val="18"/>
                <w:szCs w:val="18"/>
              </w:rPr>
              <w:t xml:space="preserve"> · inclusion 80% = R40m · tax at 27% = </w:t>
            </w:r>
            <w:r>
              <w:rPr>
                <w:rFonts w:ascii="Arial" w:cs="Arial" w:eastAsia="Arial" w:hAnsi="Arial"/>
                <w:b/>
                <w:bCs/>
                <w:i w:val="false"/>
                <w:iCs w:val="false"/>
                <w:color w:val="0070C0"/>
                <w:sz w:val="18"/>
                <w:szCs w:val="18"/>
              </w:rPr>
              <w:t xml:space="preserve">R10.8m</w:t>
            </w:r>
            <w:r>
              <w:rPr>
                <w:rFonts w:ascii="Arial" w:cs="Arial" w:eastAsia="Arial" w:hAnsi="Arial"/>
                <w:b w:val="false"/>
                <w:bCs w:val="false"/>
                <w:i w:val="false"/>
                <w:iCs w:val="false"/>
                <w:color w:val="0070C0"/>
                <w:sz w:val="18"/>
                <w:szCs w:val="18"/>
              </w:rPr>
              <w:t xml:space="preserve"> (effective 21.6%)</w:t>
            </w:r>
          </w:p>
          <w:p>
            <w:pPr>
              <w:pStyle w:val="ListParagraph"/>
              <w:numPr>
                <w:ilvl w:val="0"/>
                <w:numId w:val="2"/>
              </w:numPr>
              <w:spacing w:after="40" w:before="0" w:line="250" w:lineRule="auto"/>
            </w:pPr>
            <w:r>
              <w:rPr>
                <w:rFonts w:ascii="Arial" w:cs="Arial" w:eastAsia="Arial" w:hAnsi="Arial"/>
                <w:b w:val="false"/>
                <w:bCs w:val="false"/>
                <w:i w:val="false"/>
                <w:iCs w:val="false"/>
                <w:color w:val="0070C0"/>
                <w:sz w:val="18"/>
                <w:szCs w:val="18"/>
              </w:rPr>
              <w:t xml:space="preserve">Total tax on disposal </w:t>
            </w:r>
            <w:r>
              <w:rPr>
                <w:rFonts w:ascii="Arial" w:cs="Arial" w:eastAsia="Arial" w:hAnsi="Arial"/>
                <w:b/>
                <w:bCs/>
                <w:i w:val="false"/>
                <w:iCs w:val="false"/>
                <w:color w:val="0070C0"/>
                <w:sz w:val="18"/>
                <w:szCs w:val="18"/>
              </w:rPr>
              <w:t xml:space="preserve">R132.3m</w:t>
            </w:r>
            <w:r>
              <w:rPr>
                <w:rFonts w:ascii="Arial" w:cs="Arial" w:eastAsia="Arial" w:hAnsi="Arial"/>
                <w:b w:val="false"/>
                <w:bCs w:val="false"/>
                <w:i w:val="false"/>
                <w:iCs w:val="false"/>
                <w:color w:val="0070C0"/>
                <w:sz w:val="18"/>
                <w:szCs w:val="18"/>
              </w:rPr>
              <w:t xml:space="preserve">. Note the accelerated allowances were a </w:t>
            </w:r>
            <w:r>
              <w:rPr>
                <w:rFonts w:ascii="Arial" w:cs="Arial" w:eastAsia="Arial" w:hAnsi="Arial"/>
                <w:b/>
                <w:bCs/>
                <w:i w:val="false"/>
                <w:iCs w:val="false"/>
                <w:color w:val="0070C0"/>
                <w:sz w:val="18"/>
                <w:szCs w:val="18"/>
              </w:rPr>
              <w:t xml:space="preserve">deferral</w:t>
            </w:r>
            <w:r>
              <w:rPr>
                <w:rFonts w:ascii="Arial" w:cs="Arial" w:eastAsia="Arial" w:hAnsi="Arial"/>
                <w:b w:val="false"/>
                <w:bCs w:val="false"/>
                <w:i w:val="false"/>
                <w:iCs w:val="false"/>
                <w:color w:val="0070C0"/>
                <w:sz w:val="18"/>
                <w:szCs w:val="18"/>
              </w:rPr>
              <w:t xml:space="preserve">, not a permanent saving — the full R450m comes back. Say this; it is the point a board most often misunderstands.</w:t>
            </w:r>
          </w:p>
          <w:p>
            <w:pPr>
              <w:pStyle w:val="ListParagraph"/>
              <w:numPr>
                <w:ilvl w:val="0"/>
                <w:numId w:val="2"/>
              </w:numPr>
              <w:spacing w:after="40" w:before="0" w:line="250" w:lineRule="auto"/>
            </w:pPr>
            <w:r>
              <w:rPr>
                <w:rFonts w:ascii="Arial" w:cs="Arial" w:eastAsia="Arial" w:hAnsi="Arial"/>
                <w:b/>
                <w:bCs/>
                <w:i w:val="false"/>
                <w:iCs w:val="false"/>
                <w:color w:val="0070C0"/>
                <w:sz w:val="18"/>
                <w:szCs w:val="18"/>
              </w:rPr>
              <w:t xml:space="preserve">s11(o) is unlikely to help here.</w:t>
            </w:r>
            <w:r>
              <w:rPr>
                <w:rFonts w:ascii="Arial" w:cs="Arial" w:eastAsia="Arial" w:hAnsi="Arial"/>
                <w:b w:val="false"/>
                <w:bCs w:val="false"/>
                <w:i w:val="false"/>
                <w:iCs w:val="false"/>
                <w:color w:val="0070C0"/>
                <w:sz w:val="18"/>
                <w:szCs w:val="18"/>
              </w:rPr>
              <w:t xml:space="preserve"> It requires a write-off period not exceeding 10 years. Generation plant written off over three years under s12B has no remaining tax value to scrap, and long-life infrastructure will usually exceed 10 years. Consider it, then rule it out with a reason.</w:t>
            </w:r>
          </w:p>
          <w:p>
            <w:pPr>
              <w:pStyle w:val="ListParagraph"/>
              <w:numPr>
                <w:ilvl w:val="0"/>
                <w:numId w:val="2"/>
              </w:numPr>
              <w:spacing w:after="0" w:before="0" w:line="250" w:lineRule="auto"/>
            </w:pPr>
            <w:r>
              <w:rPr>
                <w:rFonts w:ascii="Arial" w:cs="Arial" w:eastAsia="Arial" w:hAnsi="Arial"/>
                <w:b/>
                <w:bCs/>
                <w:i w:val="false"/>
                <w:iCs w:val="false"/>
                <w:color w:val="0070C0"/>
                <w:sz w:val="18"/>
                <w:szCs w:val="18"/>
              </w:rPr>
              <w:t xml:space="preserve">[WAITING FOR INPUT — information on the day]:</w:t>
            </w:r>
            <w:r>
              <w:rPr>
                <w:rFonts w:ascii="Arial" w:cs="Arial" w:eastAsia="Arial" w:hAnsi="Arial"/>
                <w:b w:val="false"/>
                <w:bCs w:val="false"/>
                <w:i w:val="false"/>
                <w:iCs w:val="false"/>
                <w:color w:val="0070C0"/>
                <w:sz w:val="18"/>
                <w:szCs w:val="18"/>
              </w:rPr>
              <w:t xml:space="preserve"> proceeds, date of disposal, tax value at disposal, and which section the original allowance was claimed under — because s12BA assets follow s8(4)(nA), not s8(4)(a).</w:t>
            </w:r>
          </w:p>
        </w:tc>
      </w:tr>
    </w:tbl>
    <w:p>
      <w:pPr>
        <w:keepNext w:val="false"/>
        <w:spacing w:after="0" w:before="0" w:line="250" w:lineRule="auto"/>
      </w:pPr>
      <w:r>
        <w:rPr>
          <w:rFonts w:ascii="Arial" w:cs="Arial" w:eastAsia="Arial" w:hAnsi="Arial"/>
          <w:sz w:val="12"/>
          <w:szCs w:val="12"/>
        </w:rPr>
        <w:t xml:space="preserve"/>
      </w:r>
    </w:p>
    <w:p>
      <w:pPr>
        <w:keepNext/>
        <w:pBdr>
          <w:bottom w:val="single" w:color="000000" w:sz="8" w:space="2"/>
        </w:pBdr>
        <w:spacing w:after="110" w:before="260" w:line="250" w:lineRule="auto"/>
      </w:pPr>
      <w:r>
        <w:rPr>
          <w:rFonts w:ascii="Arial" w:cs="Arial" w:eastAsia="Arial" w:hAnsi="Arial"/>
          <w:b/>
          <w:bCs/>
          <w:i w:val="false"/>
          <w:iCs w:val="false"/>
          <w:color w:val="000000"/>
          <w:sz w:val="26"/>
          <w:szCs w:val="26"/>
        </w:rPr>
        <w:t xml:space="preserve">E. Who claims the allowance — the structuring question</w:t>
      </w:r>
    </w:p>
    <w:p>
      <w:pPr>
        <w:keepNext w:val="false"/>
        <w:spacing w:after="100" w:before="0" w:line="250" w:lineRule="auto"/>
      </w:pPr>
      <w:r>
        <w:rPr>
          <w:rFonts w:ascii="Arial" w:cs="Arial" w:eastAsia="Arial" w:hAnsi="Arial"/>
          <w:b w:val="false"/>
          <w:bCs w:val="false"/>
          <w:i/>
          <w:iCs/>
          <w:color w:val="000000"/>
          <w:sz w:val="18"/>
          <w:szCs w:val="18"/>
        </w:rPr>
        <w:t xml:space="preserve">This is the highest-value point on the whole trigger. Document 7 says direct investment would be made "potentially with an experienced technical partner", and the structure chosen decides who gets the deduction.</w:t>
      </w:r>
    </w:p>
    <w:p>
      <w:pPr>
        <w:keepNext/>
        <w:spacing w:after="70" w:before="200" w:line="250" w:lineRule="auto"/>
      </w:pPr>
      <w:r>
        <w:rPr>
          <w:rFonts w:ascii="Arial" w:cs="Arial" w:eastAsia="Arial" w:hAnsi="Arial"/>
          <w:b/>
          <w:bCs/>
          <w:i w:val="false"/>
          <w:iCs w:val="false"/>
          <w:color w:val="000000"/>
          <w:sz w:val="22"/>
          <w:szCs w:val="22"/>
        </w:rPr>
        <w:t xml:space="preserve">Table 14 — Ownership, partnerships and project companies</w:t>
      </w:r>
    </w:p>
    <w:tbl>
      <w:tblPr>
        <w:tblW w:type="dxa" w:w="10300"/>
        <w:tblBorders>
          <w:top w:val="single" w:color="auto" w:sz="4"/>
          <w:left w:val="single" w:color="auto" w:sz="4"/>
          <w:bottom w:val="single" w:color="auto" w:sz="4"/>
          <w:right w:val="single" w:color="auto" w:sz="4"/>
          <w:insideH w:val="single" w:color="auto" w:sz="4"/>
          <w:insideV w:val="single" w:color="auto" w:sz="4"/>
        </w:tblBorders>
      </w:tblPr>
      <w:tblGrid>
        <w:gridCol w:w="4326"/>
        <w:gridCol w:w="5974"/>
      </w:tblGrid>
      <w:tr>
        <w:trPr>
          <w:tblHeader/>
        </w:trPr>
        <w:tc>
          <w:tcPr>
            <w:tcW w:type="dxa" w:w="4326"/>
            <w:tcBorders>
              <w:top w:val="single" w:color="888888" w:sz="4"/>
              <w:left w:val="single" w:color="888888" w:sz="4"/>
              <w:bottom w:val="single" w:color="888888" w:sz="4"/>
              <w:right w:val="single" w:color="888888" w:sz="4"/>
            </w:tcBorders>
            <w:shd w:fill="E8E8E8" w:val="clear"/>
            <w:tcMar>
              <w:top w:type="dxa" w:w="60"/>
              <w:left w:type="dxa" w:w="80"/>
              <w:bottom w:type="dxa" w:w="60"/>
              <w:right w:type="dxa" w:w="80"/>
            </w:tcMar>
            <w:vAlign w:val="center"/>
          </w:tcPr>
          <w:p>
            <w:pPr>
              <w:keepNext w:val="false"/>
              <w:spacing w:after="0" w:before="0" w:line="250" w:lineRule="auto"/>
            </w:pPr>
            <w:r>
              <w:rPr>
                <w:rFonts w:ascii="Arial" w:cs="Arial" w:eastAsia="Arial" w:hAnsi="Arial"/>
                <w:b/>
                <w:bCs/>
                <w:i w:val="false"/>
                <w:iCs w:val="false"/>
                <w:color w:val="000000"/>
                <w:sz w:val="18"/>
                <w:szCs w:val="18"/>
              </w:rPr>
              <w:t xml:space="preserve">Legislation — what the Act says</w:t>
            </w:r>
          </w:p>
        </w:tc>
        <w:tc>
          <w:tcPr>
            <w:tcW w:type="dxa" w:w="5974"/>
            <w:tcBorders>
              <w:top w:val="single" w:color="888888" w:sz="4"/>
              <w:left w:val="single" w:color="888888" w:sz="4"/>
              <w:bottom w:val="single" w:color="888888" w:sz="4"/>
              <w:right w:val="single" w:color="888888" w:sz="4"/>
            </w:tcBorders>
            <w:shd w:fill="E8E8E8" w:val="clear"/>
            <w:tcMar>
              <w:top w:type="dxa" w:w="60"/>
              <w:left w:type="dxa" w:w="80"/>
              <w:bottom w:type="dxa" w:w="60"/>
              <w:right w:type="dxa" w:w="80"/>
            </w:tcMar>
            <w:vAlign w:val="center"/>
          </w:tcPr>
          <w:p>
            <w:pPr>
              <w:keepNext w:val="false"/>
              <w:spacing w:after="0" w:before="0" w:line="250" w:lineRule="auto"/>
            </w:pPr>
            <w:r>
              <w:rPr>
                <w:rFonts w:ascii="Arial" w:cs="Arial" w:eastAsia="Arial" w:hAnsi="Arial"/>
                <w:b/>
                <w:bCs/>
                <w:i w:val="false"/>
                <w:iCs w:val="false"/>
                <w:color w:val="000000"/>
                <w:sz w:val="18"/>
                <w:szCs w:val="18"/>
              </w:rPr>
              <w:t xml:space="preserve">Application to Axion — tax consequences</w:t>
            </w:r>
          </w:p>
        </w:tc>
      </w:tr>
      <w:tr>
        <w:tc>
          <w:tcPr>
            <w:tcW w:type="dxa" w:w="4326"/>
            <w:tcBorders>
              <w:top w:val="single" w:color="888888" w:sz="4"/>
              <w:left w:val="single" w:color="888888" w:sz="4"/>
              <w:bottom w:val="single" w:color="888888" w:sz="4"/>
              <w:right w:val="single" w:color="888888" w:sz="4"/>
            </w:tcBorders>
            <w:tcMar>
              <w:top w:type="dxa" w:w="60"/>
              <w:left w:type="dxa" w:w="80"/>
              <w:bottom w:type="dxa" w:w="60"/>
              <w:right w:type="dxa" w:w="80"/>
            </w:tcMar>
          </w:tcPr>
          <w:p>
            <w:pPr>
              <w:pStyle w:val="ListParagraph"/>
              <w:numPr>
                <w:ilvl w:val="0"/>
                <w:numId w:val="2"/>
              </w:numPr>
              <w:spacing w:after="40" w:before="0" w:line="250" w:lineRule="auto"/>
            </w:pPr>
            <w:r>
              <w:rPr>
                <w:rFonts w:ascii="Arial" w:cs="Arial" w:eastAsia="Arial" w:hAnsi="Arial"/>
                <w:b/>
                <w:bCs/>
                <w:i w:val="false"/>
                <w:iCs w:val="false"/>
                <w:color w:val="000000"/>
                <w:sz w:val="18"/>
                <w:szCs w:val="18"/>
              </w:rPr>
              <w:t xml:space="preserve">The four elements must sit in the same taxpayer.</w:t>
            </w:r>
            <w:r>
              <w:rPr>
                <w:rFonts w:ascii="Arial" w:cs="Arial" w:eastAsia="Arial" w:hAnsi="Arial"/>
                <w:b w:val="false"/>
                <w:bCs w:val="false"/>
                <w:i w:val="false"/>
                <w:iCs w:val="false"/>
                <w:color w:val="000000"/>
                <w:sz w:val="18"/>
                <w:szCs w:val="18"/>
              </w:rPr>
              <w:t xml:space="preserve"> The allowance goes to the person who </w:t>
            </w:r>
            <w:r>
              <w:rPr>
                <w:rFonts w:ascii="Arial" w:cs="Arial" w:eastAsia="Arial" w:hAnsi="Arial"/>
                <w:b/>
                <w:bCs/>
                <w:i w:val="false"/>
                <w:iCs w:val="false"/>
                <w:color w:val="000000"/>
                <w:sz w:val="18"/>
                <w:szCs w:val="18"/>
              </w:rPr>
              <w:t xml:space="preserve">owns</w:t>
            </w:r>
            <w:r>
              <w:rPr>
                <w:rFonts w:ascii="Arial" w:cs="Arial" w:eastAsia="Arial" w:hAnsi="Arial"/>
                <w:b w:val="false"/>
                <w:bCs w:val="false"/>
                <w:i w:val="false"/>
                <w:iCs w:val="false"/>
                <w:color w:val="000000"/>
                <w:sz w:val="18"/>
                <w:szCs w:val="18"/>
              </w:rPr>
              <w:t xml:space="preserve"> the asset, </w:t>
            </w:r>
            <w:r>
              <w:rPr>
                <w:rFonts w:ascii="Arial" w:cs="Arial" w:eastAsia="Arial" w:hAnsi="Arial"/>
                <w:b/>
                <w:bCs/>
                <w:i w:val="false"/>
                <w:iCs w:val="false"/>
                <w:color w:val="000000"/>
                <w:sz w:val="18"/>
                <w:szCs w:val="18"/>
              </w:rPr>
              <w:t xml:space="preserve">brings it into use</w:t>
            </w:r>
            <w:r>
              <w:rPr>
                <w:rFonts w:ascii="Arial" w:cs="Arial" w:eastAsia="Arial" w:hAnsi="Arial"/>
                <w:b w:val="false"/>
                <w:bCs w:val="false"/>
                <w:i w:val="false"/>
                <w:iCs w:val="false"/>
                <w:color w:val="000000"/>
                <w:sz w:val="18"/>
                <w:szCs w:val="18"/>
              </w:rPr>
              <w:t xml:space="preserve">, uses it in </w:t>
            </w:r>
            <w:r>
              <w:rPr>
                <w:rFonts w:ascii="Arial" w:cs="Arial" w:eastAsia="Arial" w:hAnsi="Arial"/>
                <w:b/>
                <w:bCs/>
                <w:i w:val="false"/>
                <w:iCs w:val="false"/>
                <w:color w:val="000000"/>
                <w:sz w:val="18"/>
                <w:szCs w:val="18"/>
              </w:rPr>
              <w:t xml:space="preserve">that person’s own trade</w:t>
            </w:r>
            <w:r>
              <w:rPr>
                <w:rFonts w:ascii="Arial" w:cs="Arial" w:eastAsia="Arial" w:hAnsi="Arial"/>
                <w:b w:val="false"/>
                <w:bCs w:val="false"/>
                <w:i w:val="false"/>
                <w:iCs w:val="false"/>
                <w:color w:val="000000"/>
                <w:sz w:val="18"/>
                <w:szCs w:val="18"/>
              </w:rPr>
              <w:t xml:space="preserve">, and does so </w:t>
            </w:r>
            <w:r>
              <w:rPr>
                <w:rFonts w:ascii="Arial" w:cs="Arial" w:eastAsia="Arial" w:hAnsi="Arial"/>
                <w:b/>
                <w:bCs/>
                <w:i w:val="false"/>
                <w:iCs w:val="false"/>
                <w:color w:val="000000"/>
                <w:sz w:val="18"/>
                <w:szCs w:val="18"/>
              </w:rPr>
              <w:t xml:space="preserve">in the production of income</w:t>
            </w:r>
            <w:r>
              <w:rPr>
                <w:rFonts w:ascii="Arial" w:cs="Arial" w:eastAsia="Arial" w:hAnsi="Arial"/>
                <w:b w:val="false"/>
                <w:bCs w:val="false"/>
                <w:i w:val="false"/>
                <w:iCs w:val="false"/>
                <w:color w:val="000000"/>
                <w:sz w:val="18"/>
                <w:szCs w:val="18"/>
              </w:rPr>
              <w:t xml:space="preserve">.</w:t>
            </w:r>
          </w:p>
          <w:p>
            <w:pPr>
              <w:pStyle w:val="ListParagraph"/>
              <w:numPr>
                <w:ilvl w:val="0"/>
                <w:numId w:val="2"/>
              </w:numPr>
              <w:spacing w:after="40" w:before="0" w:line="250" w:lineRule="auto"/>
            </w:pPr>
            <w:r>
              <w:rPr>
                <w:rFonts w:ascii="Arial" w:cs="Arial" w:eastAsia="Arial" w:hAnsi="Arial"/>
                <w:b/>
                <w:bCs/>
                <w:i w:val="false"/>
                <w:iCs w:val="false"/>
                <w:color w:val="000000"/>
                <w:sz w:val="18"/>
                <w:szCs w:val="18"/>
              </w:rPr>
              <w:t xml:space="preserve">s24H — partnerships.</w:t>
            </w:r>
            <w:r>
              <w:rPr>
                <w:rFonts w:ascii="Arial" w:cs="Arial" w:eastAsia="Arial" w:hAnsi="Arial"/>
                <w:b w:val="false"/>
                <w:bCs w:val="false"/>
                <w:i w:val="false"/>
                <w:iCs w:val="false"/>
                <w:color w:val="000000"/>
                <w:sz w:val="18"/>
                <w:szCs w:val="18"/>
              </w:rPr>
              <w:t xml:space="preserve"> A partnership is </w:t>
            </w:r>
            <w:r>
              <w:rPr>
                <w:rFonts w:ascii="Arial" w:cs="Arial" w:eastAsia="Arial" w:hAnsi="Arial"/>
                <w:b/>
                <w:bCs/>
                <w:i w:val="false"/>
                <w:iCs w:val="false"/>
                <w:color w:val="000000"/>
                <w:sz w:val="18"/>
                <w:szCs w:val="18"/>
              </w:rPr>
              <w:t xml:space="preserve">transparent</w:t>
            </w:r>
            <w:r>
              <w:rPr>
                <w:rFonts w:ascii="Arial" w:cs="Arial" w:eastAsia="Arial" w:hAnsi="Arial"/>
                <w:b w:val="false"/>
                <w:bCs w:val="false"/>
                <w:i w:val="false"/>
                <w:iCs w:val="false"/>
                <w:color w:val="000000"/>
                <w:sz w:val="18"/>
                <w:szCs w:val="18"/>
              </w:rPr>
              <w:t xml:space="preserve">. Each partner is deemed to carry on the trade of the partnership and claims its </w:t>
            </w:r>
            <w:r>
              <w:rPr>
                <w:rFonts w:ascii="Arial" w:cs="Arial" w:eastAsia="Arial" w:hAnsi="Arial"/>
                <w:b/>
                <w:bCs/>
                <w:i w:val="false"/>
                <w:iCs w:val="false"/>
                <w:color w:val="000000"/>
                <w:sz w:val="18"/>
                <w:szCs w:val="18"/>
              </w:rPr>
              <w:t xml:space="preserve">proportionate share</w:t>
            </w:r>
            <w:r>
              <w:rPr>
                <w:rFonts w:ascii="Arial" w:cs="Arial" w:eastAsia="Arial" w:hAnsi="Arial"/>
                <w:b w:val="false"/>
                <w:bCs w:val="false"/>
                <w:i w:val="false"/>
                <w:iCs w:val="false"/>
                <w:color w:val="000000"/>
                <w:sz w:val="18"/>
                <w:szCs w:val="18"/>
              </w:rPr>
              <w:t xml:space="preserve"> of the allowance in its own return, against its own other income.</w:t>
            </w:r>
          </w:p>
          <w:p>
            <w:pPr>
              <w:pStyle w:val="ListParagraph"/>
              <w:numPr>
                <w:ilvl w:val="0"/>
                <w:numId w:val="2"/>
              </w:numPr>
              <w:spacing w:after="40" w:before="0" w:line="250" w:lineRule="auto"/>
            </w:pPr>
            <w:r>
              <w:rPr>
                <w:rFonts w:ascii="Arial" w:cs="Arial" w:eastAsia="Arial" w:hAnsi="Arial"/>
                <w:b/>
                <w:bCs/>
                <w:i w:val="false"/>
                <w:iCs w:val="false"/>
                <w:color w:val="000000"/>
                <w:sz w:val="18"/>
                <w:szCs w:val="18"/>
              </w:rPr>
              <w:t xml:space="preserve">Company.</w:t>
            </w:r>
            <w:r>
              <w:rPr>
                <w:rFonts w:ascii="Arial" w:cs="Arial" w:eastAsia="Arial" w:hAnsi="Arial"/>
                <w:b w:val="false"/>
                <w:bCs w:val="false"/>
                <w:i w:val="false"/>
                <w:iCs w:val="false"/>
                <w:color w:val="000000"/>
                <w:sz w:val="18"/>
                <w:szCs w:val="18"/>
              </w:rPr>
              <w:t xml:space="preserve"> A company that owns the plant claims in its own right. Shareholders get nothing directly.</w:t>
            </w:r>
          </w:p>
          <w:p>
            <w:pPr>
              <w:pStyle w:val="ListParagraph"/>
              <w:numPr>
                <w:ilvl w:val="0"/>
                <w:numId w:val="2"/>
              </w:numPr>
              <w:spacing w:after="40" w:before="0" w:line="250" w:lineRule="auto"/>
            </w:pPr>
            <w:r>
              <w:rPr>
                <w:rFonts w:ascii="Arial" w:cs="Arial" w:eastAsia="Arial" w:hAnsi="Arial"/>
                <w:b/>
                <w:bCs/>
                <w:i w:val="false"/>
                <w:iCs w:val="false"/>
                <w:color w:val="000000"/>
                <w:sz w:val="18"/>
                <w:szCs w:val="18"/>
              </w:rPr>
              <w:t xml:space="preserve">Instalment credit agreement purchaser</w:t>
            </w:r>
            <w:r>
              <w:rPr>
                <w:rFonts w:ascii="Arial" w:cs="Arial" w:eastAsia="Arial" w:hAnsi="Arial"/>
                <w:b w:val="false"/>
                <w:bCs w:val="false"/>
                <w:i w:val="false"/>
                <w:iCs w:val="false"/>
                <w:color w:val="000000"/>
                <w:sz w:val="18"/>
                <w:szCs w:val="18"/>
              </w:rPr>
              <w:t xml:space="preserve"> is treated as owner.</w:t>
            </w:r>
          </w:p>
          <w:p>
            <w:pPr>
              <w:pStyle w:val="ListParagraph"/>
              <w:numPr>
                <w:ilvl w:val="0"/>
                <w:numId w:val="2"/>
              </w:numPr>
              <w:spacing w:after="40" w:before="0" w:line="250" w:lineRule="auto"/>
            </w:pPr>
            <w:r>
              <w:rPr>
                <w:rFonts w:ascii="Arial" w:cs="Arial" w:eastAsia="Arial" w:hAnsi="Arial"/>
                <w:b/>
                <w:bCs/>
                <w:i w:val="false"/>
                <w:iCs w:val="false"/>
                <w:color w:val="000000"/>
                <w:sz w:val="18"/>
                <w:szCs w:val="18"/>
              </w:rPr>
              <w:t xml:space="preserve">Lessee</w:t>
            </w:r>
            <w:r>
              <w:rPr>
                <w:rFonts w:ascii="Arial" w:cs="Arial" w:eastAsia="Arial" w:hAnsi="Arial"/>
                <w:b w:val="false"/>
                <w:bCs w:val="false"/>
                <w:i w:val="false"/>
                <w:iCs w:val="false"/>
                <w:color w:val="000000"/>
                <w:sz w:val="18"/>
                <w:szCs w:val="18"/>
              </w:rPr>
              <w:t xml:space="preserve"> does not own and cannot claim, unless </w:t>
            </w:r>
            <w:r>
              <w:rPr>
                <w:rFonts w:ascii="Arial" w:cs="Arial" w:eastAsia="Arial" w:hAnsi="Arial"/>
                <w:b/>
                <w:bCs/>
                <w:i w:val="false"/>
                <w:iCs w:val="false"/>
                <w:color w:val="000000"/>
                <w:sz w:val="18"/>
                <w:szCs w:val="18"/>
              </w:rPr>
              <w:t xml:space="preserve">s12N</w:t>
            </w:r>
            <w:r>
              <w:rPr>
                <w:rFonts w:ascii="Arial" w:cs="Arial" w:eastAsia="Arial" w:hAnsi="Arial"/>
                <w:b w:val="false"/>
                <w:bCs w:val="false"/>
                <w:i w:val="false"/>
                <w:iCs w:val="false"/>
                <w:color w:val="000000"/>
                <w:sz w:val="18"/>
                <w:szCs w:val="18"/>
              </w:rPr>
              <w:t xml:space="preserve"> deems it owner of improvements on land it does not own.</w:t>
            </w:r>
          </w:p>
          <w:p>
            <w:pPr>
              <w:pStyle w:val="ListParagraph"/>
              <w:numPr>
                <w:ilvl w:val="0"/>
                <w:numId w:val="2"/>
              </w:numPr>
              <w:spacing w:after="40" w:before="0" w:line="250" w:lineRule="auto"/>
            </w:pPr>
            <w:r>
              <w:rPr>
                <w:rFonts w:ascii="Arial" w:cs="Arial" w:eastAsia="Arial" w:hAnsi="Arial"/>
                <w:b/>
                <w:bCs/>
                <w:i w:val="false"/>
                <w:iCs w:val="false"/>
                <w:color w:val="000000"/>
                <w:sz w:val="18"/>
                <w:szCs w:val="18"/>
              </w:rPr>
              <w:t xml:space="preserve">Buyer of output</w:t>
            </w:r>
            <w:r>
              <w:rPr>
                <w:rFonts w:ascii="Arial" w:cs="Arial" w:eastAsia="Arial" w:hAnsi="Arial"/>
                <w:b w:val="false"/>
                <w:bCs w:val="false"/>
                <w:i w:val="false"/>
                <w:iCs w:val="false"/>
                <w:color w:val="000000"/>
                <w:sz w:val="18"/>
                <w:szCs w:val="18"/>
              </w:rPr>
              <w:t xml:space="preserve"> has no asset and no allowance — only s11(a).</w:t>
            </w:r>
          </w:p>
          <w:p>
            <w:pPr>
              <w:pStyle w:val="ListParagraph"/>
              <w:numPr>
                <w:ilvl w:val="0"/>
                <w:numId w:val="2"/>
              </w:numPr>
              <w:spacing w:after="0" w:before="0" w:line="250" w:lineRule="auto"/>
            </w:pPr>
            <w:r>
              <w:rPr>
                <w:rFonts w:ascii="Arial" w:cs="Arial" w:eastAsia="Arial" w:hAnsi="Arial"/>
                <w:b/>
                <w:bCs/>
                <w:i w:val="false"/>
                <w:iCs w:val="false"/>
                <w:color w:val="000000"/>
                <w:sz w:val="18"/>
                <w:szCs w:val="18"/>
              </w:rPr>
              <w:t xml:space="preserve">[NOT VERIFIED — read s24H and s12N before relying on the detail.]</w:t>
            </w:r>
          </w:p>
        </w:tc>
        <w:tc>
          <w:tcPr>
            <w:tcW w:type="dxa" w:w="5974"/>
            <w:tcBorders>
              <w:top w:val="single" w:color="888888" w:sz="4"/>
              <w:left w:val="single" w:color="888888" w:sz="4"/>
              <w:bottom w:val="single" w:color="888888" w:sz="4"/>
              <w:right w:val="single" w:color="888888" w:sz="4"/>
            </w:tcBorders>
            <w:tcMar>
              <w:top w:type="dxa" w:w="60"/>
              <w:left w:type="dxa" w:w="80"/>
              <w:bottom w:type="dxa" w:w="60"/>
              <w:right w:type="dxa" w:w="80"/>
            </w:tcMar>
          </w:tcPr>
          <w:p>
            <w:pPr>
              <w:pStyle w:val="ListParagraph"/>
              <w:numPr>
                <w:ilvl w:val="0"/>
                <w:numId w:val="2"/>
              </w:numPr>
              <w:spacing w:after="40" w:before="0" w:line="250" w:lineRule="auto"/>
            </w:pPr>
            <w:r>
              <w:rPr>
                <w:rFonts w:ascii="Arial" w:cs="Arial" w:eastAsia="Arial" w:hAnsi="Arial"/>
                <w:b/>
                <w:bCs/>
                <w:i w:val="false"/>
                <w:iCs w:val="false"/>
                <w:color w:val="0070C0"/>
                <w:sz w:val="18"/>
                <w:szCs w:val="18"/>
              </w:rPr>
              <w:t xml:space="preserve">[WAITING FOR INPUT — information on the day]:</w:t>
            </w:r>
            <w:r>
              <w:rPr>
                <w:rFonts w:ascii="Arial" w:cs="Arial" w:eastAsia="Arial" w:hAnsi="Arial"/>
                <w:b w:val="false"/>
                <w:bCs w:val="false"/>
                <w:i w:val="false"/>
                <w:iCs w:val="false"/>
                <w:color w:val="0070C0"/>
                <w:sz w:val="18"/>
                <w:szCs w:val="18"/>
              </w:rPr>
              <w:t xml:space="preserve"> the legal form of the arrangement with the technical partner, and the participation percentages.</w:t>
            </w:r>
          </w:p>
          <w:p>
            <w:pPr>
              <w:pStyle w:val="ListParagraph"/>
              <w:numPr>
                <w:ilvl w:val="0"/>
                <w:numId w:val="2"/>
              </w:numPr>
              <w:spacing w:after="40" w:before="0" w:line="250" w:lineRule="auto"/>
            </w:pPr>
            <w:r>
              <w:rPr>
                <w:rFonts w:ascii="Arial" w:cs="Arial" w:eastAsia="Arial" w:hAnsi="Arial"/>
                <w:b/>
                <w:bCs/>
                <w:i w:val="false"/>
                <w:iCs w:val="false"/>
                <w:color w:val="0070C0"/>
                <w:sz w:val="18"/>
                <w:szCs w:val="18"/>
              </w:rPr>
              <w:t xml:space="preserve">Worked comparison — Project X, FY2027 deductions of R250m (s12B R225m + s12U R25m):</w:t>
            </w:r>
          </w:p>
          <w:p>
            <w:pPr>
              <w:pStyle w:val="ListParagraph"/>
              <w:numPr>
                <w:ilvl w:val="0"/>
                <w:numId w:val="2"/>
              </w:numPr>
              <w:spacing w:after="40" w:before="0" w:line="250" w:lineRule="auto"/>
            </w:pPr>
            <w:r>
              <w:rPr>
                <w:rFonts w:ascii="Arial" w:cs="Arial" w:eastAsia="Arial" w:hAnsi="Arial"/>
                <w:b/>
                <w:bCs/>
                <w:i w:val="false"/>
                <w:iCs w:val="false"/>
                <w:color w:val="0070C0"/>
                <w:sz w:val="18"/>
                <w:szCs w:val="18"/>
              </w:rPr>
              <w:t xml:space="preserve">Route A — Axion owns 100%.</w:t>
            </w:r>
            <w:r>
              <w:rPr>
                <w:rFonts w:ascii="Arial" w:cs="Arial" w:eastAsia="Arial" w:hAnsi="Arial"/>
                <w:b w:val="false"/>
                <w:bCs w:val="false"/>
                <w:i w:val="false"/>
                <w:iCs w:val="false"/>
                <w:color w:val="0070C0"/>
                <w:sz w:val="18"/>
                <w:szCs w:val="18"/>
              </w:rPr>
              <w:t xml:space="preserve"> Deduction </w:t>
            </w:r>
            <w:r>
              <w:rPr>
                <w:rFonts w:ascii="Arial" w:cs="Arial" w:eastAsia="Arial" w:hAnsi="Arial"/>
                <w:b/>
                <w:bCs/>
                <w:i w:val="false"/>
                <w:iCs w:val="false"/>
                <w:color w:val="0070C0"/>
                <w:sz w:val="18"/>
                <w:szCs w:val="18"/>
              </w:rPr>
              <w:t xml:space="preserve">R250m</w:t>
            </w:r>
            <w:r>
              <w:rPr>
                <w:rFonts w:ascii="Arial" w:cs="Arial" w:eastAsia="Arial" w:hAnsi="Arial"/>
                <w:b w:val="false"/>
                <w:bCs w:val="false"/>
                <w:i w:val="false"/>
                <w:iCs w:val="false"/>
                <w:color w:val="0070C0"/>
                <w:sz w:val="18"/>
                <w:szCs w:val="18"/>
              </w:rPr>
              <w:t xml:space="preserve"> in Axion. Taxable income R350m − R250m = R100m · tax </w:t>
            </w:r>
            <w:r>
              <w:rPr>
                <w:rFonts w:ascii="Arial" w:cs="Arial" w:eastAsia="Arial" w:hAnsi="Arial"/>
                <w:b/>
                <w:bCs/>
                <w:i w:val="false"/>
                <w:iCs w:val="false"/>
                <w:color w:val="0070C0"/>
                <w:sz w:val="18"/>
                <w:szCs w:val="18"/>
              </w:rPr>
              <w:t xml:space="preserve">R27.0m</w:t>
            </w:r>
            <w:r>
              <w:rPr>
                <w:rFonts w:ascii="Arial" w:cs="Arial" w:eastAsia="Arial" w:hAnsi="Arial"/>
                <w:b w:val="false"/>
                <w:bCs w:val="false"/>
                <w:i w:val="false"/>
                <w:iCs w:val="false"/>
                <w:color w:val="0070C0"/>
                <w:sz w:val="18"/>
                <w:szCs w:val="18"/>
              </w:rPr>
              <w:t xml:space="preserve">. Without the project, tax would be R94.5m. </w:t>
            </w:r>
            <w:r>
              <w:rPr>
                <w:rFonts w:ascii="Arial" w:cs="Arial" w:eastAsia="Arial" w:hAnsi="Arial"/>
                <w:b/>
                <w:bCs/>
                <w:i w:val="false"/>
                <w:iCs w:val="false"/>
                <w:color w:val="0070C0"/>
                <w:sz w:val="18"/>
                <w:szCs w:val="18"/>
              </w:rPr>
              <w:t xml:space="preserve">Cash tax saved: R67.5m.</w:t>
            </w:r>
          </w:p>
          <w:p>
            <w:pPr>
              <w:pStyle w:val="ListParagraph"/>
              <w:numPr>
                <w:ilvl w:val="0"/>
                <w:numId w:val="2"/>
              </w:numPr>
              <w:spacing w:after="40" w:before="0" w:line="250" w:lineRule="auto"/>
            </w:pPr>
            <w:r>
              <w:rPr>
                <w:rFonts w:ascii="Arial" w:cs="Arial" w:eastAsia="Arial" w:hAnsi="Arial"/>
                <w:b/>
                <w:bCs/>
                <w:i w:val="false"/>
                <w:iCs w:val="false"/>
                <w:color w:val="0070C0"/>
                <w:sz w:val="18"/>
                <w:szCs w:val="18"/>
              </w:rPr>
              <w:t xml:space="preserve">Route B — 50/50 joint operation (partnership).</w:t>
            </w:r>
            <w:r>
              <w:rPr>
                <w:rFonts w:ascii="Arial" w:cs="Arial" w:eastAsia="Arial" w:hAnsi="Arial"/>
                <w:b w:val="false"/>
                <w:bCs w:val="false"/>
                <w:i w:val="false"/>
                <w:iCs w:val="false"/>
                <w:color w:val="0070C0"/>
                <w:sz w:val="18"/>
                <w:szCs w:val="18"/>
              </w:rPr>
              <w:t xml:space="preserve"> Axion claims its </w:t>
            </w:r>
            <w:r>
              <w:rPr>
                <w:rFonts w:ascii="Arial" w:cs="Arial" w:eastAsia="Arial" w:hAnsi="Arial"/>
                <w:b/>
                <w:bCs/>
                <w:i w:val="false"/>
                <w:iCs w:val="false"/>
                <w:color w:val="0070C0"/>
                <w:sz w:val="18"/>
                <w:szCs w:val="18"/>
              </w:rPr>
              <w:t xml:space="preserve">50% share</w:t>
            </w:r>
            <w:r>
              <w:rPr>
                <w:rFonts w:ascii="Arial" w:cs="Arial" w:eastAsia="Arial" w:hAnsi="Arial"/>
                <w:b w:val="false"/>
                <w:bCs w:val="false"/>
                <w:i w:val="false"/>
                <w:iCs w:val="false"/>
                <w:color w:val="0070C0"/>
                <w:sz w:val="18"/>
                <w:szCs w:val="18"/>
              </w:rPr>
              <w:t xml:space="preserve"> = </w:t>
            </w:r>
            <w:r>
              <w:rPr>
                <w:rFonts w:ascii="Arial" w:cs="Arial" w:eastAsia="Arial" w:hAnsi="Arial"/>
                <w:b/>
                <w:bCs/>
                <w:i w:val="false"/>
                <w:iCs w:val="false"/>
                <w:color w:val="0070C0"/>
                <w:sz w:val="18"/>
                <w:szCs w:val="18"/>
              </w:rPr>
              <w:t xml:space="preserve">R125m</w:t>
            </w:r>
            <w:r>
              <w:rPr>
                <w:rFonts w:ascii="Arial" w:cs="Arial" w:eastAsia="Arial" w:hAnsi="Arial"/>
                <w:b w:val="false"/>
                <w:bCs w:val="false"/>
                <w:i w:val="false"/>
                <w:iCs w:val="false"/>
                <w:color w:val="0070C0"/>
                <w:sz w:val="18"/>
                <w:szCs w:val="18"/>
              </w:rPr>
              <w:t xml:space="preserve">. Taxable income R350m − R125m = R225m · tax </w:t>
            </w:r>
            <w:r>
              <w:rPr>
                <w:rFonts w:ascii="Arial" w:cs="Arial" w:eastAsia="Arial" w:hAnsi="Arial"/>
                <w:b/>
                <w:bCs/>
                <w:i w:val="false"/>
                <w:iCs w:val="false"/>
                <w:color w:val="0070C0"/>
                <w:sz w:val="18"/>
                <w:szCs w:val="18"/>
              </w:rPr>
              <w:t xml:space="preserve">R60.75m</w:t>
            </w:r>
            <w:r>
              <w:rPr>
                <w:rFonts w:ascii="Arial" w:cs="Arial" w:eastAsia="Arial" w:hAnsi="Arial"/>
                <w:b w:val="false"/>
                <w:bCs w:val="false"/>
                <w:i w:val="false"/>
                <w:iCs w:val="false"/>
                <w:color w:val="0070C0"/>
                <w:sz w:val="18"/>
                <w:szCs w:val="18"/>
              </w:rPr>
              <w:t xml:space="preserve">. </w:t>
            </w:r>
            <w:r>
              <w:rPr>
                <w:rFonts w:ascii="Arial" w:cs="Arial" w:eastAsia="Arial" w:hAnsi="Arial"/>
                <w:b/>
                <w:bCs/>
                <w:i w:val="false"/>
                <w:iCs w:val="false"/>
                <w:color w:val="0070C0"/>
                <w:sz w:val="18"/>
                <w:szCs w:val="18"/>
              </w:rPr>
              <w:t xml:space="preserve">Cash tax saved: R33.75m.</w:t>
            </w:r>
            <w:r>
              <w:rPr>
                <w:rFonts w:ascii="Arial" w:cs="Arial" w:eastAsia="Arial" w:hAnsi="Arial"/>
                <w:b w:val="false"/>
                <w:bCs w:val="false"/>
                <w:i w:val="false"/>
                <w:iCs w:val="false"/>
                <w:color w:val="0070C0"/>
                <w:sz w:val="18"/>
                <w:szCs w:val="18"/>
              </w:rPr>
              <w:t xml:space="preserve"> The partner claims the other half against its own income.</w:t>
            </w:r>
          </w:p>
          <w:p>
            <w:pPr>
              <w:pStyle w:val="ListParagraph"/>
              <w:numPr>
                <w:ilvl w:val="0"/>
                <w:numId w:val="2"/>
              </w:numPr>
              <w:spacing w:after="40" w:before="0" w:line="250" w:lineRule="auto"/>
            </w:pPr>
            <w:r>
              <w:rPr>
                <w:rFonts w:ascii="Arial" w:cs="Arial" w:eastAsia="Arial" w:hAnsi="Arial"/>
                <w:b/>
                <w:bCs/>
                <w:i w:val="false"/>
                <w:iCs w:val="false"/>
                <w:color w:val="0070C0"/>
                <w:sz w:val="18"/>
                <w:szCs w:val="18"/>
              </w:rPr>
              <w:t xml:space="preserve">Route C — project company (SPV), Axion buys the output.</w:t>
            </w:r>
            <w:r>
              <w:rPr>
                <w:rFonts w:ascii="Arial" w:cs="Arial" w:eastAsia="Arial" w:hAnsi="Arial"/>
                <w:b w:val="false"/>
                <w:bCs w:val="false"/>
                <w:i w:val="false"/>
                <w:iCs w:val="false"/>
                <w:color w:val="0070C0"/>
                <w:sz w:val="18"/>
                <w:szCs w:val="18"/>
              </w:rPr>
              <w:t xml:space="preserve"> The SPV claims R250m against </w:t>
            </w:r>
            <w:r>
              <w:rPr>
                <w:rFonts w:ascii="Arial" w:cs="Arial" w:eastAsia="Arial" w:hAnsi="Arial"/>
                <w:b/>
                <w:bCs/>
                <w:i w:val="false"/>
                <w:iCs w:val="false"/>
                <w:color w:val="0070C0"/>
                <w:sz w:val="18"/>
                <w:szCs w:val="18"/>
              </w:rPr>
              <w:t xml:space="preserve">nil income</w:t>
            </w:r>
            <w:r>
              <w:rPr>
                <w:rFonts w:ascii="Arial" w:cs="Arial" w:eastAsia="Arial" w:hAnsi="Arial"/>
                <w:b w:val="false"/>
                <w:bCs w:val="false"/>
                <w:i w:val="false"/>
                <w:iCs w:val="false"/>
                <w:color w:val="0070C0"/>
                <w:sz w:val="18"/>
                <w:szCs w:val="18"/>
              </w:rPr>
              <w:t xml:space="preserve"> → an assessed loss of R250m, carried forward and constrained by s20. </w:t>
            </w:r>
            <w:r>
              <w:rPr>
                <w:rFonts w:ascii="Arial" w:cs="Arial" w:eastAsia="Arial" w:hAnsi="Arial"/>
                <w:b/>
                <w:bCs/>
                <w:i w:val="false"/>
                <w:iCs w:val="false"/>
                <w:color w:val="0070C0"/>
                <w:sz w:val="18"/>
                <w:szCs w:val="18"/>
              </w:rPr>
              <w:t xml:space="preserve">Axion’s cash tax saving in FY2027: nil.</w:t>
            </w:r>
            <w:r>
              <w:rPr>
                <w:rFonts w:ascii="Arial" w:cs="Arial" w:eastAsia="Arial" w:hAnsi="Arial"/>
                <w:b w:val="false"/>
                <w:bCs w:val="false"/>
                <w:i w:val="false"/>
                <w:iCs w:val="false"/>
                <w:color w:val="0070C0"/>
                <w:sz w:val="18"/>
                <w:szCs w:val="18"/>
              </w:rPr>
              <w:t xml:space="preserve"> Axion deducts only the electricity it buys under s11(a).</w:t>
            </w:r>
          </w:p>
          <w:p>
            <w:pPr>
              <w:pStyle w:val="ListParagraph"/>
              <w:numPr>
                <w:ilvl w:val="0"/>
                <w:numId w:val="2"/>
              </w:numPr>
              <w:spacing w:after="40" w:before="0" w:line="250" w:lineRule="auto"/>
            </w:pPr>
            <w:r>
              <w:rPr>
                <w:rFonts w:ascii="Arial" w:cs="Arial" w:eastAsia="Arial" w:hAnsi="Arial"/>
                <w:b/>
                <w:bCs/>
                <w:i w:val="false"/>
                <w:iCs w:val="false"/>
                <w:color w:val="0070C0"/>
                <w:sz w:val="18"/>
                <w:szCs w:val="18"/>
              </w:rPr>
              <w:t xml:space="preserve">The same R250m of deductions produces R67.5m, R33.75m or nothing, purely on structure.</w:t>
            </w:r>
            <w:r>
              <w:rPr>
                <w:rFonts w:ascii="Arial" w:cs="Arial" w:eastAsia="Arial" w:hAnsi="Arial"/>
                <w:b w:val="false"/>
                <w:bCs w:val="false"/>
                <w:i w:val="false"/>
                <w:iCs w:val="false"/>
                <w:color w:val="0070C0"/>
                <w:sz w:val="18"/>
                <w:szCs w:val="18"/>
              </w:rPr>
              <w:t xml:space="preserve"> That is the headline finding, and it is the sentence to lead with if a task asks about the tax consequences of the investment options.</w:t>
            </w:r>
          </w:p>
          <w:p>
            <w:pPr>
              <w:pStyle w:val="ListParagraph"/>
              <w:numPr>
                <w:ilvl w:val="0"/>
                <w:numId w:val="2"/>
              </w:numPr>
              <w:spacing w:after="0" w:before="0" w:line="250" w:lineRule="auto"/>
            </w:pPr>
            <w:r>
              <w:rPr>
                <w:rFonts w:ascii="Arial" w:cs="Arial" w:eastAsia="Arial" w:hAnsi="Arial"/>
                <w:b/>
                <w:bCs/>
                <w:i w:val="false"/>
                <w:iCs w:val="false"/>
                <w:color w:val="0070C0"/>
                <w:sz w:val="18"/>
                <w:szCs w:val="18"/>
              </w:rPr>
              <w:t xml:space="preserve">Cross-link to be made explicitly.</w:t>
            </w:r>
            <w:r>
              <w:rPr>
                <w:rFonts w:ascii="Arial" w:cs="Arial" w:eastAsia="Arial" w:hAnsi="Arial"/>
                <w:b w:val="false"/>
                <w:bCs w:val="false"/>
                <w:i w:val="false"/>
                <w:iCs w:val="false"/>
                <w:color w:val="0070C0"/>
                <w:sz w:val="18"/>
                <w:szCs w:val="18"/>
              </w:rPr>
              <w:t xml:space="preserve"> The same structuring choice drives the IFRS 11 classification in trigger 8 — joint operation versus joint venture. But the accounting test (rights to assets and obligations for liabilities) and the tax test (who owns and brings into use) are </w:t>
            </w:r>
            <w:r>
              <w:rPr>
                <w:rFonts w:ascii="Arial" w:cs="Arial" w:eastAsia="Arial" w:hAnsi="Arial"/>
                <w:b/>
                <w:bCs/>
                <w:i w:val="false"/>
                <w:iCs w:val="false"/>
                <w:color w:val="0070C0"/>
                <w:sz w:val="18"/>
                <w:szCs w:val="18"/>
              </w:rPr>
              <w:t xml:space="preserve">different tests</w:t>
            </w:r>
            <w:r>
              <w:rPr>
                <w:rFonts w:ascii="Arial" w:cs="Arial" w:eastAsia="Arial" w:hAnsi="Arial"/>
                <w:b w:val="false"/>
                <w:bCs w:val="false"/>
                <w:i w:val="false"/>
                <w:iCs w:val="false"/>
                <w:color w:val="0070C0"/>
                <w:sz w:val="18"/>
                <w:szCs w:val="18"/>
              </w:rPr>
              <w:t xml:space="preserve"> and can point in opposite directions. A transparent structure is best for tax; it also brings the project debt onto Axion’s balance sheet, which is worst for gearing. </w:t>
            </w:r>
            <w:r>
              <w:rPr>
                <w:rFonts w:ascii="Arial" w:cs="Arial" w:eastAsia="Arial" w:hAnsi="Arial"/>
                <w:b/>
                <w:bCs/>
                <w:i w:val="false"/>
                <w:iCs w:val="false"/>
                <w:color w:val="0070C0"/>
                <w:sz w:val="18"/>
                <w:szCs w:val="18"/>
              </w:rPr>
              <w:t xml:space="preserve">Flag the tension — do not resolve it silently.</w:t>
            </w:r>
          </w:p>
        </w:tc>
      </w:tr>
    </w:tbl>
    <w:p>
      <w:pPr>
        <w:keepNext w:val="false"/>
        <w:spacing w:after="0" w:before="0" w:line="250" w:lineRule="auto"/>
      </w:pPr>
      <w:r>
        <w:rPr>
          <w:rFonts w:ascii="Arial" w:cs="Arial" w:eastAsia="Arial" w:hAnsi="Arial"/>
          <w:sz w:val="12"/>
          <w:szCs w:val="12"/>
        </w:rPr>
        <w:t xml:space="preserve"/>
      </w:r>
    </w:p>
    <w:p>
      <w:pPr>
        <w:keepNext/>
        <w:pBdr>
          <w:bottom w:val="single" w:color="000000" w:sz="8" w:space="2"/>
        </w:pBdr>
        <w:spacing w:after="110" w:before="260" w:line="250" w:lineRule="auto"/>
      </w:pPr>
      <w:r>
        <w:rPr>
          <w:rFonts w:ascii="Arial" w:cs="Arial" w:eastAsia="Arial" w:hAnsi="Arial"/>
          <w:b/>
          <w:bCs/>
          <w:i w:val="false"/>
          <w:iCs w:val="false"/>
          <w:color w:val="000000"/>
          <w:sz w:val="26"/>
          <w:szCs w:val="26"/>
        </w:rPr>
        <w:t xml:space="preserve">F. Using the deductions — assessed losses</w:t>
      </w:r>
    </w:p>
    <w:p>
      <w:pPr>
        <w:keepNext/>
        <w:spacing w:after="70" w:before="200" w:line="250" w:lineRule="auto"/>
      </w:pPr>
      <w:r>
        <w:rPr>
          <w:rFonts w:ascii="Arial" w:cs="Arial" w:eastAsia="Arial" w:hAnsi="Arial"/>
          <w:b/>
          <w:bCs/>
          <w:i w:val="false"/>
          <w:iCs w:val="false"/>
          <w:color w:val="000000"/>
          <w:sz w:val="22"/>
          <w:szCs w:val="22"/>
        </w:rPr>
        <w:t xml:space="preserve">Table 15 — Section 20: assessed losses</w:t>
      </w:r>
    </w:p>
    <w:tbl>
      <w:tblPr>
        <w:tblW w:type="dxa" w:w="10300"/>
        <w:tblBorders>
          <w:top w:val="single" w:color="auto" w:sz="4"/>
          <w:left w:val="single" w:color="auto" w:sz="4"/>
          <w:bottom w:val="single" w:color="auto" w:sz="4"/>
          <w:right w:val="single" w:color="auto" w:sz="4"/>
          <w:insideH w:val="single" w:color="auto" w:sz="4"/>
          <w:insideV w:val="single" w:color="auto" w:sz="4"/>
        </w:tblBorders>
      </w:tblPr>
      <w:tblGrid>
        <w:gridCol w:w="4326"/>
        <w:gridCol w:w="5974"/>
      </w:tblGrid>
      <w:tr>
        <w:trPr>
          <w:tblHeader/>
        </w:trPr>
        <w:tc>
          <w:tcPr>
            <w:tcW w:type="dxa" w:w="4326"/>
            <w:tcBorders>
              <w:top w:val="single" w:color="888888" w:sz="4"/>
              <w:left w:val="single" w:color="888888" w:sz="4"/>
              <w:bottom w:val="single" w:color="888888" w:sz="4"/>
              <w:right w:val="single" w:color="888888" w:sz="4"/>
            </w:tcBorders>
            <w:shd w:fill="E8E8E8" w:val="clear"/>
            <w:tcMar>
              <w:top w:type="dxa" w:w="60"/>
              <w:left w:type="dxa" w:w="80"/>
              <w:bottom w:type="dxa" w:w="60"/>
              <w:right w:type="dxa" w:w="80"/>
            </w:tcMar>
            <w:vAlign w:val="center"/>
          </w:tcPr>
          <w:p>
            <w:pPr>
              <w:keepNext w:val="false"/>
              <w:spacing w:after="0" w:before="0" w:line="250" w:lineRule="auto"/>
            </w:pPr>
            <w:r>
              <w:rPr>
                <w:rFonts w:ascii="Arial" w:cs="Arial" w:eastAsia="Arial" w:hAnsi="Arial"/>
                <w:b/>
                <w:bCs/>
                <w:i w:val="false"/>
                <w:iCs w:val="false"/>
                <w:color w:val="000000"/>
                <w:sz w:val="18"/>
                <w:szCs w:val="18"/>
              </w:rPr>
              <w:t xml:space="preserve">Legislation — what the Act says</w:t>
            </w:r>
          </w:p>
        </w:tc>
        <w:tc>
          <w:tcPr>
            <w:tcW w:type="dxa" w:w="5974"/>
            <w:tcBorders>
              <w:top w:val="single" w:color="888888" w:sz="4"/>
              <w:left w:val="single" w:color="888888" w:sz="4"/>
              <w:bottom w:val="single" w:color="888888" w:sz="4"/>
              <w:right w:val="single" w:color="888888" w:sz="4"/>
            </w:tcBorders>
            <w:shd w:fill="E8E8E8" w:val="clear"/>
            <w:tcMar>
              <w:top w:type="dxa" w:w="60"/>
              <w:left w:type="dxa" w:w="80"/>
              <w:bottom w:type="dxa" w:w="60"/>
              <w:right w:type="dxa" w:w="80"/>
            </w:tcMar>
            <w:vAlign w:val="center"/>
          </w:tcPr>
          <w:p>
            <w:pPr>
              <w:keepNext w:val="false"/>
              <w:spacing w:after="0" w:before="0" w:line="250" w:lineRule="auto"/>
            </w:pPr>
            <w:r>
              <w:rPr>
                <w:rFonts w:ascii="Arial" w:cs="Arial" w:eastAsia="Arial" w:hAnsi="Arial"/>
                <w:b/>
                <w:bCs/>
                <w:i w:val="false"/>
                <w:iCs w:val="false"/>
                <w:color w:val="000000"/>
                <w:sz w:val="18"/>
                <w:szCs w:val="18"/>
              </w:rPr>
              <w:t xml:space="preserve">Application to Axion — tax consequences</w:t>
            </w:r>
          </w:p>
        </w:tc>
      </w:tr>
      <w:tr>
        <w:tc>
          <w:tcPr>
            <w:tcW w:type="dxa" w:w="4326"/>
            <w:tcBorders>
              <w:top w:val="single" w:color="888888" w:sz="4"/>
              <w:left w:val="single" w:color="888888" w:sz="4"/>
              <w:bottom w:val="single" w:color="888888" w:sz="4"/>
              <w:right w:val="single" w:color="888888" w:sz="4"/>
            </w:tcBorders>
            <w:tcMar>
              <w:top w:type="dxa" w:w="60"/>
              <w:left w:type="dxa" w:w="80"/>
              <w:bottom w:type="dxa" w:w="60"/>
              <w:right w:type="dxa" w:w="80"/>
            </w:tcMar>
          </w:tcPr>
          <w:p>
            <w:pPr>
              <w:pStyle w:val="ListParagraph"/>
              <w:numPr>
                <w:ilvl w:val="0"/>
                <w:numId w:val="2"/>
              </w:numPr>
              <w:spacing w:after="40" w:before="0" w:line="250" w:lineRule="auto"/>
            </w:pPr>
            <w:r>
              <w:rPr>
                <w:rFonts w:ascii="Arial" w:cs="Arial" w:eastAsia="Arial" w:hAnsi="Arial"/>
                <w:b/>
                <w:bCs/>
                <w:i w:val="false"/>
                <w:iCs w:val="false"/>
                <w:color w:val="000000"/>
                <w:sz w:val="18"/>
                <w:szCs w:val="18"/>
              </w:rPr>
              <w:t xml:space="preserve">s20(1)(a).</w:t>
            </w:r>
            <w:r>
              <w:rPr>
                <w:rFonts w:ascii="Arial" w:cs="Arial" w:eastAsia="Arial" w:hAnsi="Arial"/>
                <w:b w:val="false"/>
                <w:bCs w:val="false"/>
                <w:i w:val="false"/>
                <w:iCs w:val="false"/>
                <w:color w:val="000000"/>
                <w:sz w:val="18"/>
                <w:szCs w:val="18"/>
              </w:rPr>
              <w:t xml:space="preserve"> A company may set off the </w:t>
            </w:r>
            <w:r>
              <w:rPr>
                <w:rFonts w:ascii="Arial" w:cs="Arial" w:eastAsia="Arial" w:hAnsi="Arial"/>
                <w:b/>
                <w:bCs/>
                <w:i w:val="false"/>
                <w:iCs w:val="false"/>
                <w:color w:val="000000"/>
                <w:sz w:val="18"/>
                <w:szCs w:val="18"/>
              </w:rPr>
              <w:t xml:space="preserve">balance of assessed loss brought forward</w:t>
            </w:r>
            <w:r>
              <w:rPr>
                <w:rFonts w:ascii="Arial" w:cs="Arial" w:eastAsia="Arial" w:hAnsi="Arial"/>
                <w:b w:val="false"/>
                <w:bCs w:val="false"/>
                <w:i w:val="false"/>
                <w:iCs w:val="false"/>
                <w:color w:val="000000"/>
                <w:sz w:val="18"/>
                <w:szCs w:val="18"/>
              </w:rPr>
              <w:t xml:space="preserve"> only against the </w:t>
            </w:r>
            <w:r>
              <w:rPr>
                <w:rFonts w:ascii="Arial" w:cs="Arial" w:eastAsia="Arial" w:hAnsi="Arial"/>
                <w:b/>
                <w:bCs/>
                <w:i w:val="false"/>
                <w:iCs w:val="false"/>
                <w:color w:val="000000"/>
                <w:sz w:val="18"/>
                <w:szCs w:val="18"/>
              </w:rPr>
              <w:t xml:space="preserve">higher of R1 million or 80% of taxable income</w:t>
            </w:r>
            <w:r>
              <w:rPr>
                <w:rFonts w:ascii="Arial" w:cs="Arial" w:eastAsia="Arial" w:hAnsi="Arial"/>
                <w:b w:val="false"/>
                <w:bCs w:val="false"/>
                <w:i w:val="false"/>
                <w:iCs w:val="false"/>
                <w:color w:val="000000"/>
                <w:sz w:val="18"/>
                <w:szCs w:val="18"/>
              </w:rPr>
              <w:t xml:space="preserve"> for the year.</w:t>
            </w:r>
          </w:p>
          <w:p>
            <w:pPr>
              <w:pStyle w:val="ListParagraph"/>
              <w:numPr>
                <w:ilvl w:val="0"/>
                <w:numId w:val="2"/>
              </w:numPr>
              <w:spacing w:after="40" w:before="0" w:line="250" w:lineRule="auto"/>
            </w:pPr>
            <w:r>
              <w:rPr>
                <w:rFonts w:ascii="Arial" w:cs="Arial" w:eastAsia="Arial" w:hAnsi="Arial"/>
                <w:b w:val="false"/>
                <w:bCs w:val="false"/>
                <w:i w:val="false"/>
                <w:iCs w:val="false"/>
                <w:color w:val="000000"/>
                <w:sz w:val="18"/>
                <w:szCs w:val="18"/>
              </w:rPr>
              <w:t xml:space="preserve">Applies to years of assessment </w:t>
            </w:r>
            <w:r>
              <w:rPr>
                <w:rFonts w:ascii="Arial" w:cs="Arial" w:eastAsia="Arial" w:hAnsi="Arial"/>
                <w:b/>
                <w:bCs/>
                <w:i w:val="false"/>
                <w:iCs w:val="false"/>
                <w:color w:val="000000"/>
                <w:sz w:val="18"/>
                <w:szCs w:val="18"/>
              </w:rPr>
              <w:t xml:space="preserve">ending on or after 31 March 2023</w:t>
            </w:r>
            <w:r>
              <w:rPr>
                <w:rFonts w:ascii="Arial" w:cs="Arial" w:eastAsia="Arial" w:hAnsi="Arial"/>
                <w:b w:val="false"/>
                <w:bCs w:val="false"/>
                <w:i w:val="false"/>
                <w:iCs w:val="false"/>
                <w:color w:val="000000"/>
                <w:sz w:val="18"/>
                <w:szCs w:val="18"/>
              </w:rPr>
              <w:t xml:space="preserve">.</w:t>
            </w:r>
          </w:p>
          <w:p>
            <w:pPr>
              <w:pStyle w:val="ListParagraph"/>
              <w:numPr>
                <w:ilvl w:val="0"/>
                <w:numId w:val="2"/>
              </w:numPr>
              <w:spacing w:after="40" w:before="0" w:line="250" w:lineRule="auto"/>
            </w:pPr>
            <w:r>
              <w:rPr>
                <w:rFonts w:ascii="Arial" w:cs="Arial" w:eastAsia="Arial" w:hAnsi="Arial"/>
                <w:b w:val="false"/>
                <w:bCs w:val="false"/>
                <w:i w:val="false"/>
                <w:iCs w:val="false"/>
                <w:color w:val="000000"/>
                <w:sz w:val="18"/>
                <w:szCs w:val="18"/>
              </w:rPr>
              <w:t xml:space="preserve">The effect: a company with taxable income above R1m pays tax on at least </w:t>
            </w:r>
            <w:r>
              <w:rPr>
                <w:rFonts w:ascii="Arial" w:cs="Arial" w:eastAsia="Arial" w:hAnsi="Arial"/>
                <w:b/>
                <w:bCs/>
                <w:i w:val="false"/>
                <w:iCs w:val="false"/>
                <w:color w:val="000000"/>
                <w:sz w:val="18"/>
                <w:szCs w:val="18"/>
              </w:rPr>
              <w:t xml:space="preserve">20%</w:t>
            </w:r>
            <w:r>
              <w:rPr>
                <w:rFonts w:ascii="Arial" w:cs="Arial" w:eastAsia="Arial" w:hAnsi="Arial"/>
                <w:b w:val="false"/>
                <w:bCs w:val="false"/>
                <w:i w:val="false"/>
                <w:iCs w:val="false"/>
                <w:color w:val="000000"/>
                <w:sz w:val="18"/>
                <w:szCs w:val="18"/>
              </w:rPr>
              <w:t xml:space="preserve"> of that income, however large its brought-forward loss.</w:t>
            </w:r>
          </w:p>
          <w:p>
            <w:pPr>
              <w:pStyle w:val="ListParagraph"/>
              <w:numPr>
                <w:ilvl w:val="0"/>
                <w:numId w:val="2"/>
              </w:numPr>
              <w:spacing w:after="40" w:before="0" w:line="250" w:lineRule="auto"/>
            </w:pPr>
            <w:r>
              <w:rPr>
                <w:rFonts w:ascii="Arial" w:cs="Arial" w:eastAsia="Arial" w:hAnsi="Arial"/>
                <w:b w:val="false"/>
                <w:bCs w:val="false"/>
                <w:i w:val="false"/>
                <w:iCs w:val="false"/>
                <w:color w:val="000000"/>
                <w:sz w:val="18"/>
                <w:szCs w:val="18"/>
              </w:rPr>
              <w:t xml:space="preserve">The unused balance is </w:t>
            </w:r>
            <w:r>
              <w:rPr>
                <w:rFonts w:ascii="Arial" w:cs="Arial" w:eastAsia="Arial" w:hAnsi="Arial"/>
                <w:b/>
                <w:bCs/>
                <w:i w:val="false"/>
                <w:iCs w:val="false"/>
                <w:color w:val="000000"/>
                <w:sz w:val="18"/>
                <w:szCs w:val="18"/>
              </w:rPr>
              <w:t xml:space="preserve">carried forward</w:t>
            </w:r>
            <w:r>
              <w:rPr>
                <w:rFonts w:ascii="Arial" w:cs="Arial" w:eastAsia="Arial" w:hAnsi="Arial"/>
                <w:b w:val="false"/>
                <w:bCs w:val="false"/>
                <w:i w:val="false"/>
                <w:iCs w:val="false"/>
                <w:color w:val="000000"/>
                <w:sz w:val="18"/>
                <w:szCs w:val="18"/>
              </w:rPr>
              <w:t xml:space="preserve">, not lost.</w:t>
            </w:r>
          </w:p>
          <w:p>
            <w:pPr>
              <w:pStyle w:val="ListParagraph"/>
              <w:numPr>
                <w:ilvl w:val="0"/>
                <w:numId w:val="2"/>
              </w:numPr>
              <w:spacing w:after="0" w:before="0" w:line="250" w:lineRule="auto"/>
            </w:pPr>
            <w:r>
              <w:rPr>
                <w:rFonts w:ascii="Arial" w:cs="Arial" w:eastAsia="Arial" w:hAnsi="Arial"/>
                <w:b/>
                <w:bCs/>
                <w:i w:val="false"/>
                <w:iCs w:val="false"/>
                <w:color w:val="000000"/>
                <w:sz w:val="18"/>
                <w:szCs w:val="18"/>
              </w:rPr>
              <w:t xml:space="preserve">The current-year loss is not restricted</w:t>
            </w:r>
            <w:r>
              <w:rPr>
                <w:rFonts w:ascii="Arial" w:cs="Arial" w:eastAsia="Arial" w:hAnsi="Arial"/>
                <w:b w:val="false"/>
                <w:bCs w:val="false"/>
                <w:i w:val="false"/>
                <w:iCs w:val="false"/>
                <w:color w:val="000000"/>
                <w:sz w:val="18"/>
                <w:szCs w:val="18"/>
              </w:rPr>
              <w:t xml:space="preserve"> — the limitation applies to the </w:t>
            </w:r>
            <w:r>
              <w:rPr>
                <w:rFonts w:ascii="Arial" w:cs="Arial" w:eastAsia="Arial" w:hAnsi="Arial"/>
                <w:b/>
                <w:bCs/>
                <w:i w:val="false"/>
                <w:iCs w:val="false"/>
                <w:color w:val="000000"/>
                <w:sz w:val="18"/>
                <w:szCs w:val="18"/>
              </w:rPr>
              <w:t xml:space="preserve">balance brought forward</w:t>
            </w:r>
            <w:r>
              <w:rPr>
                <w:rFonts w:ascii="Arial" w:cs="Arial" w:eastAsia="Arial" w:hAnsi="Arial"/>
                <w:b w:val="false"/>
                <w:bCs w:val="false"/>
                <w:i w:val="false"/>
                <w:iCs w:val="false"/>
                <w:color w:val="000000"/>
                <w:sz w:val="18"/>
                <w:szCs w:val="18"/>
              </w:rPr>
              <w:t xml:space="preserve"> from earlier years.</w:t>
            </w:r>
          </w:p>
        </w:tc>
        <w:tc>
          <w:tcPr>
            <w:tcW w:type="dxa" w:w="5974"/>
            <w:tcBorders>
              <w:top w:val="single" w:color="888888" w:sz="4"/>
              <w:left w:val="single" w:color="888888" w:sz="4"/>
              <w:bottom w:val="single" w:color="888888" w:sz="4"/>
              <w:right w:val="single" w:color="888888" w:sz="4"/>
            </w:tcBorders>
            <w:tcMar>
              <w:top w:type="dxa" w:w="60"/>
              <w:left w:type="dxa" w:w="80"/>
              <w:bottom w:type="dxa" w:w="60"/>
              <w:right w:type="dxa" w:w="80"/>
            </w:tcMar>
          </w:tcPr>
          <w:p>
            <w:pPr>
              <w:pStyle w:val="ListParagraph"/>
              <w:numPr>
                <w:ilvl w:val="0"/>
                <w:numId w:val="2"/>
              </w:numPr>
              <w:spacing w:after="40" w:before="0" w:line="250" w:lineRule="auto"/>
            </w:pPr>
            <w:r>
              <w:rPr>
                <w:rFonts w:ascii="Arial" w:cs="Arial" w:eastAsia="Arial" w:hAnsi="Arial"/>
                <w:b/>
                <w:bCs/>
                <w:i w:val="false"/>
                <w:iCs w:val="false"/>
                <w:color w:val="0070C0"/>
                <w:sz w:val="18"/>
                <w:szCs w:val="18"/>
              </w:rPr>
              <w:t xml:space="preserve">Axion itself is comfortable — for now.</w:t>
            </w:r>
            <w:r>
              <w:rPr>
                <w:rFonts w:ascii="Arial" w:cs="Arial" w:eastAsia="Arial" w:hAnsi="Arial"/>
                <w:b w:val="false"/>
                <w:bCs w:val="false"/>
                <w:i w:val="false"/>
                <w:iCs w:val="false"/>
                <w:color w:val="0070C0"/>
                <w:sz w:val="18"/>
                <w:szCs w:val="18"/>
              </w:rPr>
              <w:t xml:space="preserve"> FY2026 profit before tax was R325m, and the FY2027 deduction of R250m in Route A leaves R100m of taxable income. No assessed loss arises and the full benefit is realised in cash.</w:t>
            </w:r>
          </w:p>
          <w:p>
            <w:pPr>
              <w:pStyle w:val="ListParagraph"/>
              <w:numPr>
                <w:ilvl w:val="0"/>
                <w:numId w:val="2"/>
              </w:numPr>
              <w:spacing w:after="40" w:before="0" w:line="250" w:lineRule="auto"/>
            </w:pPr>
            <w:r>
              <w:rPr>
                <w:rFonts w:ascii="Arial" w:cs="Arial" w:eastAsia="Arial" w:hAnsi="Arial"/>
                <w:b/>
                <w:bCs/>
                <w:i w:val="false"/>
                <w:iCs w:val="false"/>
                <w:color w:val="0070C0"/>
                <w:sz w:val="18"/>
                <w:szCs w:val="18"/>
              </w:rPr>
              <w:t xml:space="preserve">But test the downside.</w:t>
            </w:r>
            <w:r>
              <w:rPr>
                <w:rFonts w:ascii="Arial" w:cs="Arial" w:eastAsia="Arial" w:hAnsi="Arial"/>
                <w:b w:val="false"/>
                <w:bCs w:val="false"/>
                <w:i w:val="false"/>
                <w:iCs w:val="false"/>
                <w:color w:val="0070C0"/>
                <w:sz w:val="18"/>
                <w:szCs w:val="18"/>
              </w:rPr>
              <w:t xml:space="preserve"> If Project X were larger, or if Axion also claimed s13quin on JHB4 and s12L savings in the same year, the total deductions could exceed taxable income. </w:t>
            </w:r>
            <w:r>
              <w:rPr>
                <w:rFonts w:ascii="Arial" w:cs="Arial" w:eastAsia="Arial" w:hAnsi="Arial"/>
                <w:b/>
                <w:bCs/>
                <w:i w:val="false"/>
                <w:iCs w:val="false"/>
                <w:color w:val="0070C0"/>
                <w:sz w:val="18"/>
                <w:szCs w:val="18"/>
              </w:rPr>
              <w:t xml:space="preserve">Do the arithmetic on the day rather than assuming headroom.</w:t>
            </w:r>
          </w:p>
          <w:p>
            <w:pPr>
              <w:pStyle w:val="ListParagraph"/>
              <w:numPr>
                <w:ilvl w:val="0"/>
                <w:numId w:val="2"/>
              </w:numPr>
              <w:spacing w:after="40" w:before="0" w:line="250" w:lineRule="auto"/>
            </w:pPr>
            <w:r>
              <w:rPr>
                <w:rFonts w:ascii="Arial" w:cs="Arial" w:eastAsia="Arial" w:hAnsi="Arial"/>
                <w:b/>
                <w:bCs/>
                <w:i w:val="false"/>
                <w:iCs w:val="false"/>
                <w:color w:val="0070C0"/>
                <w:sz w:val="18"/>
                <w:szCs w:val="18"/>
              </w:rPr>
              <w:t xml:space="preserve">Worked example — where s20 bites: the SPV in Route C.</w:t>
            </w:r>
            <w:r>
              <w:rPr>
                <w:rFonts w:ascii="Arial" w:cs="Arial" w:eastAsia="Arial" w:hAnsi="Arial"/>
                <w:b w:val="false"/>
                <w:bCs w:val="false"/>
                <w:i w:val="false"/>
                <w:iCs w:val="false"/>
                <w:color w:val="0070C0"/>
                <w:sz w:val="18"/>
                <w:szCs w:val="18"/>
              </w:rPr>
              <w:t xml:space="preserve"> The SPV has an assessed loss of R250m carried into FY2028. Assume it earns taxable income of R60m in FY2028:</w:t>
            </w:r>
          </w:p>
          <w:p>
            <w:pPr>
              <w:pStyle w:val="ListParagraph"/>
              <w:numPr>
                <w:ilvl w:val="0"/>
                <w:numId w:val="2"/>
              </w:numPr>
              <w:spacing w:after="40" w:before="0" w:line="250" w:lineRule="auto"/>
            </w:pPr>
            <w:r>
              <w:rPr>
                <w:rFonts w:ascii="Arial" w:cs="Arial" w:eastAsia="Arial" w:hAnsi="Arial"/>
                <w:b w:val="false"/>
                <w:bCs w:val="false"/>
                <w:i w:val="false"/>
                <w:iCs w:val="false"/>
                <w:color w:val="0070C0"/>
                <w:sz w:val="18"/>
                <w:szCs w:val="18"/>
              </w:rPr>
              <w:t xml:space="preserve">Set-off limited to the higher of R1m and 80% × R60m = </w:t>
            </w:r>
            <w:r>
              <w:rPr>
                <w:rFonts w:ascii="Arial" w:cs="Arial" w:eastAsia="Arial" w:hAnsi="Arial"/>
                <w:b/>
                <w:bCs/>
                <w:i w:val="false"/>
                <w:iCs w:val="false"/>
                <w:color w:val="0070C0"/>
                <w:sz w:val="18"/>
                <w:szCs w:val="18"/>
              </w:rPr>
              <w:t xml:space="preserve">R48m</w:t>
            </w:r>
          </w:p>
          <w:p>
            <w:pPr>
              <w:pStyle w:val="ListParagraph"/>
              <w:numPr>
                <w:ilvl w:val="0"/>
                <w:numId w:val="2"/>
              </w:numPr>
              <w:spacing w:after="40" w:before="0" w:line="250" w:lineRule="auto"/>
            </w:pPr>
            <w:r>
              <w:rPr>
                <w:rFonts w:ascii="Arial" w:cs="Arial" w:eastAsia="Arial" w:hAnsi="Arial"/>
                <w:b w:val="false"/>
                <w:bCs w:val="false"/>
                <w:i w:val="false"/>
                <w:iCs w:val="false"/>
                <w:color w:val="0070C0"/>
                <w:sz w:val="18"/>
                <w:szCs w:val="18"/>
              </w:rPr>
              <w:t xml:space="preserve">Taxable income after set-off = R60m − R48m = </w:t>
            </w:r>
            <w:r>
              <w:rPr>
                <w:rFonts w:ascii="Arial" w:cs="Arial" w:eastAsia="Arial" w:hAnsi="Arial"/>
                <w:b/>
                <w:bCs/>
                <w:i w:val="false"/>
                <w:iCs w:val="false"/>
                <w:color w:val="0070C0"/>
                <w:sz w:val="18"/>
                <w:szCs w:val="18"/>
              </w:rPr>
              <w:t xml:space="preserve">R12m</w:t>
            </w:r>
            <w:r>
              <w:rPr>
                <w:rFonts w:ascii="Arial" w:cs="Arial" w:eastAsia="Arial" w:hAnsi="Arial"/>
                <w:b w:val="false"/>
                <w:bCs w:val="false"/>
                <w:i w:val="false"/>
                <w:iCs w:val="false"/>
                <w:color w:val="0070C0"/>
                <w:sz w:val="18"/>
                <w:szCs w:val="18"/>
              </w:rPr>
              <w:t xml:space="preserve"> · tax at 27% = </w:t>
            </w:r>
            <w:r>
              <w:rPr>
                <w:rFonts w:ascii="Arial" w:cs="Arial" w:eastAsia="Arial" w:hAnsi="Arial"/>
                <w:b/>
                <w:bCs/>
                <w:i w:val="false"/>
                <w:iCs w:val="false"/>
                <w:color w:val="0070C0"/>
                <w:sz w:val="18"/>
                <w:szCs w:val="18"/>
              </w:rPr>
              <w:t xml:space="preserve">R3.24m</w:t>
            </w:r>
          </w:p>
          <w:p>
            <w:pPr>
              <w:pStyle w:val="ListParagraph"/>
              <w:numPr>
                <w:ilvl w:val="0"/>
                <w:numId w:val="2"/>
              </w:numPr>
              <w:spacing w:after="40" w:before="0" w:line="250" w:lineRule="auto"/>
            </w:pPr>
            <w:r>
              <w:rPr>
                <w:rFonts w:ascii="Arial" w:cs="Arial" w:eastAsia="Arial" w:hAnsi="Arial"/>
                <w:b w:val="false"/>
                <w:bCs w:val="false"/>
                <w:i w:val="false"/>
                <w:iCs w:val="false"/>
                <w:color w:val="0070C0"/>
                <w:sz w:val="18"/>
                <w:szCs w:val="18"/>
              </w:rPr>
              <w:t xml:space="preserve">Balance of assessed loss carried forward = R250m − R48m = </w:t>
            </w:r>
            <w:r>
              <w:rPr>
                <w:rFonts w:ascii="Arial" w:cs="Arial" w:eastAsia="Arial" w:hAnsi="Arial"/>
                <w:b/>
                <w:bCs/>
                <w:i w:val="false"/>
                <w:iCs w:val="false"/>
                <w:color w:val="0070C0"/>
                <w:sz w:val="18"/>
                <w:szCs w:val="18"/>
              </w:rPr>
              <w:t xml:space="preserve">R202m</w:t>
            </w:r>
          </w:p>
          <w:p>
            <w:pPr>
              <w:pStyle w:val="ListParagraph"/>
              <w:numPr>
                <w:ilvl w:val="0"/>
                <w:numId w:val="2"/>
              </w:numPr>
              <w:spacing w:after="0" w:before="0" w:line="250" w:lineRule="auto"/>
            </w:pPr>
            <w:r>
              <w:rPr>
                <w:rFonts w:ascii="Arial" w:cs="Arial" w:eastAsia="Arial" w:hAnsi="Arial"/>
                <w:b/>
                <w:bCs/>
                <w:i w:val="false"/>
                <w:iCs w:val="false"/>
                <w:color w:val="0070C0"/>
                <w:sz w:val="18"/>
                <w:szCs w:val="18"/>
              </w:rPr>
              <w:t xml:space="preserve">So even once the SPV becomes profitable it pays tax, and the R250m takes many years to absorb.</w:t>
            </w:r>
            <w:r>
              <w:rPr>
                <w:rFonts w:ascii="Arial" w:cs="Arial" w:eastAsia="Arial" w:hAnsi="Arial"/>
                <w:b w:val="false"/>
                <w:bCs w:val="false"/>
                <w:i w:val="false"/>
                <w:iCs w:val="false"/>
                <w:color w:val="0070C0"/>
                <w:sz w:val="18"/>
                <w:szCs w:val="18"/>
              </w:rPr>
              <w:t xml:space="preserve"> This is why the present value of the deduction in Route C is far below its nominal value — and it is the quantified answer to “why does structure matter?”</w:t>
            </w:r>
          </w:p>
        </w:tc>
      </w:tr>
    </w:tbl>
    <w:p>
      <w:pPr>
        <w:keepNext w:val="false"/>
        <w:spacing w:after="0" w:before="0" w:line="250" w:lineRule="auto"/>
      </w:pPr>
      <w:r>
        <w:rPr>
          <w:rFonts w:ascii="Arial" w:cs="Arial" w:eastAsia="Arial" w:hAnsi="Arial"/>
          <w:sz w:val="12"/>
          <w:szCs w:val="12"/>
        </w:rPr>
        <w:t xml:space="preserve"/>
      </w:r>
    </w:p>
    <w:p>
      <w:pPr>
        <w:keepNext/>
        <w:pBdr>
          <w:bottom w:val="single" w:color="000000" w:sz="8" w:space="2"/>
        </w:pBdr>
        <w:spacing w:after="110" w:before="260" w:line="250" w:lineRule="auto"/>
      </w:pPr>
      <w:r>
        <w:rPr>
          <w:rFonts w:ascii="Arial" w:cs="Arial" w:eastAsia="Arial" w:hAnsi="Arial"/>
          <w:b/>
          <w:bCs/>
          <w:i w:val="false"/>
          <w:iCs w:val="false"/>
          <w:color w:val="000000"/>
          <w:sz w:val="26"/>
          <w:szCs w:val="26"/>
        </w:rPr>
        <w:t xml:space="preserve">G. Other taxes</w:t>
      </w:r>
    </w:p>
    <w:p>
      <w:pPr>
        <w:keepNext/>
        <w:spacing w:after="70" w:before="200" w:line="250" w:lineRule="auto"/>
      </w:pPr>
      <w:r>
        <w:rPr>
          <w:rFonts w:ascii="Arial" w:cs="Arial" w:eastAsia="Arial" w:hAnsi="Arial"/>
          <w:b/>
          <w:bCs/>
          <w:i w:val="false"/>
          <w:iCs w:val="false"/>
          <w:color w:val="000000"/>
          <w:sz w:val="22"/>
          <w:szCs w:val="22"/>
        </w:rPr>
        <w:t xml:space="preserve">Table 16 — VAT, dividends tax and carbon tax</w:t>
      </w:r>
    </w:p>
    <w:tbl>
      <w:tblPr>
        <w:tblW w:type="dxa" w:w="10300"/>
        <w:tblBorders>
          <w:top w:val="single" w:color="auto" w:sz="4"/>
          <w:left w:val="single" w:color="auto" w:sz="4"/>
          <w:bottom w:val="single" w:color="auto" w:sz="4"/>
          <w:right w:val="single" w:color="auto" w:sz="4"/>
          <w:insideH w:val="single" w:color="auto" w:sz="4"/>
          <w:insideV w:val="single" w:color="auto" w:sz="4"/>
        </w:tblBorders>
      </w:tblPr>
      <w:tblGrid>
        <w:gridCol w:w="4326"/>
        <w:gridCol w:w="5974"/>
      </w:tblGrid>
      <w:tr>
        <w:trPr>
          <w:tblHeader/>
        </w:trPr>
        <w:tc>
          <w:tcPr>
            <w:tcW w:type="dxa" w:w="4326"/>
            <w:tcBorders>
              <w:top w:val="single" w:color="888888" w:sz="4"/>
              <w:left w:val="single" w:color="888888" w:sz="4"/>
              <w:bottom w:val="single" w:color="888888" w:sz="4"/>
              <w:right w:val="single" w:color="888888" w:sz="4"/>
            </w:tcBorders>
            <w:shd w:fill="E8E8E8" w:val="clear"/>
            <w:tcMar>
              <w:top w:type="dxa" w:w="60"/>
              <w:left w:type="dxa" w:w="80"/>
              <w:bottom w:type="dxa" w:w="60"/>
              <w:right w:type="dxa" w:w="80"/>
            </w:tcMar>
            <w:vAlign w:val="center"/>
          </w:tcPr>
          <w:p>
            <w:pPr>
              <w:keepNext w:val="false"/>
              <w:spacing w:after="0" w:before="0" w:line="250" w:lineRule="auto"/>
            </w:pPr>
            <w:r>
              <w:rPr>
                <w:rFonts w:ascii="Arial" w:cs="Arial" w:eastAsia="Arial" w:hAnsi="Arial"/>
                <w:b/>
                <w:bCs/>
                <w:i w:val="false"/>
                <w:iCs w:val="false"/>
                <w:color w:val="000000"/>
                <w:sz w:val="18"/>
                <w:szCs w:val="18"/>
              </w:rPr>
              <w:t xml:space="preserve">Legislation — what the Act says</w:t>
            </w:r>
          </w:p>
        </w:tc>
        <w:tc>
          <w:tcPr>
            <w:tcW w:type="dxa" w:w="5974"/>
            <w:tcBorders>
              <w:top w:val="single" w:color="888888" w:sz="4"/>
              <w:left w:val="single" w:color="888888" w:sz="4"/>
              <w:bottom w:val="single" w:color="888888" w:sz="4"/>
              <w:right w:val="single" w:color="888888" w:sz="4"/>
            </w:tcBorders>
            <w:shd w:fill="E8E8E8" w:val="clear"/>
            <w:tcMar>
              <w:top w:type="dxa" w:w="60"/>
              <w:left w:type="dxa" w:w="80"/>
              <w:bottom w:type="dxa" w:w="60"/>
              <w:right w:type="dxa" w:w="80"/>
            </w:tcMar>
            <w:vAlign w:val="center"/>
          </w:tcPr>
          <w:p>
            <w:pPr>
              <w:keepNext w:val="false"/>
              <w:spacing w:after="0" w:before="0" w:line="250" w:lineRule="auto"/>
            </w:pPr>
            <w:r>
              <w:rPr>
                <w:rFonts w:ascii="Arial" w:cs="Arial" w:eastAsia="Arial" w:hAnsi="Arial"/>
                <w:b/>
                <w:bCs/>
                <w:i w:val="false"/>
                <w:iCs w:val="false"/>
                <w:color w:val="000000"/>
                <w:sz w:val="18"/>
                <w:szCs w:val="18"/>
              </w:rPr>
              <w:t xml:space="preserve">Application to Axion — tax consequences</w:t>
            </w:r>
          </w:p>
        </w:tc>
      </w:tr>
      <w:tr>
        <w:tc>
          <w:tcPr>
            <w:tcW w:type="dxa" w:w="4326"/>
            <w:tcBorders>
              <w:top w:val="single" w:color="888888" w:sz="4"/>
              <w:left w:val="single" w:color="888888" w:sz="4"/>
              <w:bottom w:val="single" w:color="888888" w:sz="4"/>
              <w:right w:val="single" w:color="888888" w:sz="4"/>
            </w:tcBorders>
            <w:tcMar>
              <w:top w:type="dxa" w:w="60"/>
              <w:left w:type="dxa" w:w="80"/>
              <w:bottom w:type="dxa" w:w="60"/>
              <w:right w:type="dxa" w:w="80"/>
            </w:tcMar>
          </w:tcPr>
          <w:p>
            <w:pPr>
              <w:pStyle w:val="ListParagraph"/>
              <w:numPr>
                <w:ilvl w:val="0"/>
                <w:numId w:val="2"/>
              </w:numPr>
              <w:spacing w:after="40" w:before="0" w:line="250" w:lineRule="auto"/>
            </w:pPr>
            <w:r>
              <w:rPr>
                <w:rFonts w:ascii="Arial" w:cs="Arial" w:eastAsia="Arial" w:hAnsi="Arial"/>
                <w:b/>
                <w:bCs/>
                <w:i w:val="false"/>
                <w:iCs w:val="false"/>
                <w:color w:val="000000"/>
                <w:sz w:val="18"/>
                <w:szCs w:val="18"/>
              </w:rPr>
              <w:t xml:space="preserve">VAT — 15%.</w:t>
            </w:r>
            <w:r>
              <w:rPr>
                <w:rFonts w:ascii="Arial" w:cs="Arial" w:eastAsia="Arial" w:hAnsi="Arial"/>
                <w:b w:val="false"/>
                <w:bCs w:val="false"/>
                <w:i w:val="false"/>
                <w:iCs w:val="false"/>
                <w:color w:val="000000"/>
                <w:sz w:val="18"/>
                <w:szCs w:val="18"/>
              </w:rPr>
              <w:t xml:space="preserve"> The supply of electricity is a </w:t>
            </w:r>
            <w:r>
              <w:rPr>
                <w:rFonts w:ascii="Arial" w:cs="Arial" w:eastAsia="Arial" w:hAnsi="Arial"/>
                <w:b/>
                <w:bCs/>
                <w:i w:val="false"/>
                <w:iCs w:val="false"/>
                <w:color w:val="000000"/>
                <w:sz w:val="18"/>
                <w:szCs w:val="18"/>
              </w:rPr>
              <w:t xml:space="preserve">standard-rated taxable supply</w:t>
            </w:r>
            <w:r>
              <w:rPr>
                <w:rFonts w:ascii="Arial" w:cs="Arial" w:eastAsia="Arial" w:hAnsi="Arial"/>
                <w:b w:val="false"/>
                <w:bCs w:val="false"/>
                <w:i w:val="false"/>
                <w:iCs w:val="false"/>
                <w:color w:val="000000"/>
                <w:sz w:val="18"/>
                <w:szCs w:val="18"/>
              </w:rPr>
              <w:t xml:space="preserve">. Not zero-rated, not exempt.</w:t>
            </w:r>
          </w:p>
          <w:p>
            <w:pPr>
              <w:pStyle w:val="ListParagraph"/>
              <w:numPr>
                <w:ilvl w:val="0"/>
                <w:numId w:val="2"/>
              </w:numPr>
              <w:spacing w:after="40" w:before="0" w:line="250" w:lineRule="auto"/>
            </w:pPr>
            <w:r>
              <w:rPr>
                <w:rFonts w:ascii="Arial" w:cs="Arial" w:eastAsia="Arial" w:hAnsi="Arial"/>
                <w:b/>
                <w:bCs/>
                <w:i w:val="false"/>
                <w:iCs w:val="false"/>
                <w:color w:val="000000"/>
                <w:sz w:val="18"/>
                <w:szCs w:val="18"/>
              </w:rPr>
              <w:t xml:space="preserve">Input tax</w:t>
            </w:r>
            <w:r>
              <w:rPr>
                <w:rFonts w:ascii="Arial" w:cs="Arial" w:eastAsia="Arial" w:hAnsi="Arial"/>
                <w:b w:val="false"/>
                <w:bCs w:val="false"/>
                <w:i w:val="false"/>
                <w:iCs w:val="false"/>
                <w:color w:val="000000"/>
                <w:sz w:val="18"/>
                <w:szCs w:val="18"/>
              </w:rPr>
              <w:t xml:space="preserve"> on construction, plant and imported equipment is claimable to the extent acquired for making </w:t>
            </w:r>
            <w:r>
              <w:rPr>
                <w:rFonts w:ascii="Arial" w:cs="Arial" w:eastAsia="Arial" w:hAnsi="Arial"/>
                <w:b/>
                <w:bCs/>
                <w:i w:val="false"/>
                <w:iCs w:val="false"/>
                <w:color w:val="000000"/>
                <w:sz w:val="18"/>
                <w:szCs w:val="18"/>
              </w:rPr>
              <w:t xml:space="preserve">taxable supplies</w:t>
            </w:r>
            <w:r>
              <w:rPr>
                <w:rFonts w:ascii="Arial" w:cs="Arial" w:eastAsia="Arial" w:hAnsi="Arial"/>
                <w:b w:val="false"/>
                <w:bCs w:val="false"/>
                <w:i w:val="false"/>
                <w:iCs w:val="false"/>
                <w:color w:val="000000"/>
                <w:sz w:val="18"/>
                <w:szCs w:val="18"/>
              </w:rPr>
              <w:t xml:space="preserve"> (s16(3) read with s17).</w:t>
            </w:r>
          </w:p>
          <w:p>
            <w:pPr>
              <w:pStyle w:val="ListParagraph"/>
              <w:numPr>
                <w:ilvl w:val="0"/>
                <w:numId w:val="2"/>
              </w:numPr>
              <w:spacing w:after="0" w:before="0" w:line="250" w:lineRule="auto"/>
            </w:pPr>
            <w:r>
              <w:rPr>
                <w:rFonts w:ascii="Arial" w:cs="Arial" w:eastAsia="Arial" w:hAnsi="Arial"/>
                <w:b w:val="false"/>
                <w:bCs w:val="false"/>
                <w:i w:val="false"/>
                <w:iCs w:val="false"/>
                <w:color w:val="000000"/>
                <w:sz w:val="18"/>
                <w:szCs w:val="18"/>
              </w:rPr>
              <w:t xml:space="preserve">VAT on importation is payable on imported equipment and is recoverable; </w:t>
            </w:r>
            <w:r>
              <w:rPr>
                <w:rFonts w:ascii="Arial" w:cs="Arial" w:eastAsia="Arial" w:hAnsi="Arial"/>
                <w:b/>
                <w:bCs/>
                <w:i w:val="false"/>
                <w:iCs w:val="false"/>
                <w:color w:val="000000"/>
                <w:sz w:val="18"/>
                <w:szCs w:val="18"/>
              </w:rPr>
              <w:t xml:space="preserve">customs duty is not</w:t>
            </w:r>
            <w:r>
              <w:rPr>
                <w:rFonts w:ascii="Arial" w:cs="Arial" w:eastAsia="Arial" w:hAnsi="Arial"/>
                <w:b w:val="false"/>
                <w:bCs w:val="false"/>
                <w:i w:val="false"/>
                <w:iCs w:val="false"/>
                <w:color w:val="000000"/>
                <w:sz w:val="18"/>
                <w:szCs w:val="18"/>
              </w:rPr>
              <w:t xml:space="preserve">.</w:t>
            </w:r>
          </w:p>
        </w:tc>
        <w:tc>
          <w:tcPr>
            <w:tcW w:type="dxa" w:w="5974"/>
            <w:tcBorders>
              <w:top w:val="single" w:color="888888" w:sz="4"/>
              <w:left w:val="single" w:color="888888" w:sz="4"/>
              <w:bottom w:val="single" w:color="888888" w:sz="4"/>
              <w:right w:val="single" w:color="888888" w:sz="4"/>
            </w:tcBorders>
            <w:tcMar>
              <w:top w:type="dxa" w:w="60"/>
              <w:left w:type="dxa" w:w="80"/>
              <w:bottom w:type="dxa" w:w="60"/>
              <w:right w:type="dxa" w:w="80"/>
            </w:tcMar>
          </w:tcPr>
          <w:p>
            <w:pPr>
              <w:pStyle w:val="ListParagraph"/>
              <w:numPr>
                <w:ilvl w:val="0"/>
                <w:numId w:val="2"/>
              </w:numPr>
              <w:spacing w:after="40" w:before="0" w:line="250" w:lineRule="auto"/>
            </w:pPr>
            <w:r>
              <w:rPr>
                <w:rFonts w:ascii="Arial" w:cs="Arial" w:eastAsia="Arial" w:hAnsi="Arial"/>
                <w:b w:val="false"/>
                <w:bCs w:val="false"/>
                <w:i w:val="false"/>
                <w:iCs w:val="false"/>
                <w:color w:val="0070C0"/>
                <w:sz w:val="18"/>
                <w:szCs w:val="18"/>
              </w:rPr>
              <w:t xml:space="preserve">Axion </w:t>
            </w:r>
            <w:r>
              <w:rPr>
                <w:rFonts w:ascii="Arial" w:cs="Arial" w:eastAsia="Arial" w:hAnsi="Arial"/>
                <w:b/>
                <w:bCs/>
                <w:i w:val="false"/>
                <w:iCs w:val="false"/>
                <w:color w:val="0070C0"/>
                <w:sz w:val="18"/>
                <w:szCs w:val="18"/>
              </w:rPr>
              <w:t xml:space="preserve">recharges electricity to customers</w:t>
            </w:r>
            <w:r>
              <w:rPr>
                <w:rFonts w:ascii="Arial" w:cs="Arial" w:eastAsia="Arial" w:hAnsi="Arial"/>
                <w:b w:val="false"/>
                <w:bCs w:val="false"/>
                <w:i w:val="false"/>
                <w:iCs w:val="false"/>
                <w:color w:val="0070C0"/>
                <w:sz w:val="18"/>
                <w:szCs w:val="18"/>
              </w:rPr>
              <w:t xml:space="preserve">, separately metered, including a contribution to cooling the facility (Document 5, page 14). That recharge is consideration for a taxable supply → </w:t>
            </w:r>
            <w:r>
              <w:rPr>
                <w:rFonts w:ascii="Arial" w:cs="Arial" w:eastAsia="Arial" w:hAnsi="Arial"/>
                <w:b/>
                <w:bCs/>
                <w:i w:val="false"/>
                <w:iCs w:val="false"/>
                <w:color w:val="0070C0"/>
                <w:sz w:val="18"/>
                <w:szCs w:val="18"/>
              </w:rPr>
              <w:t xml:space="preserve">output VAT at 15%</w:t>
            </w:r>
            <w:r>
              <w:rPr>
                <w:rFonts w:ascii="Arial" w:cs="Arial" w:eastAsia="Arial" w:hAnsi="Arial"/>
                <w:b w:val="false"/>
                <w:bCs w:val="false"/>
                <w:i w:val="false"/>
                <w:iCs w:val="false"/>
                <w:color w:val="0070C0"/>
                <w:sz w:val="18"/>
                <w:szCs w:val="18"/>
              </w:rPr>
              <w:t xml:space="preserve">.</w:t>
            </w:r>
          </w:p>
          <w:p>
            <w:pPr>
              <w:pStyle w:val="ListParagraph"/>
              <w:numPr>
                <w:ilvl w:val="0"/>
                <w:numId w:val="2"/>
              </w:numPr>
              <w:spacing w:after="40" w:before="0" w:line="250" w:lineRule="auto"/>
            </w:pPr>
            <w:r>
              <w:rPr>
                <w:rFonts w:ascii="Arial" w:cs="Arial" w:eastAsia="Arial" w:hAnsi="Arial"/>
                <w:b w:val="false"/>
                <w:bCs w:val="false"/>
                <w:i w:val="false"/>
                <w:iCs w:val="false"/>
                <w:color w:val="0070C0"/>
                <w:sz w:val="18"/>
                <w:szCs w:val="18"/>
              </w:rPr>
              <w:t xml:space="preserve">Input tax on the renewable plant, on PPA purchases from a VAT-registered producer, and on wheeling charges is </w:t>
            </w:r>
            <w:r>
              <w:rPr>
                <w:rFonts w:ascii="Arial" w:cs="Arial" w:eastAsia="Arial" w:hAnsi="Arial"/>
                <w:b/>
                <w:bCs/>
                <w:i w:val="false"/>
                <w:iCs w:val="false"/>
                <w:color w:val="0070C0"/>
                <w:sz w:val="18"/>
                <w:szCs w:val="18"/>
              </w:rPr>
              <w:t xml:space="preserve">fully claimable</w:t>
            </w:r>
            <w:r>
              <w:rPr>
                <w:rFonts w:ascii="Arial" w:cs="Arial" w:eastAsia="Arial" w:hAnsi="Arial"/>
                <w:b w:val="false"/>
                <w:bCs w:val="false"/>
                <w:i w:val="false"/>
                <w:iCs w:val="false"/>
                <w:color w:val="0070C0"/>
                <w:sz w:val="18"/>
                <w:szCs w:val="18"/>
              </w:rPr>
              <w:t xml:space="preserve">, because Axion makes taxable supplies.</w:t>
            </w:r>
          </w:p>
          <w:p>
            <w:pPr>
              <w:pStyle w:val="ListParagraph"/>
              <w:numPr>
                <w:ilvl w:val="0"/>
                <w:numId w:val="2"/>
              </w:numPr>
              <w:spacing w:after="40" w:before="0" w:line="250" w:lineRule="auto"/>
            </w:pPr>
            <w:r>
              <w:rPr>
                <w:rFonts w:ascii="Arial" w:cs="Arial" w:eastAsia="Arial" w:hAnsi="Arial"/>
                <w:b/>
                <w:bCs/>
                <w:i w:val="false"/>
                <w:iCs w:val="false"/>
                <w:color w:val="0070C0"/>
                <w:sz w:val="18"/>
                <w:szCs w:val="18"/>
              </w:rPr>
              <w:t xml:space="preserve">Worked example.</w:t>
            </w:r>
            <w:r>
              <w:rPr>
                <w:rFonts w:ascii="Arial" w:cs="Arial" w:eastAsia="Arial" w:hAnsi="Arial"/>
                <w:b w:val="false"/>
                <w:bCs w:val="false"/>
                <w:i w:val="false"/>
                <w:iCs w:val="false"/>
                <w:color w:val="0070C0"/>
                <w:sz w:val="18"/>
                <w:szCs w:val="18"/>
              </w:rPr>
              <w:t xml:space="preserve"> Project X plant of R450m excluding VAT → input tax of R67.5m claimable, improving the project cash flow in the VAT period of acquisition. </w:t>
            </w:r>
            <w:r>
              <w:rPr>
                <w:rFonts w:ascii="Arial" w:cs="Arial" w:eastAsia="Arial" w:hAnsi="Arial"/>
                <w:b/>
                <w:bCs/>
                <w:i w:val="false"/>
                <w:iCs w:val="false"/>
                <w:color w:val="0070C0"/>
                <w:sz w:val="18"/>
                <w:szCs w:val="18"/>
              </w:rPr>
              <w:t xml:space="preserve">Show the VAT as a timing benefit in the cash flow, not as a cost.</w:t>
            </w:r>
          </w:p>
          <w:p>
            <w:pPr>
              <w:pStyle w:val="ListParagraph"/>
              <w:numPr>
                <w:ilvl w:val="0"/>
                <w:numId w:val="2"/>
              </w:numPr>
              <w:spacing w:after="0" w:before="0" w:line="250" w:lineRule="auto"/>
            </w:pPr>
            <w:r>
              <w:rPr>
                <w:rFonts w:ascii="Arial" w:cs="Arial" w:eastAsia="Arial" w:hAnsi="Arial"/>
                <w:b w:val="false"/>
                <w:bCs w:val="false"/>
                <w:i w:val="false"/>
                <w:iCs w:val="false"/>
                <w:color w:val="0070C0"/>
                <w:sz w:val="18"/>
                <w:szCs w:val="18"/>
              </w:rPr>
              <w:t xml:space="preserve">Imported equipment: VAT recoverable, </w:t>
            </w:r>
            <w:r>
              <w:rPr>
                <w:rFonts w:ascii="Arial" w:cs="Arial" w:eastAsia="Arial" w:hAnsi="Arial"/>
                <w:b/>
                <w:bCs/>
                <w:i w:val="false"/>
                <w:iCs w:val="false"/>
                <w:color w:val="0070C0"/>
                <w:sz w:val="18"/>
                <w:szCs w:val="18"/>
              </w:rPr>
              <w:t xml:space="preserve">customs duty is a real cost</w:t>
            </w:r>
            <w:r>
              <w:rPr>
                <w:rFonts w:ascii="Arial" w:cs="Arial" w:eastAsia="Arial" w:hAnsi="Arial"/>
                <w:b w:val="false"/>
                <w:bCs w:val="false"/>
                <w:i w:val="false"/>
                <w:iCs w:val="false"/>
                <w:color w:val="0070C0"/>
                <w:sz w:val="18"/>
                <w:szCs w:val="18"/>
              </w:rPr>
              <w:t xml:space="preserve"> and belongs in the project capital cost. [WAITING FOR INPUT — information on the day]: whether equipment is imported and the duty rate.</w:t>
            </w:r>
          </w:p>
        </w:tc>
      </w:tr>
      <w:tr>
        <w:tc>
          <w:tcPr>
            <w:tcW w:type="dxa" w:w="4326"/>
            <w:tcBorders>
              <w:top w:val="single" w:color="888888" w:sz="4"/>
              <w:left w:val="single" w:color="888888" w:sz="4"/>
              <w:bottom w:val="single" w:color="888888" w:sz="4"/>
              <w:right w:val="single" w:color="888888" w:sz="4"/>
            </w:tcBorders>
            <w:tcMar>
              <w:top w:type="dxa" w:w="60"/>
              <w:left w:type="dxa" w:w="80"/>
              <w:bottom w:type="dxa" w:w="60"/>
              <w:right w:type="dxa" w:w="80"/>
            </w:tcMar>
          </w:tcPr>
          <w:p>
            <w:pPr>
              <w:pStyle w:val="ListParagraph"/>
              <w:numPr>
                <w:ilvl w:val="0"/>
                <w:numId w:val="2"/>
              </w:numPr>
              <w:spacing w:after="40" w:before="0" w:line="250" w:lineRule="auto"/>
            </w:pPr>
            <w:r>
              <w:rPr>
                <w:rFonts w:ascii="Arial" w:cs="Arial" w:eastAsia="Arial" w:hAnsi="Arial"/>
                <w:b/>
                <w:bCs/>
                <w:i w:val="false"/>
                <w:iCs w:val="false"/>
                <w:color w:val="000000"/>
                <w:sz w:val="18"/>
                <w:szCs w:val="18"/>
              </w:rPr>
              <w:t xml:space="preserve">Dividends tax — 20%.</w:t>
            </w:r>
            <w:r>
              <w:rPr>
                <w:rFonts w:ascii="Arial" w:cs="Arial" w:eastAsia="Arial" w:hAnsi="Arial"/>
                <w:b w:val="false"/>
                <w:bCs w:val="false"/>
                <w:i w:val="false"/>
                <w:iCs w:val="false"/>
                <w:color w:val="000000"/>
                <w:sz w:val="18"/>
                <w:szCs w:val="18"/>
              </w:rPr>
              <w:t xml:space="preserve"> Withheld on dividends paid by a resident company to its shareholders.</w:t>
            </w:r>
          </w:p>
          <w:p>
            <w:pPr>
              <w:pStyle w:val="ListParagraph"/>
              <w:numPr>
                <w:ilvl w:val="0"/>
                <w:numId w:val="2"/>
              </w:numPr>
              <w:spacing w:after="0" w:before="0" w:line="250" w:lineRule="auto"/>
            </w:pPr>
            <w:r>
              <w:rPr>
                <w:rFonts w:ascii="Arial" w:cs="Arial" w:eastAsia="Arial" w:hAnsi="Arial"/>
                <w:b w:val="false"/>
                <w:bCs w:val="false"/>
                <w:i w:val="false"/>
                <w:iCs w:val="false"/>
                <w:color w:val="000000"/>
                <w:sz w:val="18"/>
                <w:szCs w:val="18"/>
              </w:rPr>
              <w:t xml:space="preserve">Exemptions apply, most relevantly where the beneficial owner is a </w:t>
            </w:r>
            <w:r>
              <w:rPr>
                <w:rFonts w:ascii="Arial" w:cs="Arial" w:eastAsia="Arial" w:hAnsi="Arial"/>
                <w:b/>
                <w:bCs/>
                <w:i w:val="false"/>
                <w:iCs w:val="false"/>
                <w:color w:val="000000"/>
                <w:sz w:val="18"/>
                <w:szCs w:val="18"/>
              </w:rPr>
              <w:t xml:space="preserve">South African resident company</w:t>
            </w:r>
            <w:r>
              <w:rPr>
                <w:rFonts w:ascii="Arial" w:cs="Arial" w:eastAsia="Arial" w:hAnsi="Arial"/>
                <w:b w:val="false"/>
                <w:bCs w:val="false"/>
                <w:i w:val="false"/>
                <w:iCs w:val="false"/>
                <w:color w:val="000000"/>
                <w:sz w:val="18"/>
                <w:szCs w:val="18"/>
              </w:rPr>
              <w:t xml:space="preserve">, subject to the required declaration and written undertaking being given before payment.</w:t>
            </w:r>
          </w:p>
        </w:tc>
        <w:tc>
          <w:tcPr>
            <w:tcW w:type="dxa" w:w="5974"/>
            <w:tcBorders>
              <w:top w:val="single" w:color="888888" w:sz="4"/>
              <w:left w:val="single" w:color="888888" w:sz="4"/>
              <w:bottom w:val="single" w:color="888888" w:sz="4"/>
              <w:right w:val="single" w:color="888888" w:sz="4"/>
            </w:tcBorders>
            <w:tcMar>
              <w:top w:type="dxa" w:w="60"/>
              <w:left w:type="dxa" w:w="80"/>
              <w:bottom w:type="dxa" w:w="60"/>
              <w:right w:type="dxa" w:w="80"/>
            </w:tcMar>
          </w:tcPr>
          <w:p>
            <w:pPr>
              <w:pStyle w:val="ListParagraph"/>
              <w:numPr>
                <w:ilvl w:val="0"/>
                <w:numId w:val="2"/>
              </w:numPr>
              <w:spacing w:after="40" w:before="0" w:line="250" w:lineRule="auto"/>
            </w:pPr>
            <w:r>
              <w:rPr>
                <w:rFonts w:ascii="Arial" w:cs="Arial" w:eastAsia="Arial" w:hAnsi="Arial"/>
                <w:b w:val="false"/>
                <w:bCs w:val="false"/>
                <w:i w:val="false"/>
                <w:iCs w:val="false"/>
                <w:color w:val="0070C0"/>
                <w:sz w:val="18"/>
                <w:szCs w:val="18"/>
              </w:rPr>
              <w:t xml:space="preserve">Only relevant on the </w:t>
            </w:r>
            <w:r>
              <w:rPr>
                <w:rFonts w:ascii="Arial" w:cs="Arial" w:eastAsia="Arial" w:hAnsi="Arial"/>
                <w:b/>
                <w:bCs/>
                <w:i w:val="false"/>
                <w:iCs w:val="false"/>
                <w:color w:val="0070C0"/>
                <w:sz w:val="18"/>
                <w:szCs w:val="18"/>
              </w:rPr>
              <w:t xml:space="preserve">Route C (SPV)</w:t>
            </w:r>
            <w:r>
              <w:rPr>
                <w:rFonts w:ascii="Arial" w:cs="Arial" w:eastAsia="Arial" w:hAnsi="Arial"/>
                <w:b w:val="false"/>
                <w:bCs w:val="false"/>
                <w:i w:val="false"/>
                <w:iCs w:val="false"/>
                <w:color w:val="0070C0"/>
                <w:sz w:val="18"/>
                <w:szCs w:val="18"/>
              </w:rPr>
              <w:t xml:space="preserve"> structure, when the project company distributes profits up to Axion.</w:t>
            </w:r>
          </w:p>
          <w:p>
            <w:pPr>
              <w:pStyle w:val="ListParagraph"/>
              <w:numPr>
                <w:ilvl w:val="0"/>
                <w:numId w:val="2"/>
              </w:numPr>
              <w:spacing w:after="40" w:before="0" w:line="250" w:lineRule="auto"/>
            </w:pPr>
            <w:r>
              <w:rPr>
                <w:rFonts w:ascii="Arial" w:cs="Arial" w:eastAsia="Arial" w:hAnsi="Arial"/>
                <w:b w:val="false"/>
                <w:bCs w:val="false"/>
                <w:i w:val="false"/>
                <w:iCs w:val="false"/>
                <w:color w:val="0070C0"/>
                <w:sz w:val="18"/>
                <w:szCs w:val="18"/>
              </w:rPr>
              <w:t xml:space="preserve">If the SPV is SA resident and Axion is SA resident, a dividend from the SPV to Axion should be </w:t>
            </w:r>
            <w:r>
              <w:rPr>
                <w:rFonts w:ascii="Arial" w:cs="Arial" w:eastAsia="Arial" w:hAnsi="Arial"/>
                <w:b/>
                <w:bCs/>
                <w:i w:val="false"/>
                <w:iCs w:val="false"/>
                <w:color w:val="0070C0"/>
                <w:sz w:val="18"/>
                <w:szCs w:val="18"/>
              </w:rPr>
              <w:t xml:space="preserve">exempt</w:t>
            </w:r>
            <w:r>
              <w:rPr>
                <w:rFonts w:ascii="Arial" w:cs="Arial" w:eastAsia="Arial" w:hAnsi="Arial"/>
                <w:b w:val="false"/>
                <w:bCs w:val="false"/>
                <w:i w:val="false"/>
                <w:iCs w:val="false"/>
                <w:color w:val="0070C0"/>
                <w:sz w:val="18"/>
                <w:szCs w:val="18"/>
              </w:rPr>
              <w:t xml:space="preserve"> provided the declaration and undertaking are in place. Say that the exemption is </w:t>
            </w:r>
            <w:r>
              <w:rPr>
                <w:rFonts w:ascii="Arial" w:cs="Arial" w:eastAsia="Arial" w:hAnsi="Arial"/>
                <w:b/>
                <w:bCs/>
                <w:i w:val="false"/>
                <w:iCs w:val="false"/>
                <w:color w:val="0070C0"/>
                <w:sz w:val="18"/>
                <w:szCs w:val="18"/>
              </w:rPr>
              <w:t xml:space="preserve">procedural</w:t>
            </w:r>
            <w:r>
              <w:rPr>
                <w:rFonts w:ascii="Arial" w:cs="Arial" w:eastAsia="Arial" w:hAnsi="Arial"/>
                <w:b w:val="false"/>
                <w:bCs w:val="false"/>
                <w:i w:val="false"/>
                <w:iCs w:val="false"/>
                <w:color w:val="0070C0"/>
                <w:sz w:val="18"/>
                <w:szCs w:val="18"/>
              </w:rPr>
              <w:t xml:space="preserve"> — it is not automatic, and missing paperwork costs 20%.</w:t>
            </w:r>
          </w:p>
          <w:p>
            <w:pPr>
              <w:pStyle w:val="ListParagraph"/>
              <w:numPr>
                <w:ilvl w:val="0"/>
                <w:numId w:val="2"/>
              </w:numPr>
              <w:spacing w:after="0" w:before="0" w:line="250" w:lineRule="auto"/>
            </w:pPr>
            <w:r>
              <w:rPr>
                <w:rFonts w:ascii="Arial" w:cs="Arial" w:eastAsia="Arial" w:hAnsi="Arial"/>
                <w:b/>
                <w:bCs/>
                <w:i w:val="false"/>
                <w:iCs w:val="false"/>
                <w:color w:val="0070C0"/>
                <w:sz w:val="18"/>
                <w:szCs w:val="18"/>
              </w:rPr>
              <w:t xml:space="preserve">Worked example.</w:t>
            </w:r>
            <w:r>
              <w:rPr>
                <w:rFonts w:ascii="Arial" w:cs="Arial" w:eastAsia="Arial" w:hAnsi="Arial"/>
                <w:b w:val="false"/>
                <w:bCs w:val="false"/>
                <w:i w:val="false"/>
                <w:iCs w:val="false"/>
                <w:color w:val="0070C0"/>
                <w:sz w:val="18"/>
                <w:szCs w:val="18"/>
              </w:rPr>
              <w:t xml:space="preserve"> SPV distributes R50m to Axion. With the declaration: dividends tax </w:t>
            </w:r>
            <w:r>
              <w:rPr>
                <w:rFonts w:ascii="Arial" w:cs="Arial" w:eastAsia="Arial" w:hAnsi="Arial"/>
                <w:b/>
                <w:bCs/>
                <w:i w:val="false"/>
                <w:iCs w:val="false"/>
                <w:color w:val="0070C0"/>
                <w:sz w:val="18"/>
                <w:szCs w:val="18"/>
              </w:rPr>
              <w:t xml:space="preserve">nil</w:t>
            </w:r>
            <w:r>
              <w:rPr>
                <w:rFonts w:ascii="Arial" w:cs="Arial" w:eastAsia="Arial" w:hAnsi="Arial"/>
                <w:b w:val="false"/>
                <w:bCs w:val="false"/>
                <w:i w:val="false"/>
                <w:iCs w:val="false"/>
                <w:color w:val="0070C0"/>
                <w:sz w:val="18"/>
                <w:szCs w:val="18"/>
              </w:rPr>
              <w:t xml:space="preserve">. Without it: </w:t>
            </w:r>
            <w:r>
              <w:rPr>
                <w:rFonts w:ascii="Arial" w:cs="Arial" w:eastAsia="Arial" w:hAnsi="Arial"/>
                <w:b/>
                <w:bCs/>
                <w:i w:val="false"/>
                <w:iCs w:val="false"/>
                <w:color w:val="0070C0"/>
                <w:sz w:val="18"/>
                <w:szCs w:val="18"/>
              </w:rPr>
              <w:t xml:space="preserve">R10m</w:t>
            </w:r>
            <w:r>
              <w:rPr>
                <w:rFonts w:ascii="Arial" w:cs="Arial" w:eastAsia="Arial" w:hAnsi="Arial"/>
                <w:b w:val="false"/>
                <w:bCs w:val="false"/>
                <w:i w:val="false"/>
                <w:iCs w:val="false"/>
                <w:color w:val="0070C0"/>
                <w:sz w:val="18"/>
                <w:szCs w:val="18"/>
              </w:rPr>
              <w:t xml:space="preserve"> withheld. Worth a sentence of practical advice.</w:t>
            </w:r>
          </w:p>
        </w:tc>
      </w:tr>
      <w:tr>
        <w:tc>
          <w:tcPr>
            <w:tcW w:type="dxa" w:w="4326"/>
            <w:tcBorders>
              <w:top w:val="single" w:color="888888" w:sz="4"/>
              <w:left w:val="single" w:color="888888" w:sz="4"/>
              <w:bottom w:val="single" w:color="888888" w:sz="4"/>
              <w:right w:val="single" w:color="888888" w:sz="4"/>
            </w:tcBorders>
            <w:tcMar>
              <w:top w:type="dxa" w:w="60"/>
              <w:left w:type="dxa" w:w="80"/>
              <w:bottom w:type="dxa" w:w="60"/>
              <w:right w:type="dxa" w:w="80"/>
            </w:tcMar>
          </w:tcPr>
          <w:p>
            <w:pPr>
              <w:pStyle w:val="ListParagraph"/>
              <w:numPr>
                <w:ilvl w:val="0"/>
                <w:numId w:val="2"/>
              </w:numPr>
              <w:spacing w:after="40" w:before="0" w:line="250" w:lineRule="auto"/>
            </w:pPr>
            <w:r>
              <w:rPr>
                <w:rFonts w:ascii="Arial" w:cs="Arial" w:eastAsia="Arial" w:hAnsi="Arial"/>
                <w:b/>
                <w:bCs/>
                <w:i w:val="false"/>
                <w:iCs w:val="false"/>
                <w:color w:val="000000"/>
                <w:sz w:val="18"/>
                <w:szCs w:val="18"/>
              </w:rPr>
              <w:t xml:space="preserve">Carbon Tax Act 15 of 2019.</w:t>
            </w:r>
            <w:r>
              <w:rPr>
                <w:rFonts w:ascii="Arial" w:cs="Arial" w:eastAsia="Arial" w:hAnsi="Arial"/>
                <w:b w:val="false"/>
                <w:bCs w:val="false"/>
                <w:i w:val="false"/>
                <w:iCs w:val="false"/>
                <w:color w:val="000000"/>
                <w:sz w:val="18"/>
                <w:szCs w:val="18"/>
              </w:rPr>
              <w:t xml:space="preserve"> Tax on greenhouse gas emissions from </w:t>
            </w:r>
            <w:r>
              <w:rPr>
                <w:rFonts w:ascii="Arial" w:cs="Arial" w:eastAsia="Arial" w:hAnsi="Arial"/>
                <w:b/>
                <w:bCs/>
                <w:i w:val="false"/>
                <w:iCs w:val="false"/>
                <w:color w:val="000000"/>
                <w:sz w:val="18"/>
                <w:szCs w:val="18"/>
              </w:rPr>
              <w:t xml:space="preserve">fuel combustion</w:t>
            </w:r>
            <w:r>
              <w:rPr>
                <w:rFonts w:ascii="Arial" w:cs="Arial" w:eastAsia="Arial" w:hAnsi="Arial"/>
                <w:b w:val="false"/>
                <w:bCs w:val="false"/>
                <w:i w:val="false"/>
                <w:iCs w:val="false"/>
                <w:color w:val="000000"/>
                <w:sz w:val="18"/>
                <w:szCs w:val="18"/>
              </w:rPr>
              <w:t xml:space="preserve">, industrial process and fugitive sources, where the taxpayer conducts an activity above the threshold for that activity.</w:t>
            </w:r>
          </w:p>
          <w:p>
            <w:pPr>
              <w:pStyle w:val="ListParagraph"/>
              <w:numPr>
                <w:ilvl w:val="0"/>
                <w:numId w:val="2"/>
              </w:numPr>
              <w:spacing w:after="40" w:before="0" w:line="250" w:lineRule="auto"/>
            </w:pPr>
            <w:r>
              <w:rPr>
                <w:rFonts w:ascii="Arial" w:cs="Arial" w:eastAsia="Arial" w:hAnsi="Arial"/>
                <w:b w:val="false"/>
                <w:bCs w:val="false"/>
                <w:i w:val="false"/>
                <w:iCs w:val="false"/>
                <w:color w:val="000000"/>
                <w:sz w:val="18"/>
                <w:szCs w:val="18"/>
              </w:rPr>
              <w:t xml:space="preserve">Stationary combustion is measured by </w:t>
            </w:r>
            <w:r>
              <w:rPr>
                <w:rFonts w:ascii="Arial" w:cs="Arial" w:eastAsia="Arial" w:hAnsi="Arial"/>
                <w:b/>
                <w:bCs/>
                <w:i w:val="false"/>
                <w:iCs w:val="false"/>
                <w:color w:val="000000"/>
                <w:sz w:val="18"/>
                <w:szCs w:val="18"/>
              </w:rPr>
              <w:t xml:space="preserve">aggregated installed thermal capacity</w:t>
            </w:r>
            <w:r>
              <w:rPr>
                <w:rFonts w:ascii="Arial" w:cs="Arial" w:eastAsia="Arial" w:hAnsi="Arial"/>
                <w:b w:val="false"/>
                <w:bCs w:val="false"/>
                <w:i w:val="false"/>
                <w:iCs w:val="false"/>
                <w:color w:val="000000"/>
                <w:sz w:val="18"/>
                <w:szCs w:val="18"/>
              </w:rPr>
              <w:t xml:space="preserve">.</w:t>
            </w:r>
          </w:p>
          <w:p>
            <w:pPr>
              <w:pStyle w:val="ListParagraph"/>
              <w:numPr>
                <w:ilvl w:val="0"/>
                <w:numId w:val="2"/>
              </w:numPr>
              <w:spacing w:after="40" w:before="0" w:line="250" w:lineRule="auto"/>
            </w:pPr>
            <w:r>
              <w:rPr>
                <w:rFonts w:ascii="Arial" w:cs="Arial" w:eastAsia="Arial" w:hAnsi="Arial"/>
                <w:b w:val="false"/>
                <w:bCs w:val="false"/>
                <w:i w:val="false"/>
                <w:iCs w:val="false"/>
                <w:color w:val="000000"/>
                <w:sz w:val="18"/>
                <w:szCs w:val="18"/>
              </w:rPr>
              <w:t xml:space="preserve">The tax falls on </w:t>
            </w:r>
            <w:r>
              <w:rPr>
                <w:rFonts w:ascii="Arial" w:cs="Arial" w:eastAsia="Arial" w:hAnsi="Arial"/>
                <w:b/>
                <w:bCs/>
                <w:i w:val="false"/>
                <w:iCs w:val="false"/>
                <w:color w:val="000000"/>
                <w:sz w:val="18"/>
                <w:szCs w:val="18"/>
              </w:rPr>
              <w:t xml:space="preserve">Scope 1</w:t>
            </w:r>
            <w:r>
              <w:rPr>
                <w:rFonts w:ascii="Arial" w:cs="Arial" w:eastAsia="Arial" w:hAnsi="Arial"/>
                <w:b w:val="false"/>
                <w:bCs w:val="false"/>
                <w:i w:val="false"/>
                <w:iCs w:val="false"/>
                <w:color w:val="000000"/>
                <w:sz w:val="18"/>
                <w:szCs w:val="18"/>
              </w:rPr>
              <w:t xml:space="preserve"> emissions. It does </w:t>
            </w:r>
            <w:r>
              <w:rPr>
                <w:rFonts w:ascii="Arial" w:cs="Arial" w:eastAsia="Arial" w:hAnsi="Arial"/>
                <w:b/>
                <w:bCs/>
                <w:i w:val="false"/>
                <w:iCs w:val="false"/>
                <w:color w:val="000000"/>
                <w:sz w:val="18"/>
                <w:szCs w:val="18"/>
              </w:rPr>
              <w:t xml:space="preserve">not</w:t>
            </w:r>
            <w:r>
              <w:rPr>
                <w:rFonts w:ascii="Arial" w:cs="Arial" w:eastAsia="Arial" w:hAnsi="Arial"/>
                <w:b w:val="false"/>
                <w:bCs w:val="false"/>
                <w:i w:val="false"/>
                <w:iCs w:val="false"/>
                <w:color w:val="000000"/>
                <w:sz w:val="18"/>
                <w:szCs w:val="18"/>
              </w:rPr>
              <w:t xml:space="preserve"> fall on Scope 2 emissions from purchased electricity — the generator bears it.</w:t>
            </w:r>
          </w:p>
          <w:p>
            <w:pPr>
              <w:pStyle w:val="ListParagraph"/>
              <w:numPr>
                <w:ilvl w:val="0"/>
                <w:numId w:val="2"/>
              </w:numPr>
              <w:spacing w:after="0" w:before="0" w:line="250" w:lineRule="auto"/>
            </w:pPr>
            <w:r>
              <w:rPr>
                <w:rFonts w:ascii="Arial" w:cs="Arial" w:eastAsia="Arial" w:hAnsi="Arial"/>
                <w:b/>
                <w:bCs/>
                <w:i w:val="false"/>
                <w:iCs w:val="false"/>
                <w:color w:val="000000"/>
                <w:sz w:val="18"/>
                <w:szCs w:val="18"/>
              </w:rPr>
              <w:t xml:space="preserve">[NOT VERIFIED — confirm the registration threshold and the current carbon tax rate before using a figure.]</w:t>
            </w:r>
          </w:p>
        </w:tc>
        <w:tc>
          <w:tcPr>
            <w:tcW w:type="dxa" w:w="5974"/>
            <w:tcBorders>
              <w:top w:val="single" w:color="888888" w:sz="4"/>
              <w:left w:val="single" w:color="888888" w:sz="4"/>
              <w:bottom w:val="single" w:color="888888" w:sz="4"/>
              <w:right w:val="single" w:color="888888" w:sz="4"/>
            </w:tcBorders>
            <w:tcMar>
              <w:top w:type="dxa" w:w="60"/>
              <w:left w:type="dxa" w:w="80"/>
              <w:bottom w:type="dxa" w:w="60"/>
              <w:right w:type="dxa" w:w="80"/>
            </w:tcMar>
          </w:tcPr>
          <w:p>
            <w:pPr>
              <w:pStyle w:val="ListParagraph"/>
              <w:numPr>
                <w:ilvl w:val="0"/>
                <w:numId w:val="2"/>
              </w:numPr>
              <w:spacing w:after="40" w:before="0" w:line="250" w:lineRule="auto"/>
            </w:pPr>
            <w:r>
              <w:rPr>
                <w:rFonts w:ascii="Arial" w:cs="Arial" w:eastAsia="Arial" w:hAnsi="Arial"/>
                <w:b/>
                <w:bCs/>
                <w:i w:val="false"/>
                <w:iCs w:val="false"/>
                <w:color w:val="0070C0"/>
                <w:sz w:val="18"/>
                <w:szCs w:val="18"/>
              </w:rPr>
              <w:t xml:space="preserve">Axion’s Scope 1 exposure is its diesel backup generators</w:t>
            </w:r>
            <w:r>
              <w:rPr>
                <w:rFonts w:ascii="Arial" w:cs="Arial" w:eastAsia="Arial" w:hAnsi="Arial"/>
                <w:b w:val="false"/>
                <w:bCs w:val="false"/>
                <w:i w:val="false"/>
                <w:iCs w:val="false"/>
                <w:color w:val="0070C0"/>
                <w:sz w:val="18"/>
                <w:szCs w:val="18"/>
              </w:rPr>
              <w:t xml:space="preserve"> (Document 7, page 19). Note the pack says diesel used in backup generators is </w:t>
            </w:r>
            <w:r>
              <w:rPr>
                <w:rFonts w:ascii="Arial" w:cs="Arial" w:eastAsia="Arial" w:hAnsi="Arial"/>
                <w:b/>
                <w:bCs/>
                <w:i w:val="false"/>
                <w:iCs w:val="false"/>
                <w:color w:val="0070C0"/>
                <w:sz w:val="18"/>
                <w:szCs w:val="18"/>
              </w:rPr>
              <w:t xml:space="preserve">excluded</w:t>
            </w:r>
            <w:r>
              <w:rPr>
                <w:rFonts w:ascii="Arial" w:cs="Arial" w:eastAsia="Arial" w:hAnsi="Arial"/>
                <w:b w:val="false"/>
                <w:bCs w:val="false"/>
                <w:i w:val="false"/>
                <w:iCs w:val="false"/>
                <w:color w:val="0070C0"/>
                <w:sz w:val="18"/>
                <w:szCs w:val="18"/>
              </w:rPr>
              <w:t xml:space="preserve"> from the electricity mix table — a classic place for a question to hide.</w:t>
            </w:r>
          </w:p>
          <w:p>
            <w:pPr>
              <w:pStyle w:val="ListParagraph"/>
              <w:numPr>
                <w:ilvl w:val="0"/>
                <w:numId w:val="2"/>
              </w:numPr>
              <w:spacing w:after="40" w:before="0" w:line="250" w:lineRule="auto"/>
            </w:pPr>
            <w:r>
              <w:rPr>
                <w:rFonts w:ascii="Arial" w:cs="Arial" w:eastAsia="Arial" w:hAnsi="Arial"/>
                <w:b/>
                <w:bCs/>
                <w:i w:val="false"/>
                <w:iCs w:val="false"/>
                <w:color w:val="0070C0"/>
                <w:sz w:val="18"/>
                <w:szCs w:val="18"/>
              </w:rPr>
              <w:t xml:space="preserve">[WAITING FOR INPUT — information on the day]:</w:t>
            </w:r>
            <w:r>
              <w:rPr>
                <w:rFonts w:ascii="Arial" w:cs="Arial" w:eastAsia="Arial" w:hAnsi="Arial"/>
                <w:b w:val="false"/>
                <w:bCs w:val="false"/>
                <w:i w:val="false"/>
                <w:iCs w:val="false"/>
                <w:color w:val="0070C0"/>
                <w:sz w:val="18"/>
                <w:szCs w:val="18"/>
              </w:rPr>
              <w:t xml:space="preserve"> aggregated installed thermal capacity of the generators across the five facilities, and whether Axion is registered for carbon tax.</w:t>
            </w:r>
          </w:p>
          <w:p>
            <w:pPr>
              <w:pStyle w:val="ListParagraph"/>
              <w:numPr>
                <w:ilvl w:val="0"/>
                <w:numId w:val="2"/>
              </w:numPr>
              <w:spacing w:after="40" w:before="0" w:line="250" w:lineRule="auto"/>
            </w:pPr>
            <w:r>
              <w:rPr>
                <w:rFonts w:ascii="Arial" w:cs="Arial" w:eastAsia="Arial" w:hAnsi="Arial"/>
                <w:b/>
                <w:bCs/>
                <w:i w:val="false"/>
                <w:iCs w:val="false"/>
                <w:color w:val="0070C0"/>
                <w:sz w:val="18"/>
                <w:szCs w:val="18"/>
              </w:rPr>
              <w:t xml:space="preserve">The point most candidates will get wrong, so make it:</w:t>
            </w:r>
            <w:r>
              <w:rPr>
                <w:rFonts w:ascii="Arial" w:cs="Arial" w:eastAsia="Arial" w:hAnsi="Arial"/>
                <w:b w:val="false"/>
                <w:bCs w:val="false"/>
                <w:i w:val="false"/>
                <w:iCs w:val="false"/>
                <w:color w:val="0070C0"/>
                <w:sz w:val="18"/>
                <w:szCs w:val="18"/>
              </w:rPr>
              <w:t xml:space="preserve"> buying renewable electricity reduces Axion’s </w:t>
            </w:r>
            <w:r>
              <w:rPr>
                <w:rFonts w:ascii="Arial" w:cs="Arial" w:eastAsia="Arial" w:hAnsi="Arial"/>
                <w:b/>
                <w:bCs/>
                <w:i w:val="false"/>
                <w:iCs w:val="false"/>
                <w:color w:val="0070C0"/>
                <w:sz w:val="18"/>
                <w:szCs w:val="18"/>
              </w:rPr>
              <w:t xml:space="preserve">Scope 2</w:t>
            </w:r>
            <w:r>
              <w:rPr>
                <w:rFonts w:ascii="Arial" w:cs="Arial" w:eastAsia="Arial" w:hAnsi="Arial"/>
                <w:b w:val="false"/>
                <w:bCs w:val="false"/>
                <w:i w:val="false"/>
                <w:iCs w:val="false"/>
                <w:color w:val="0070C0"/>
                <w:sz w:val="18"/>
                <w:szCs w:val="18"/>
              </w:rPr>
              <w:t xml:space="preserve"> emissions, which are </w:t>
            </w:r>
            <w:r>
              <w:rPr>
                <w:rFonts w:ascii="Arial" w:cs="Arial" w:eastAsia="Arial" w:hAnsi="Arial"/>
                <w:b/>
                <w:bCs/>
                <w:i w:val="false"/>
                <w:iCs w:val="false"/>
                <w:color w:val="0070C0"/>
                <w:sz w:val="18"/>
                <w:szCs w:val="18"/>
              </w:rPr>
              <w:t xml:space="preserve">not</w:t>
            </w:r>
            <w:r>
              <w:rPr>
                <w:rFonts w:ascii="Arial" w:cs="Arial" w:eastAsia="Arial" w:hAnsi="Arial"/>
                <w:b w:val="false"/>
                <w:bCs w:val="false"/>
                <w:i w:val="false"/>
                <w:iCs w:val="false"/>
                <w:color w:val="0070C0"/>
                <w:sz w:val="18"/>
                <w:szCs w:val="18"/>
              </w:rPr>
              <w:t xml:space="preserve"> directly carbon taxed in South Africa. So a renewable PPA or wheeling arrangement delivers a sustainability and reputational benefit but </w:t>
            </w:r>
            <w:r>
              <w:rPr>
                <w:rFonts w:ascii="Arial" w:cs="Arial" w:eastAsia="Arial" w:hAnsi="Arial"/>
                <w:b/>
                <w:bCs/>
                <w:i w:val="false"/>
                <w:iCs w:val="false"/>
                <w:color w:val="0070C0"/>
                <w:sz w:val="18"/>
                <w:szCs w:val="18"/>
              </w:rPr>
              <w:t xml:space="preserve">little or no carbon tax saving.</w:t>
            </w:r>
            <w:r>
              <w:rPr>
                <w:rFonts w:ascii="Arial" w:cs="Arial" w:eastAsia="Arial" w:hAnsi="Arial"/>
                <w:b w:val="false"/>
                <w:bCs w:val="false"/>
                <w:i w:val="false"/>
                <w:iCs w:val="false"/>
                <w:color w:val="0070C0"/>
                <w:sz w:val="18"/>
                <w:szCs w:val="18"/>
              </w:rPr>
              <w:t xml:space="preserve"> Do not put a carbon tax saving into the NPV without establishing that it exists.</w:t>
            </w:r>
          </w:p>
          <w:p>
            <w:pPr>
              <w:pStyle w:val="ListParagraph"/>
              <w:numPr>
                <w:ilvl w:val="0"/>
                <w:numId w:val="2"/>
              </w:numPr>
              <w:spacing w:after="0" w:before="0" w:line="250" w:lineRule="auto"/>
            </w:pPr>
            <w:r>
              <w:rPr>
                <w:rFonts w:ascii="Arial" w:cs="Arial" w:eastAsia="Arial" w:hAnsi="Arial"/>
                <w:b w:val="false"/>
                <w:bCs w:val="false"/>
                <w:i w:val="false"/>
                <w:iCs w:val="false"/>
                <w:color w:val="0070C0"/>
                <w:sz w:val="18"/>
                <w:szCs w:val="18"/>
              </w:rPr>
              <w:t xml:space="preserve">Renewable generation also does </w:t>
            </w:r>
            <w:r>
              <w:rPr>
                <w:rFonts w:ascii="Arial" w:cs="Arial" w:eastAsia="Arial" w:hAnsi="Arial"/>
                <w:b/>
                <w:bCs/>
                <w:i w:val="false"/>
                <w:iCs w:val="false"/>
                <w:color w:val="0070C0"/>
                <w:sz w:val="18"/>
                <w:szCs w:val="18"/>
              </w:rPr>
              <w:t xml:space="preserve">not</w:t>
            </w:r>
            <w:r>
              <w:rPr>
                <w:rFonts w:ascii="Arial" w:cs="Arial" w:eastAsia="Arial" w:hAnsi="Arial"/>
                <w:b w:val="false"/>
                <w:bCs w:val="false"/>
                <w:i w:val="false"/>
                <w:iCs w:val="false"/>
                <w:color w:val="0070C0"/>
                <w:sz w:val="18"/>
                <w:szCs w:val="18"/>
              </w:rPr>
              <w:t xml:space="preserve"> remove the generators — Document 7 page 20 says resilience infrastructure is still required — so the Scope 1 exposure remains either way.</w:t>
            </w:r>
          </w:p>
        </w:tc>
      </w:tr>
    </w:tbl>
    <w:p>
      <w:pPr>
        <w:keepNext w:val="false"/>
        <w:spacing w:after="0" w:before="0" w:line="250" w:lineRule="auto"/>
      </w:pPr>
      <w:r>
        <w:rPr>
          <w:rFonts w:ascii="Arial" w:cs="Arial" w:eastAsia="Arial" w:hAnsi="Arial"/>
          <w:sz w:val="12"/>
          <w:szCs w:val="12"/>
        </w:rPr>
        <w:t xml:space="preserve"/>
      </w:r>
    </w:p>
    <w:p>
      <w:pPr>
        <w:keepNext/>
        <w:pBdr>
          <w:bottom w:val="single" w:color="000000" w:sz="8" w:space="2"/>
        </w:pBdr>
        <w:spacing w:after="110" w:before="260" w:line="250" w:lineRule="auto"/>
      </w:pPr>
      <w:r>
        <w:rPr>
          <w:rFonts w:ascii="Arial" w:cs="Arial" w:eastAsia="Arial" w:hAnsi="Arial"/>
          <w:b/>
          <w:bCs/>
          <w:i w:val="false"/>
          <w:iCs w:val="false"/>
          <w:color w:val="000000"/>
          <w:sz w:val="26"/>
          <w:szCs w:val="26"/>
        </w:rPr>
        <w:t xml:space="preserve">H. The accounting consequence</w:t>
      </w:r>
    </w:p>
    <w:p>
      <w:pPr>
        <w:keepNext/>
        <w:spacing w:after="70" w:before="200" w:line="250" w:lineRule="auto"/>
      </w:pPr>
      <w:r>
        <w:rPr>
          <w:rFonts w:ascii="Arial" w:cs="Arial" w:eastAsia="Arial" w:hAnsi="Arial"/>
          <w:b/>
          <w:bCs/>
          <w:i w:val="false"/>
          <w:iCs w:val="false"/>
          <w:color w:val="000000"/>
          <w:sz w:val="22"/>
          <w:szCs w:val="22"/>
        </w:rPr>
        <w:t xml:space="preserve">Table 17 — IAS 12 deferred tax</w:t>
      </w:r>
    </w:p>
    <w:tbl>
      <w:tblPr>
        <w:tblW w:type="dxa" w:w="10300"/>
        <w:tblBorders>
          <w:top w:val="single" w:color="auto" w:sz="4"/>
          <w:left w:val="single" w:color="auto" w:sz="4"/>
          <w:bottom w:val="single" w:color="auto" w:sz="4"/>
          <w:right w:val="single" w:color="auto" w:sz="4"/>
          <w:insideH w:val="single" w:color="auto" w:sz="4"/>
          <w:insideV w:val="single" w:color="auto" w:sz="4"/>
        </w:tblBorders>
      </w:tblPr>
      <w:tblGrid>
        <w:gridCol w:w="4326"/>
        <w:gridCol w:w="5974"/>
      </w:tblGrid>
      <w:tr>
        <w:trPr>
          <w:tblHeader/>
        </w:trPr>
        <w:tc>
          <w:tcPr>
            <w:tcW w:type="dxa" w:w="4326"/>
            <w:tcBorders>
              <w:top w:val="single" w:color="888888" w:sz="4"/>
              <w:left w:val="single" w:color="888888" w:sz="4"/>
              <w:bottom w:val="single" w:color="888888" w:sz="4"/>
              <w:right w:val="single" w:color="888888" w:sz="4"/>
            </w:tcBorders>
            <w:shd w:fill="E8E8E8" w:val="clear"/>
            <w:tcMar>
              <w:top w:type="dxa" w:w="60"/>
              <w:left w:type="dxa" w:w="80"/>
              <w:bottom w:type="dxa" w:w="60"/>
              <w:right w:type="dxa" w:w="80"/>
            </w:tcMar>
            <w:vAlign w:val="center"/>
          </w:tcPr>
          <w:p>
            <w:pPr>
              <w:keepNext w:val="false"/>
              <w:spacing w:after="0" w:before="0" w:line="250" w:lineRule="auto"/>
            </w:pPr>
            <w:r>
              <w:rPr>
                <w:rFonts w:ascii="Arial" w:cs="Arial" w:eastAsia="Arial" w:hAnsi="Arial"/>
                <w:b/>
                <w:bCs/>
                <w:i w:val="false"/>
                <w:iCs w:val="false"/>
                <w:color w:val="000000"/>
                <w:sz w:val="18"/>
                <w:szCs w:val="18"/>
              </w:rPr>
              <w:t xml:space="preserve">Standard — what IAS 12 requires</w:t>
            </w:r>
          </w:p>
        </w:tc>
        <w:tc>
          <w:tcPr>
            <w:tcW w:type="dxa" w:w="5974"/>
            <w:tcBorders>
              <w:top w:val="single" w:color="888888" w:sz="4"/>
              <w:left w:val="single" w:color="888888" w:sz="4"/>
              <w:bottom w:val="single" w:color="888888" w:sz="4"/>
              <w:right w:val="single" w:color="888888" w:sz="4"/>
            </w:tcBorders>
            <w:shd w:fill="E8E8E8" w:val="clear"/>
            <w:tcMar>
              <w:top w:type="dxa" w:w="60"/>
              <w:left w:type="dxa" w:w="80"/>
              <w:bottom w:type="dxa" w:w="60"/>
              <w:right w:type="dxa" w:w="80"/>
            </w:tcMar>
            <w:vAlign w:val="center"/>
          </w:tcPr>
          <w:p>
            <w:pPr>
              <w:keepNext w:val="false"/>
              <w:spacing w:after="0" w:before="0" w:line="250" w:lineRule="auto"/>
            </w:pPr>
            <w:r>
              <w:rPr>
                <w:rFonts w:ascii="Arial" w:cs="Arial" w:eastAsia="Arial" w:hAnsi="Arial"/>
                <w:b/>
                <w:bCs/>
                <w:i w:val="false"/>
                <w:iCs w:val="false"/>
                <w:color w:val="000000"/>
                <w:sz w:val="18"/>
                <w:szCs w:val="18"/>
              </w:rPr>
              <w:t xml:space="preserve">Application to Axion — tax consequences</w:t>
            </w:r>
          </w:p>
        </w:tc>
      </w:tr>
      <w:tr>
        <w:tc>
          <w:tcPr>
            <w:tcW w:type="dxa" w:w="4326"/>
            <w:tcBorders>
              <w:top w:val="single" w:color="888888" w:sz="4"/>
              <w:left w:val="single" w:color="888888" w:sz="4"/>
              <w:bottom w:val="single" w:color="888888" w:sz="4"/>
              <w:right w:val="single" w:color="888888" w:sz="4"/>
            </w:tcBorders>
            <w:tcMar>
              <w:top w:type="dxa" w:w="60"/>
              <w:left w:type="dxa" w:w="80"/>
              <w:bottom w:type="dxa" w:w="60"/>
              <w:right w:type="dxa" w:w="80"/>
            </w:tcMar>
          </w:tcPr>
          <w:p>
            <w:pPr>
              <w:pStyle w:val="ListParagraph"/>
              <w:numPr>
                <w:ilvl w:val="0"/>
                <w:numId w:val="2"/>
              </w:numPr>
              <w:spacing w:after="40" w:before="0" w:line="250" w:lineRule="auto"/>
            </w:pPr>
            <w:r>
              <w:rPr>
                <w:rFonts w:ascii="Arial" w:cs="Arial" w:eastAsia="Arial" w:hAnsi="Arial"/>
                <w:b w:val="false"/>
                <w:bCs w:val="false"/>
                <w:i w:val="false"/>
                <w:iCs w:val="false"/>
                <w:color w:val="000000"/>
                <w:sz w:val="18"/>
                <w:szCs w:val="18"/>
              </w:rPr>
              <w:t xml:space="preserve">A </w:t>
            </w:r>
            <w:r>
              <w:rPr>
                <w:rFonts w:ascii="Arial" w:cs="Arial" w:eastAsia="Arial" w:hAnsi="Arial"/>
                <w:b/>
                <w:bCs/>
                <w:i w:val="false"/>
                <w:iCs w:val="false"/>
                <w:color w:val="000000"/>
                <w:sz w:val="18"/>
                <w:szCs w:val="18"/>
              </w:rPr>
              <w:t xml:space="preserve">taxable temporary difference</w:t>
            </w:r>
            <w:r>
              <w:rPr>
                <w:rFonts w:ascii="Arial" w:cs="Arial" w:eastAsia="Arial" w:hAnsi="Arial"/>
                <w:b w:val="false"/>
                <w:bCs w:val="false"/>
                <w:i w:val="false"/>
                <w:iCs w:val="false"/>
                <w:color w:val="000000"/>
                <w:sz w:val="18"/>
                <w:szCs w:val="18"/>
              </w:rPr>
              <w:t xml:space="preserve"> arises where the carrying amount of an asset exceeds its tax base. It gives rise to a </w:t>
            </w:r>
            <w:r>
              <w:rPr>
                <w:rFonts w:ascii="Arial" w:cs="Arial" w:eastAsia="Arial" w:hAnsi="Arial"/>
                <w:b/>
                <w:bCs/>
                <w:i w:val="false"/>
                <w:iCs w:val="false"/>
                <w:color w:val="000000"/>
                <w:sz w:val="18"/>
                <w:szCs w:val="18"/>
              </w:rPr>
              <w:t xml:space="preserve">deferred tax liability</w:t>
            </w:r>
            <w:r>
              <w:rPr>
                <w:rFonts w:ascii="Arial" w:cs="Arial" w:eastAsia="Arial" w:hAnsi="Arial"/>
                <w:b w:val="false"/>
                <w:bCs w:val="false"/>
                <w:i w:val="false"/>
                <w:iCs w:val="false"/>
                <w:color w:val="000000"/>
                <w:sz w:val="18"/>
                <w:szCs w:val="18"/>
              </w:rPr>
              <w:t xml:space="preserve">.</w:t>
            </w:r>
          </w:p>
          <w:p>
            <w:pPr>
              <w:pStyle w:val="ListParagraph"/>
              <w:numPr>
                <w:ilvl w:val="0"/>
                <w:numId w:val="2"/>
              </w:numPr>
              <w:spacing w:after="40" w:before="0" w:line="250" w:lineRule="auto"/>
            </w:pPr>
            <w:r>
              <w:rPr>
                <w:rFonts w:ascii="Arial" w:cs="Arial" w:eastAsia="Arial" w:hAnsi="Arial"/>
                <w:b w:val="false"/>
                <w:bCs w:val="false"/>
                <w:i w:val="false"/>
                <w:iCs w:val="false"/>
                <w:color w:val="000000"/>
                <w:sz w:val="18"/>
                <w:szCs w:val="18"/>
              </w:rPr>
              <w:t xml:space="preserve">Deferred tax is measured at the rate </w:t>
            </w:r>
            <w:r>
              <w:rPr>
                <w:rFonts w:ascii="Arial" w:cs="Arial" w:eastAsia="Arial" w:hAnsi="Arial"/>
                <w:b/>
                <w:bCs/>
                <w:i w:val="false"/>
                <w:iCs w:val="false"/>
                <w:color w:val="000000"/>
                <w:sz w:val="18"/>
                <w:szCs w:val="18"/>
              </w:rPr>
              <w:t xml:space="preserve">expected to apply when the difference reverses</w:t>
            </w:r>
            <w:r>
              <w:rPr>
                <w:rFonts w:ascii="Arial" w:cs="Arial" w:eastAsia="Arial" w:hAnsi="Arial"/>
                <w:b w:val="false"/>
                <w:bCs w:val="false"/>
                <w:i w:val="false"/>
                <w:iCs w:val="false"/>
                <w:color w:val="000000"/>
                <w:sz w:val="18"/>
                <w:szCs w:val="18"/>
              </w:rPr>
              <w:t xml:space="preserve"> — </w:t>
            </w:r>
            <w:r>
              <w:rPr>
                <w:rFonts w:ascii="Arial" w:cs="Arial" w:eastAsia="Arial" w:hAnsi="Arial"/>
                <w:b/>
                <w:bCs/>
                <w:i w:val="false"/>
                <w:iCs w:val="false"/>
                <w:color w:val="000000"/>
                <w:sz w:val="18"/>
                <w:szCs w:val="18"/>
              </w:rPr>
              <w:t xml:space="preserve">27%</w:t>
            </w:r>
            <w:r>
              <w:rPr>
                <w:rFonts w:ascii="Arial" w:cs="Arial" w:eastAsia="Arial" w:hAnsi="Arial"/>
                <w:b w:val="false"/>
                <w:bCs w:val="false"/>
                <w:i w:val="false"/>
                <w:iCs w:val="false"/>
                <w:color w:val="000000"/>
                <w:sz w:val="18"/>
                <w:szCs w:val="18"/>
              </w:rPr>
              <w:t xml:space="preserve"> for companies.</w:t>
            </w:r>
          </w:p>
          <w:p>
            <w:pPr>
              <w:pStyle w:val="ListParagraph"/>
              <w:numPr>
                <w:ilvl w:val="0"/>
                <w:numId w:val="2"/>
              </w:numPr>
              <w:spacing w:after="40" w:before="0" w:line="250" w:lineRule="auto"/>
            </w:pPr>
            <w:r>
              <w:rPr>
                <w:rFonts w:ascii="Arial" w:cs="Arial" w:eastAsia="Arial" w:hAnsi="Arial"/>
                <w:b w:val="false"/>
                <w:bCs w:val="false"/>
                <w:i w:val="false"/>
                <w:iCs w:val="false"/>
                <w:color w:val="000000"/>
                <w:sz w:val="18"/>
                <w:szCs w:val="18"/>
              </w:rPr>
              <w:t xml:space="preserve">Where </w:t>
            </w:r>
            <w:r>
              <w:rPr>
                <w:rFonts w:ascii="Arial" w:cs="Arial" w:eastAsia="Arial" w:hAnsi="Arial"/>
                <w:b/>
                <w:bCs/>
                <w:i w:val="false"/>
                <w:iCs w:val="false"/>
                <w:color w:val="000000"/>
                <w:sz w:val="18"/>
                <w:szCs w:val="18"/>
              </w:rPr>
              <w:t xml:space="preserve">total deductions exceed the cost</w:t>
            </w:r>
            <w:r>
              <w:rPr>
                <w:rFonts w:ascii="Arial" w:cs="Arial" w:eastAsia="Arial" w:hAnsi="Arial"/>
                <w:b w:val="false"/>
                <w:bCs w:val="false"/>
                <w:i w:val="false"/>
                <w:iCs w:val="false"/>
                <w:color w:val="000000"/>
                <w:sz w:val="18"/>
                <w:szCs w:val="18"/>
              </w:rPr>
              <w:t xml:space="preserve"> of an asset, the excess is a </w:t>
            </w:r>
            <w:r>
              <w:rPr>
                <w:rFonts w:ascii="Arial" w:cs="Arial" w:eastAsia="Arial" w:hAnsi="Arial"/>
                <w:b/>
                <w:bCs/>
                <w:i w:val="false"/>
                <w:iCs w:val="false"/>
                <w:color w:val="000000"/>
                <w:sz w:val="18"/>
                <w:szCs w:val="18"/>
              </w:rPr>
              <w:t xml:space="preserve">permanent difference</w:t>
            </w:r>
            <w:r>
              <w:rPr>
                <w:rFonts w:ascii="Arial" w:cs="Arial" w:eastAsia="Arial" w:hAnsi="Arial"/>
                <w:b w:val="false"/>
                <w:bCs w:val="false"/>
                <w:i w:val="false"/>
                <w:iCs w:val="false"/>
                <w:color w:val="000000"/>
                <w:sz w:val="18"/>
                <w:szCs w:val="18"/>
              </w:rPr>
              <w:t xml:space="preserve">, not a temporary one. It affects the effective tax rate in the year claimed and does not create deferred tax.</w:t>
            </w:r>
          </w:p>
          <w:p>
            <w:pPr>
              <w:pStyle w:val="ListParagraph"/>
              <w:numPr>
                <w:ilvl w:val="0"/>
                <w:numId w:val="2"/>
              </w:numPr>
              <w:spacing w:after="0" w:before="0" w:line="250" w:lineRule="auto"/>
            </w:pPr>
            <w:r>
              <w:rPr>
                <w:rFonts w:ascii="Arial" w:cs="Arial" w:eastAsia="Arial" w:hAnsi="Arial"/>
                <w:b/>
                <w:bCs/>
                <w:i w:val="false"/>
                <w:iCs w:val="false"/>
                <w:color w:val="000000"/>
                <w:sz w:val="18"/>
                <w:szCs w:val="18"/>
              </w:rPr>
              <w:t xml:space="preserve">[Paragraph references not verified — check the standard text before citing a paragraph number.]</w:t>
            </w:r>
          </w:p>
        </w:tc>
        <w:tc>
          <w:tcPr>
            <w:tcW w:type="dxa" w:w="5974"/>
            <w:tcBorders>
              <w:top w:val="single" w:color="888888" w:sz="4"/>
              <w:left w:val="single" w:color="888888" w:sz="4"/>
              <w:bottom w:val="single" w:color="888888" w:sz="4"/>
              <w:right w:val="single" w:color="888888" w:sz="4"/>
            </w:tcBorders>
            <w:tcMar>
              <w:top w:type="dxa" w:w="60"/>
              <w:left w:type="dxa" w:w="80"/>
              <w:bottom w:type="dxa" w:w="60"/>
              <w:right w:type="dxa" w:w="80"/>
            </w:tcMar>
          </w:tcPr>
          <w:p>
            <w:pPr>
              <w:pStyle w:val="ListParagraph"/>
              <w:numPr>
                <w:ilvl w:val="0"/>
                <w:numId w:val="2"/>
              </w:numPr>
              <w:spacing w:after="40" w:before="0" w:line="250" w:lineRule="auto"/>
            </w:pPr>
            <w:r>
              <w:rPr>
                <w:rFonts w:ascii="Arial" w:cs="Arial" w:eastAsia="Arial" w:hAnsi="Arial"/>
                <w:b/>
                <w:bCs/>
                <w:i w:val="false"/>
                <w:iCs w:val="false"/>
                <w:color w:val="0070C0"/>
                <w:sz w:val="18"/>
                <w:szCs w:val="18"/>
              </w:rPr>
              <w:t xml:space="preserve">Worked example — Project X at the end of FY2027.</w:t>
            </w:r>
            <w:r>
              <w:rPr>
                <w:rFonts w:ascii="Arial" w:cs="Arial" w:eastAsia="Arial" w:hAnsi="Arial"/>
                <w:b w:val="false"/>
                <w:bCs w:val="false"/>
                <w:i w:val="false"/>
                <w:iCs w:val="false"/>
                <w:color w:val="0070C0"/>
                <w:sz w:val="18"/>
                <w:szCs w:val="18"/>
              </w:rPr>
              <w:t xml:space="preserve"> Plant cost R450m. Accounting depreciation over 25 years, so one year’s depreciation on a full year would be R18m; assume 2 months of use → R3m.</w:t>
            </w:r>
          </w:p>
          <w:p>
            <w:pPr>
              <w:pStyle w:val="ListParagraph"/>
              <w:numPr>
                <w:ilvl w:val="0"/>
                <w:numId w:val="2"/>
              </w:numPr>
              <w:spacing w:after="40" w:before="0" w:line="250" w:lineRule="auto"/>
            </w:pPr>
            <w:r>
              <w:rPr>
                <w:rFonts w:ascii="Arial" w:cs="Arial" w:eastAsia="Arial" w:hAnsi="Arial"/>
                <w:b w:val="false"/>
                <w:bCs w:val="false"/>
                <w:i w:val="false"/>
                <w:iCs w:val="false"/>
                <w:color w:val="0070C0"/>
                <w:sz w:val="18"/>
                <w:szCs w:val="18"/>
              </w:rPr>
              <w:t xml:space="preserve">Carrying amount = R450m − R3m = </w:t>
            </w:r>
            <w:r>
              <w:rPr>
                <w:rFonts w:ascii="Arial" w:cs="Arial" w:eastAsia="Arial" w:hAnsi="Arial"/>
                <w:b/>
                <w:bCs/>
                <w:i w:val="false"/>
                <w:iCs w:val="false"/>
                <w:color w:val="0070C0"/>
                <w:sz w:val="18"/>
                <w:szCs w:val="18"/>
              </w:rPr>
              <w:t xml:space="preserve">R447m</w:t>
            </w:r>
            <w:r>
              <w:rPr>
                <w:rFonts w:ascii="Arial" w:cs="Arial" w:eastAsia="Arial" w:hAnsi="Arial"/>
                <w:b w:val="false"/>
                <w:bCs w:val="false"/>
                <w:i w:val="false"/>
                <w:iCs w:val="false"/>
                <w:color w:val="0070C0"/>
                <w:sz w:val="18"/>
                <w:szCs w:val="18"/>
              </w:rPr>
              <w:t xml:space="preserve"> · Tax base = R450m − R225m = </w:t>
            </w:r>
            <w:r>
              <w:rPr>
                <w:rFonts w:ascii="Arial" w:cs="Arial" w:eastAsia="Arial" w:hAnsi="Arial"/>
                <w:b/>
                <w:bCs/>
                <w:i w:val="false"/>
                <w:iCs w:val="false"/>
                <w:color w:val="0070C0"/>
                <w:sz w:val="18"/>
                <w:szCs w:val="18"/>
              </w:rPr>
              <w:t xml:space="preserve">R225m</w:t>
            </w:r>
          </w:p>
          <w:p>
            <w:pPr>
              <w:pStyle w:val="ListParagraph"/>
              <w:numPr>
                <w:ilvl w:val="0"/>
                <w:numId w:val="2"/>
              </w:numPr>
              <w:spacing w:after="40" w:before="0" w:line="250" w:lineRule="auto"/>
            </w:pPr>
            <w:r>
              <w:rPr>
                <w:rFonts w:ascii="Arial" w:cs="Arial" w:eastAsia="Arial" w:hAnsi="Arial"/>
                <w:b w:val="false"/>
                <w:bCs w:val="false"/>
                <w:i w:val="false"/>
                <w:iCs w:val="false"/>
                <w:color w:val="0070C0"/>
                <w:sz w:val="18"/>
                <w:szCs w:val="18"/>
              </w:rPr>
              <w:t xml:space="preserve">Taxable temporary difference = </w:t>
            </w:r>
            <w:r>
              <w:rPr>
                <w:rFonts w:ascii="Arial" w:cs="Arial" w:eastAsia="Arial" w:hAnsi="Arial"/>
                <w:b/>
                <w:bCs/>
                <w:i w:val="false"/>
                <w:iCs w:val="false"/>
                <w:color w:val="0070C0"/>
                <w:sz w:val="18"/>
                <w:szCs w:val="18"/>
              </w:rPr>
              <w:t xml:space="preserve">R222m</w:t>
            </w:r>
            <w:r>
              <w:rPr>
                <w:rFonts w:ascii="Arial" w:cs="Arial" w:eastAsia="Arial" w:hAnsi="Arial"/>
                <w:b w:val="false"/>
                <w:bCs w:val="false"/>
                <w:i w:val="false"/>
                <w:iCs w:val="false"/>
                <w:color w:val="0070C0"/>
                <w:sz w:val="18"/>
                <w:szCs w:val="18"/>
              </w:rPr>
              <w:t xml:space="preserve"> · deferred tax liability at 27% = </w:t>
            </w:r>
            <w:r>
              <w:rPr>
                <w:rFonts w:ascii="Arial" w:cs="Arial" w:eastAsia="Arial" w:hAnsi="Arial"/>
                <w:b/>
                <w:bCs/>
                <w:i w:val="false"/>
                <w:iCs w:val="false"/>
                <w:color w:val="0070C0"/>
                <w:sz w:val="18"/>
                <w:szCs w:val="18"/>
              </w:rPr>
              <w:t xml:space="preserve">R59.94m</w:t>
            </w:r>
          </w:p>
          <w:p>
            <w:pPr>
              <w:pStyle w:val="ListParagraph"/>
              <w:numPr>
                <w:ilvl w:val="0"/>
                <w:numId w:val="2"/>
              </w:numPr>
              <w:spacing w:after="40" w:before="0" w:line="250" w:lineRule="auto"/>
            </w:pPr>
            <w:r>
              <w:rPr>
                <w:rFonts w:ascii="Arial" w:cs="Arial" w:eastAsia="Arial" w:hAnsi="Arial"/>
                <w:b/>
                <w:bCs/>
                <w:i w:val="false"/>
                <w:iCs w:val="false"/>
                <w:color w:val="0070C0"/>
                <w:sz w:val="18"/>
                <w:szCs w:val="18"/>
              </w:rPr>
              <w:t xml:space="preserve">The pattern to describe:</w:t>
            </w:r>
            <w:r>
              <w:rPr>
                <w:rFonts w:ascii="Arial" w:cs="Arial" w:eastAsia="Arial" w:hAnsi="Arial"/>
                <w:b w:val="false"/>
                <w:bCs w:val="false"/>
                <w:i w:val="false"/>
                <w:iCs w:val="false"/>
                <w:color w:val="0070C0"/>
                <w:sz w:val="18"/>
                <w:szCs w:val="18"/>
              </w:rPr>
              <w:t xml:space="preserve"> the tax base falls to nil within three years while the asset is depreciated over 25. The deferred tax liability builds very fast and then unwinds slowly over two decades — a material balance sheet movement for a business already carrying R6 850m of liabilities and being benchmarked by its investors.</w:t>
            </w:r>
          </w:p>
          <w:p>
            <w:pPr>
              <w:pStyle w:val="ListParagraph"/>
              <w:numPr>
                <w:ilvl w:val="0"/>
                <w:numId w:val="2"/>
              </w:numPr>
              <w:spacing w:after="40" w:before="0" w:line="250" w:lineRule="auto"/>
            </w:pPr>
            <w:r>
              <w:rPr>
                <w:rFonts w:ascii="Arial" w:cs="Arial" w:eastAsia="Arial" w:hAnsi="Arial"/>
                <w:b/>
                <w:bCs/>
                <w:i w:val="false"/>
                <w:iCs w:val="false"/>
                <w:color w:val="0070C0"/>
                <w:sz w:val="18"/>
                <w:szCs w:val="18"/>
              </w:rPr>
              <w:t xml:space="preserve">The 125% permanent difference.</w:t>
            </w:r>
            <w:r>
              <w:rPr>
                <w:rFonts w:ascii="Arial" w:cs="Arial" w:eastAsia="Arial" w:hAnsi="Arial"/>
                <w:b w:val="false"/>
                <w:bCs w:val="false"/>
                <w:i w:val="false"/>
                <w:iCs w:val="false"/>
                <w:color w:val="0070C0"/>
                <w:sz w:val="18"/>
                <w:szCs w:val="18"/>
              </w:rPr>
              <w:t xml:space="preserve"> On Asset Y, total deductions of R22.5m exceed cost of R18m by R4.5m. That R4.5m is a </w:t>
            </w:r>
            <w:r>
              <w:rPr>
                <w:rFonts w:ascii="Arial" w:cs="Arial" w:eastAsia="Arial" w:hAnsi="Arial"/>
                <w:b/>
                <w:bCs/>
                <w:i w:val="false"/>
                <w:iCs w:val="false"/>
                <w:color w:val="0070C0"/>
                <w:sz w:val="18"/>
                <w:szCs w:val="18"/>
              </w:rPr>
              <w:t xml:space="preserve">permanent difference</w:t>
            </w:r>
            <w:r>
              <w:rPr>
                <w:rFonts w:ascii="Arial" w:cs="Arial" w:eastAsia="Arial" w:hAnsi="Arial"/>
                <w:b w:val="false"/>
                <w:bCs w:val="false"/>
                <w:i w:val="false"/>
                <w:iCs w:val="false"/>
                <w:color w:val="0070C0"/>
                <w:sz w:val="18"/>
                <w:szCs w:val="18"/>
              </w:rPr>
              <w:t xml:space="preserve"> → it reduced the FY2025 effective tax rate by R1.215m of tax and appears as a reconciling item. It never reverses.</w:t>
            </w:r>
          </w:p>
          <w:p>
            <w:pPr>
              <w:pStyle w:val="ListParagraph"/>
              <w:numPr>
                <w:ilvl w:val="0"/>
                <w:numId w:val="2"/>
              </w:numPr>
              <w:spacing w:after="0" w:before="0" w:line="250" w:lineRule="auto"/>
            </w:pPr>
            <w:r>
              <w:rPr>
                <w:rFonts w:ascii="Arial" w:cs="Arial" w:eastAsia="Arial" w:hAnsi="Arial"/>
                <w:b w:val="false"/>
                <w:bCs w:val="false"/>
                <w:i w:val="false"/>
                <w:iCs w:val="false"/>
                <w:color w:val="0070C0"/>
                <w:sz w:val="18"/>
                <w:szCs w:val="18"/>
              </w:rPr>
              <w:t xml:space="preserve">Under </w:t>
            </w:r>
            <w:r>
              <w:rPr>
                <w:rFonts w:ascii="Arial" w:cs="Arial" w:eastAsia="Arial" w:hAnsi="Arial"/>
                <w:b/>
                <w:bCs/>
                <w:i w:val="false"/>
                <w:iCs w:val="false"/>
                <w:color w:val="0070C0"/>
                <w:sz w:val="18"/>
                <w:szCs w:val="18"/>
              </w:rPr>
              <w:t xml:space="preserve">IFRS 18</w:t>
            </w:r>
            <w:r>
              <w:rPr>
                <w:rFonts w:ascii="Arial" w:cs="Arial" w:eastAsia="Arial" w:hAnsi="Arial"/>
                <w:b w:val="false"/>
                <w:bCs w:val="false"/>
                <w:i w:val="false"/>
                <w:iCs w:val="false"/>
                <w:color w:val="0070C0"/>
                <w:sz w:val="18"/>
                <w:szCs w:val="18"/>
              </w:rPr>
              <w:t xml:space="preserve"> (trigger 3), income taxes are a separate category below profit before financing and income taxes. Keep it consistent in any remapped income statement.</w:t>
            </w:r>
          </w:p>
        </w:tc>
      </w:tr>
    </w:tbl>
    <w:p>
      <w:pPr>
        <w:keepNext w:val="false"/>
        <w:spacing w:after="0" w:before="0" w:line="250" w:lineRule="auto"/>
      </w:pPr>
      <w:r>
        <w:rPr>
          <w:rFonts w:ascii="Arial" w:cs="Arial" w:eastAsia="Arial" w:hAnsi="Arial"/>
          <w:sz w:val="12"/>
          <w:szCs w:val="12"/>
        </w:rPr>
        <w:t xml:space="preserve"/>
      </w:r>
    </w:p>
    <w:p>
      <w:pPr>
        <w:keepNext/>
        <w:pageBreakBefore/>
        <w:pBdr>
          <w:bottom w:val="single" w:color="000000" w:sz="8" w:space="2"/>
        </w:pBdr>
        <w:spacing w:after="110" w:before="0" w:line="250" w:lineRule="auto"/>
      </w:pPr>
      <w:r>
        <w:rPr>
          <w:rFonts w:ascii="Arial" w:cs="Arial" w:eastAsia="Arial" w:hAnsi="Arial"/>
          <w:b/>
          <w:bCs/>
          <w:i w:val="false"/>
          <w:iCs w:val="false"/>
          <w:color w:val="000000"/>
          <w:sz w:val="26"/>
          <w:szCs w:val="26"/>
        </w:rPr>
        <w:t xml:space="preserve">I. Consolidated worked scenario — the three routes side by side</w:t>
      </w:r>
    </w:p>
    <w:p>
      <w:pPr>
        <w:keepNext w:val="false"/>
        <w:spacing w:after="100" w:before="0" w:line="250" w:lineRule="auto"/>
      </w:pPr>
      <w:r>
        <w:rPr>
          <w:rFonts w:ascii="Arial" w:cs="Arial" w:eastAsia="Arial" w:hAnsi="Arial"/>
          <w:b w:val="false"/>
          <w:bCs w:val="false"/>
          <w:i/>
          <w:iCs/>
          <w:color w:val="000000"/>
          <w:sz w:val="18"/>
          <w:szCs w:val="18"/>
        </w:rPr>
        <w:t xml:space="preserve">All figures assumed. Replace the inputs on the day and the structure of the answer holds. Project X: 30MW solar PV, plant R450m, roads and fences R25m, grid connection R60m, land R15m, brought into use 1 May 2027 (FY2027). Axion taxable income before the project R350m. Rate 27%.</w:t>
      </w:r>
    </w:p>
    <w:p>
      <w:pPr>
        <w:keepNext/>
        <w:spacing w:after="70" w:before="200" w:line="250" w:lineRule="auto"/>
      </w:pPr>
      <w:r>
        <w:rPr>
          <w:rFonts w:ascii="Arial" w:cs="Arial" w:eastAsia="Arial" w:hAnsi="Arial"/>
          <w:b/>
          <w:bCs/>
          <w:i w:val="false"/>
          <w:iCs w:val="false"/>
          <w:color w:val="000000"/>
          <w:sz w:val="22"/>
          <w:szCs w:val="22"/>
        </w:rPr>
        <w:t xml:space="preserve">Step 1 — Allocate the cost to the right section</w:t>
      </w:r>
    </w:p>
    <w:tbl>
      <w:tblPr>
        <w:tblW w:type="dxa" w:w="10300"/>
        <w:tblBorders>
          <w:top w:val="single" w:color="auto" w:sz="4"/>
          <w:left w:val="single" w:color="auto" w:sz="4"/>
          <w:bottom w:val="single" w:color="auto" w:sz="4"/>
          <w:right w:val="single" w:color="auto" w:sz="4"/>
          <w:insideH w:val="single" w:color="auto" w:sz="4"/>
          <w:insideV w:val="single" w:color="auto" w:sz="4"/>
        </w:tblBorders>
      </w:tblPr>
      <w:tblGrid>
        <w:gridCol w:w="3090"/>
        <w:gridCol w:w="1648"/>
        <w:gridCol w:w="2884"/>
        <w:gridCol w:w="2678"/>
      </w:tblGrid>
      <w:tr>
        <w:trPr>
          <w:tblHeader/>
        </w:trPr>
        <w:tc>
          <w:tcPr>
            <w:tcW w:type="dxa" w:w="3090"/>
            <w:tcBorders>
              <w:top w:val="single" w:color="888888" w:sz="4"/>
              <w:left w:val="single" w:color="888888" w:sz="4"/>
              <w:bottom w:val="single" w:color="888888" w:sz="4"/>
              <w:right w:val="single" w:color="888888" w:sz="4"/>
            </w:tcBorders>
            <w:shd w:fill="E8E8E8" w:val="clear"/>
            <w:tcMar>
              <w:top w:type="dxa" w:w="60"/>
              <w:left w:type="dxa" w:w="80"/>
              <w:bottom w:type="dxa" w:w="60"/>
              <w:right w:type="dxa" w:w="80"/>
            </w:tcMar>
            <w:vAlign w:val="center"/>
          </w:tcPr>
          <w:p>
            <w:pPr>
              <w:keepNext w:val="false"/>
              <w:spacing w:after="0" w:before="0" w:line="250" w:lineRule="auto"/>
            </w:pPr>
            <w:r>
              <w:rPr>
                <w:rFonts w:ascii="Arial" w:cs="Arial" w:eastAsia="Arial" w:hAnsi="Arial"/>
                <w:b/>
                <w:bCs/>
                <w:i w:val="false"/>
                <w:iCs w:val="false"/>
                <w:color w:val="000000"/>
                <w:sz w:val="18"/>
                <w:szCs w:val="18"/>
              </w:rPr>
              <w:t xml:space="preserve">Cost element</w:t>
            </w:r>
          </w:p>
        </w:tc>
        <w:tc>
          <w:tcPr>
            <w:tcW w:type="dxa" w:w="1648"/>
            <w:tcBorders>
              <w:top w:val="single" w:color="888888" w:sz="4"/>
              <w:left w:val="single" w:color="888888" w:sz="4"/>
              <w:bottom w:val="single" w:color="888888" w:sz="4"/>
              <w:right w:val="single" w:color="888888" w:sz="4"/>
            </w:tcBorders>
            <w:shd w:fill="E8E8E8" w:val="clear"/>
            <w:tcMar>
              <w:top w:type="dxa" w:w="60"/>
              <w:left w:type="dxa" w:w="80"/>
              <w:bottom w:type="dxa" w:w="60"/>
              <w:right w:type="dxa" w:w="80"/>
            </w:tcMar>
            <w:vAlign w:val="center"/>
          </w:tcPr>
          <w:p>
            <w:pPr>
              <w:keepNext w:val="false"/>
              <w:spacing w:after="0" w:before="0" w:line="250" w:lineRule="auto"/>
            </w:pPr>
            <w:r>
              <w:rPr>
                <w:rFonts w:ascii="Arial" w:cs="Arial" w:eastAsia="Arial" w:hAnsi="Arial"/>
                <w:b/>
                <w:bCs/>
                <w:i w:val="false"/>
                <w:iCs w:val="false"/>
                <w:color w:val="000000"/>
                <w:sz w:val="18"/>
                <w:szCs w:val="18"/>
              </w:rPr>
              <w:t xml:space="preserve">Amount</w:t>
            </w:r>
          </w:p>
        </w:tc>
        <w:tc>
          <w:tcPr>
            <w:tcW w:type="dxa" w:w="2884"/>
            <w:tcBorders>
              <w:top w:val="single" w:color="888888" w:sz="4"/>
              <w:left w:val="single" w:color="888888" w:sz="4"/>
              <w:bottom w:val="single" w:color="888888" w:sz="4"/>
              <w:right w:val="single" w:color="888888" w:sz="4"/>
            </w:tcBorders>
            <w:shd w:fill="E8E8E8" w:val="clear"/>
            <w:tcMar>
              <w:top w:type="dxa" w:w="60"/>
              <w:left w:type="dxa" w:w="80"/>
              <w:bottom w:type="dxa" w:w="60"/>
              <w:right w:type="dxa" w:w="80"/>
            </w:tcMar>
            <w:vAlign w:val="center"/>
          </w:tcPr>
          <w:p>
            <w:pPr>
              <w:keepNext w:val="false"/>
              <w:spacing w:after="0" w:before="0" w:line="250" w:lineRule="auto"/>
            </w:pPr>
            <w:r>
              <w:rPr>
                <w:rFonts w:ascii="Arial" w:cs="Arial" w:eastAsia="Arial" w:hAnsi="Arial"/>
                <w:b/>
                <w:bCs/>
                <w:i w:val="false"/>
                <w:iCs w:val="false"/>
                <w:color w:val="000000"/>
                <w:sz w:val="18"/>
                <w:szCs w:val="18"/>
              </w:rPr>
              <w:t xml:space="preserve">Section</w:t>
            </w:r>
          </w:p>
        </w:tc>
        <w:tc>
          <w:tcPr>
            <w:tcW w:type="dxa" w:w="2678"/>
            <w:tcBorders>
              <w:top w:val="single" w:color="888888" w:sz="4"/>
              <w:left w:val="single" w:color="888888" w:sz="4"/>
              <w:bottom w:val="single" w:color="888888" w:sz="4"/>
              <w:right w:val="single" w:color="888888" w:sz="4"/>
            </w:tcBorders>
            <w:shd w:fill="E8E8E8" w:val="clear"/>
            <w:tcMar>
              <w:top w:type="dxa" w:w="60"/>
              <w:left w:type="dxa" w:w="80"/>
              <w:bottom w:type="dxa" w:w="60"/>
              <w:right w:type="dxa" w:w="80"/>
            </w:tcMar>
            <w:vAlign w:val="center"/>
          </w:tcPr>
          <w:p>
            <w:pPr>
              <w:keepNext w:val="false"/>
              <w:spacing w:after="0" w:before="0" w:line="250" w:lineRule="auto"/>
            </w:pPr>
            <w:r>
              <w:rPr>
                <w:rFonts w:ascii="Arial" w:cs="Arial" w:eastAsia="Arial" w:hAnsi="Arial"/>
                <w:b/>
                <w:bCs/>
                <w:i w:val="false"/>
                <w:iCs w:val="false"/>
                <w:color w:val="000000"/>
                <w:sz w:val="18"/>
                <w:szCs w:val="18"/>
              </w:rPr>
              <w:t xml:space="preserve">FY2027 deduction</w:t>
            </w:r>
          </w:p>
        </w:tc>
      </w:tr>
      <w:tr>
        <w:tc>
          <w:tcPr>
            <w:tcW w:type="dxa" w:w="3090"/>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Plant and machinery</w:t>
            </w:r>
          </w:p>
        </w:tc>
        <w:tc>
          <w:tcPr>
            <w:tcW w:type="dxa" w:w="1648"/>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R450m</w:t>
            </w:r>
          </w:p>
        </w:tc>
        <w:tc>
          <w:tcPr>
            <w:tcW w:type="dxa" w:w="2884"/>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s12B at 50%</w:t>
            </w:r>
          </w:p>
        </w:tc>
        <w:tc>
          <w:tcPr>
            <w:tcW w:type="dxa" w:w="2678"/>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0000"/>
                <w:sz w:val="18"/>
                <w:szCs w:val="18"/>
              </w:rPr>
              <w:t xml:space="preserve">R225.0m</w:t>
            </w:r>
          </w:p>
        </w:tc>
      </w:tr>
      <w:tr>
        <w:tc>
          <w:tcPr>
            <w:tcW w:type="dxa" w:w="3090"/>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Roads and perimeter fencing</w:t>
            </w:r>
          </w:p>
        </w:tc>
        <w:tc>
          <w:tcPr>
            <w:tcW w:type="dxa" w:w="1648"/>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R25m</w:t>
            </w:r>
          </w:p>
        </w:tc>
        <w:tc>
          <w:tcPr>
            <w:tcW w:type="dxa" w:w="2884"/>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s12U at 100%</w:t>
            </w:r>
          </w:p>
        </w:tc>
        <w:tc>
          <w:tcPr>
            <w:tcW w:type="dxa" w:w="2678"/>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0000"/>
                <w:sz w:val="18"/>
                <w:szCs w:val="18"/>
              </w:rPr>
              <w:t xml:space="preserve">R25.0m</w:t>
            </w:r>
          </w:p>
        </w:tc>
      </w:tr>
      <w:tr>
        <w:tc>
          <w:tcPr>
            <w:tcW w:type="dxa" w:w="3090"/>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Grid connection / transmission</w:t>
            </w:r>
          </w:p>
        </w:tc>
        <w:tc>
          <w:tcPr>
            <w:tcW w:type="dxa" w:w="1648"/>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R60m</w:t>
            </w:r>
          </w:p>
        </w:tc>
        <w:tc>
          <w:tcPr>
            <w:tcW w:type="dxa" w:w="2884"/>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70C0"/>
                <w:sz w:val="18"/>
                <w:szCs w:val="18"/>
              </w:rPr>
              <w:t xml:space="preserve">s12B, s13quin or s11(e) — depends on what it is</w:t>
            </w:r>
          </w:p>
        </w:tc>
        <w:tc>
          <w:tcPr>
            <w:tcW w:type="dxa" w:w="2678"/>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70C0"/>
                <w:sz w:val="18"/>
                <w:szCs w:val="18"/>
              </w:rPr>
              <w:t xml:space="preserve">R30.0m / R3.0m / R0.5m</w:t>
            </w:r>
          </w:p>
        </w:tc>
      </w:tr>
      <w:tr>
        <w:tc>
          <w:tcPr>
            <w:tcW w:type="dxa" w:w="3090"/>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Land</w:t>
            </w:r>
          </w:p>
        </w:tc>
        <w:tc>
          <w:tcPr>
            <w:tcW w:type="dxa" w:w="1648"/>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R15m</w:t>
            </w:r>
          </w:p>
        </w:tc>
        <w:tc>
          <w:tcPr>
            <w:tcW w:type="dxa" w:w="2884"/>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No allowance — base cost only</w:t>
            </w:r>
          </w:p>
        </w:tc>
        <w:tc>
          <w:tcPr>
            <w:tcW w:type="dxa" w:w="2678"/>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0000"/>
                <w:sz w:val="18"/>
                <w:szCs w:val="18"/>
              </w:rPr>
              <w:t xml:space="preserve">Nil</w:t>
            </w:r>
          </w:p>
        </w:tc>
      </w:tr>
      <w:tr>
        <w:tc>
          <w:tcPr>
            <w:tcW w:type="dxa" w:w="3090"/>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0000"/>
                <w:sz w:val="18"/>
                <w:szCs w:val="18"/>
              </w:rPr>
              <w:t xml:space="preserve">Total, excluding the grid connection</w:t>
            </w:r>
          </w:p>
        </w:tc>
        <w:tc>
          <w:tcPr>
            <w:tcW w:type="dxa" w:w="1648"/>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0000"/>
                <w:sz w:val="18"/>
                <w:szCs w:val="18"/>
              </w:rPr>
              <w:t xml:space="preserve">R550m</w:t>
            </w:r>
          </w:p>
        </w:tc>
        <w:tc>
          <w:tcPr>
            <w:tcW w:type="dxa" w:w="2884"/>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sz w:val="18"/>
                <w:szCs w:val="18"/>
              </w:rPr>
              <w:t xml:space="preserve"/>
            </w:r>
          </w:p>
        </w:tc>
        <w:tc>
          <w:tcPr>
            <w:tcW w:type="dxa" w:w="2678"/>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0000"/>
                <w:sz w:val="18"/>
                <w:szCs w:val="18"/>
              </w:rPr>
              <w:t xml:space="preserve">R250.0m</w:t>
            </w:r>
          </w:p>
        </w:tc>
      </w:tr>
    </w:tbl>
    <w:p>
      <w:pPr>
        <w:keepNext w:val="false"/>
        <w:spacing w:after="0" w:before="0" w:line="250" w:lineRule="auto"/>
      </w:pPr>
      <w:r>
        <w:rPr>
          <w:rFonts w:ascii="Arial" w:cs="Arial" w:eastAsia="Arial" w:hAnsi="Arial"/>
          <w:sz w:val="12"/>
          <w:szCs w:val="12"/>
        </w:rPr>
        <w:t xml:space="preserve"/>
      </w:r>
    </w:p>
    <w:p>
      <w:pPr>
        <w:pStyle w:val="ListParagraph"/>
        <w:numPr>
          <w:ilvl w:val="0"/>
          <w:numId w:val="2"/>
        </w:numPr>
        <w:spacing w:after="50" w:before="0" w:line="250" w:lineRule="auto"/>
      </w:pPr>
      <w:r>
        <w:rPr>
          <w:rFonts w:ascii="Arial" w:cs="Arial" w:eastAsia="Arial" w:hAnsi="Arial"/>
          <w:b/>
          <w:bCs/>
          <w:i w:val="false"/>
          <w:iCs w:val="false"/>
          <w:color w:val="0070C0"/>
          <w:sz w:val="19"/>
          <w:szCs w:val="19"/>
        </w:rPr>
        <w:t xml:space="preserve">[WAITING FOR INPUT — information on the day]:</w:t>
      </w:r>
      <w:r>
        <w:rPr>
          <w:rFonts w:ascii="Arial" w:cs="Arial" w:eastAsia="Arial" w:hAnsi="Arial"/>
          <w:b w:val="false"/>
          <w:bCs w:val="false"/>
          <w:i w:val="false"/>
          <w:iCs w:val="false"/>
          <w:color w:val="0070C0"/>
          <w:sz w:val="19"/>
          <w:szCs w:val="19"/>
        </w:rPr>
        <w:t xml:space="preserve"> the cost split. Until you have it, present the grid connection as a range with the reasoning, as above. A range with reasons scores; a guess does not.</w:t>
      </w:r>
    </w:p>
    <w:p>
      <w:pPr>
        <w:keepNext/>
        <w:spacing w:after="70" w:before="200" w:line="250" w:lineRule="auto"/>
      </w:pPr>
      <w:r>
        <w:rPr>
          <w:rFonts w:ascii="Arial" w:cs="Arial" w:eastAsia="Arial" w:hAnsi="Arial"/>
          <w:b/>
          <w:bCs/>
          <w:i w:val="false"/>
          <w:iCs w:val="false"/>
          <w:color w:val="000000"/>
          <w:sz w:val="22"/>
          <w:szCs w:val="22"/>
        </w:rPr>
        <w:t xml:space="preserve">Step 2 — Compute the tax effect under each structure</w:t>
      </w:r>
    </w:p>
    <w:tbl>
      <w:tblPr>
        <w:tblW w:type="dxa" w:w="10300"/>
        <w:tblBorders>
          <w:top w:val="single" w:color="auto" w:sz="4"/>
          <w:left w:val="single" w:color="auto" w:sz="4"/>
          <w:bottom w:val="single" w:color="auto" w:sz="4"/>
          <w:right w:val="single" w:color="auto" w:sz="4"/>
          <w:insideH w:val="single" w:color="auto" w:sz="4"/>
          <w:insideV w:val="single" w:color="auto" w:sz="4"/>
        </w:tblBorders>
      </w:tblPr>
      <w:tblGrid>
        <w:gridCol w:w="3502"/>
        <w:gridCol w:w="2266"/>
        <w:gridCol w:w="2266"/>
        <w:gridCol w:w="2266"/>
      </w:tblGrid>
      <w:tr>
        <w:trPr>
          <w:tblHeader/>
        </w:trPr>
        <w:tc>
          <w:tcPr>
            <w:tcW w:type="dxa" w:w="3502"/>
            <w:tcBorders>
              <w:top w:val="single" w:color="888888" w:sz="4"/>
              <w:left w:val="single" w:color="888888" w:sz="4"/>
              <w:bottom w:val="single" w:color="888888" w:sz="4"/>
              <w:right w:val="single" w:color="888888" w:sz="4"/>
            </w:tcBorders>
            <w:shd w:fill="E8E8E8" w:val="clear"/>
            <w:tcMar>
              <w:top w:type="dxa" w:w="60"/>
              <w:left w:type="dxa" w:w="80"/>
              <w:bottom w:type="dxa" w:w="60"/>
              <w:right w:type="dxa" w:w="80"/>
            </w:tcMar>
            <w:vAlign w:val="center"/>
          </w:tcPr>
          <w:p>
            <w:pPr>
              <w:keepNext w:val="false"/>
              <w:spacing w:after="0" w:before="0" w:line="250" w:lineRule="auto"/>
            </w:pPr>
            <w:r>
              <w:rPr>
                <w:rFonts w:ascii="Arial" w:cs="Arial" w:eastAsia="Arial" w:hAnsi="Arial"/>
                <w:sz w:val="18"/>
                <w:szCs w:val="18"/>
              </w:rPr>
              <w:t xml:space="preserve"/>
            </w:r>
          </w:p>
        </w:tc>
        <w:tc>
          <w:tcPr>
            <w:tcW w:type="dxa" w:w="2266"/>
            <w:tcBorders>
              <w:top w:val="single" w:color="888888" w:sz="4"/>
              <w:left w:val="single" w:color="888888" w:sz="4"/>
              <w:bottom w:val="single" w:color="888888" w:sz="4"/>
              <w:right w:val="single" w:color="888888" w:sz="4"/>
            </w:tcBorders>
            <w:shd w:fill="E8E8E8" w:val="clear"/>
            <w:tcMar>
              <w:top w:type="dxa" w:w="60"/>
              <w:left w:type="dxa" w:w="80"/>
              <w:bottom w:type="dxa" w:w="60"/>
              <w:right w:type="dxa" w:w="80"/>
            </w:tcMar>
            <w:vAlign w:val="center"/>
          </w:tcPr>
          <w:p>
            <w:pPr>
              <w:keepNext w:val="false"/>
              <w:spacing w:after="0" w:before="0" w:line="250" w:lineRule="auto"/>
            </w:pPr>
            <w:r>
              <w:rPr>
                <w:rFonts w:ascii="Arial" w:cs="Arial" w:eastAsia="Arial" w:hAnsi="Arial"/>
                <w:b/>
                <w:bCs/>
                <w:i w:val="false"/>
                <w:iCs w:val="false"/>
                <w:color w:val="000000"/>
                <w:sz w:val="18"/>
                <w:szCs w:val="18"/>
              </w:rPr>
              <w:t xml:space="preserve">Route A — Axion owns 100%</w:t>
            </w:r>
          </w:p>
        </w:tc>
        <w:tc>
          <w:tcPr>
            <w:tcW w:type="dxa" w:w="2266"/>
            <w:tcBorders>
              <w:top w:val="single" w:color="888888" w:sz="4"/>
              <w:left w:val="single" w:color="888888" w:sz="4"/>
              <w:bottom w:val="single" w:color="888888" w:sz="4"/>
              <w:right w:val="single" w:color="888888" w:sz="4"/>
            </w:tcBorders>
            <w:shd w:fill="E8E8E8" w:val="clear"/>
            <w:tcMar>
              <w:top w:type="dxa" w:w="60"/>
              <w:left w:type="dxa" w:w="80"/>
              <w:bottom w:type="dxa" w:w="60"/>
              <w:right w:type="dxa" w:w="80"/>
            </w:tcMar>
            <w:vAlign w:val="center"/>
          </w:tcPr>
          <w:p>
            <w:pPr>
              <w:keepNext w:val="false"/>
              <w:spacing w:after="0" w:before="0" w:line="250" w:lineRule="auto"/>
            </w:pPr>
            <w:r>
              <w:rPr>
                <w:rFonts w:ascii="Arial" w:cs="Arial" w:eastAsia="Arial" w:hAnsi="Arial"/>
                <w:b/>
                <w:bCs/>
                <w:i w:val="false"/>
                <w:iCs w:val="false"/>
                <w:color w:val="000000"/>
                <w:sz w:val="18"/>
                <w:szCs w:val="18"/>
              </w:rPr>
              <w:t xml:space="preserve">Route B — 50/50 joint operation</w:t>
            </w:r>
          </w:p>
        </w:tc>
        <w:tc>
          <w:tcPr>
            <w:tcW w:type="dxa" w:w="2266"/>
            <w:tcBorders>
              <w:top w:val="single" w:color="888888" w:sz="4"/>
              <w:left w:val="single" w:color="888888" w:sz="4"/>
              <w:bottom w:val="single" w:color="888888" w:sz="4"/>
              <w:right w:val="single" w:color="888888" w:sz="4"/>
            </w:tcBorders>
            <w:shd w:fill="E8E8E8" w:val="clear"/>
            <w:tcMar>
              <w:top w:type="dxa" w:w="60"/>
              <w:left w:type="dxa" w:w="80"/>
              <w:bottom w:type="dxa" w:w="60"/>
              <w:right w:type="dxa" w:w="80"/>
            </w:tcMar>
            <w:vAlign w:val="center"/>
          </w:tcPr>
          <w:p>
            <w:pPr>
              <w:keepNext w:val="false"/>
              <w:spacing w:after="0" w:before="0" w:line="250" w:lineRule="auto"/>
            </w:pPr>
            <w:r>
              <w:rPr>
                <w:rFonts w:ascii="Arial" w:cs="Arial" w:eastAsia="Arial" w:hAnsi="Arial"/>
                <w:b/>
                <w:bCs/>
                <w:i w:val="false"/>
                <w:iCs w:val="false"/>
                <w:color w:val="000000"/>
                <w:sz w:val="18"/>
                <w:szCs w:val="18"/>
              </w:rPr>
              <w:t xml:space="preserve">Route C — SPV owns, Axion buys output</w:t>
            </w:r>
          </w:p>
        </w:tc>
      </w:tr>
      <w:tr>
        <w:tc>
          <w:tcPr>
            <w:tcW w:type="dxa" w:w="3502"/>
            <w:tcBorders>
              <w:top w:val="single" w:color="888888" w:sz="4"/>
              <w:left w:val="single" w:color="888888" w:sz="4"/>
              <w:bottom w:val="single" w:color="888888" w:sz="4"/>
              <w:right w:val="single" w:color="888888" w:sz="4"/>
            </w:tcBorders>
            <w:shd w:fill="F2F2F2" w:val="clear"/>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Who claims</w:t>
            </w:r>
          </w:p>
        </w:tc>
        <w:tc>
          <w:tcPr>
            <w:tcW w:type="dxa" w:w="2266"/>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70C0"/>
                <w:sz w:val="18"/>
                <w:szCs w:val="18"/>
              </w:rPr>
              <w:t xml:space="preserve">Axion</w:t>
            </w:r>
          </w:p>
        </w:tc>
        <w:tc>
          <w:tcPr>
            <w:tcW w:type="dxa" w:w="2266"/>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70C0"/>
                <w:sz w:val="18"/>
                <w:szCs w:val="18"/>
              </w:rPr>
              <w:t xml:space="preserve">Axion claims 50%; partner claims 50%</w:t>
            </w:r>
          </w:p>
        </w:tc>
        <w:tc>
          <w:tcPr>
            <w:tcW w:type="dxa" w:w="2266"/>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70C0"/>
                <w:sz w:val="18"/>
                <w:szCs w:val="18"/>
              </w:rPr>
              <w:t xml:space="preserve">The SPV</w:t>
            </w:r>
          </w:p>
        </w:tc>
      </w:tr>
      <w:tr>
        <w:tc>
          <w:tcPr>
            <w:tcW w:type="dxa" w:w="3502"/>
            <w:tcBorders>
              <w:top w:val="single" w:color="888888" w:sz="4"/>
              <w:left w:val="single" w:color="888888" w:sz="4"/>
              <w:bottom w:val="single" w:color="888888" w:sz="4"/>
              <w:right w:val="single" w:color="888888" w:sz="4"/>
            </w:tcBorders>
            <w:shd w:fill="F2F2F2" w:val="clear"/>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Axion’s FY2027 deduction</w:t>
            </w:r>
          </w:p>
        </w:tc>
        <w:tc>
          <w:tcPr>
            <w:tcW w:type="dxa" w:w="2266"/>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70C0"/>
                <w:sz w:val="18"/>
                <w:szCs w:val="18"/>
              </w:rPr>
              <w:t xml:space="preserve">R250.0m</w:t>
            </w:r>
          </w:p>
        </w:tc>
        <w:tc>
          <w:tcPr>
            <w:tcW w:type="dxa" w:w="2266"/>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70C0"/>
                <w:sz w:val="18"/>
                <w:szCs w:val="18"/>
              </w:rPr>
              <w:t xml:space="preserve">R125.0m</w:t>
            </w:r>
          </w:p>
        </w:tc>
        <w:tc>
          <w:tcPr>
            <w:tcW w:type="dxa" w:w="2266"/>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70C0"/>
                <w:sz w:val="18"/>
                <w:szCs w:val="18"/>
              </w:rPr>
              <w:t xml:space="preserve">Nil</w:t>
            </w:r>
            <w:r>
              <w:rPr>
                <w:rFonts w:ascii="Arial" w:cs="Arial" w:eastAsia="Arial" w:hAnsi="Arial"/>
                <w:b w:val="false"/>
                <w:bCs w:val="false"/>
                <w:i w:val="false"/>
                <w:iCs w:val="false"/>
                <w:color w:val="0070C0"/>
                <w:sz w:val="18"/>
                <w:szCs w:val="18"/>
              </w:rPr>
              <w:t xml:space="preserve"> (s11(a) on electricity only)</w:t>
            </w:r>
          </w:p>
        </w:tc>
      </w:tr>
      <w:tr>
        <w:tc>
          <w:tcPr>
            <w:tcW w:type="dxa" w:w="3502"/>
            <w:tcBorders>
              <w:top w:val="single" w:color="888888" w:sz="4"/>
              <w:left w:val="single" w:color="888888" w:sz="4"/>
              <w:bottom w:val="single" w:color="888888" w:sz="4"/>
              <w:right w:val="single" w:color="888888" w:sz="4"/>
            </w:tcBorders>
            <w:shd w:fill="F2F2F2" w:val="clear"/>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Taxable income before project</w:t>
            </w:r>
          </w:p>
        </w:tc>
        <w:tc>
          <w:tcPr>
            <w:tcW w:type="dxa" w:w="2266"/>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R350.0m</w:t>
            </w:r>
          </w:p>
        </w:tc>
        <w:tc>
          <w:tcPr>
            <w:tcW w:type="dxa" w:w="2266"/>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R350.0m</w:t>
            </w:r>
          </w:p>
        </w:tc>
        <w:tc>
          <w:tcPr>
            <w:tcW w:type="dxa" w:w="2266"/>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R350.0m</w:t>
            </w:r>
          </w:p>
        </w:tc>
      </w:tr>
      <w:tr>
        <w:tc>
          <w:tcPr>
            <w:tcW w:type="dxa" w:w="3502"/>
            <w:tcBorders>
              <w:top w:val="single" w:color="888888" w:sz="4"/>
              <w:left w:val="single" w:color="888888" w:sz="4"/>
              <w:bottom w:val="single" w:color="888888" w:sz="4"/>
              <w:right w:val="single" w:color="888888" w:sz="4"/>
            </w:tcBorders>
            <w:shd w:fill="F2F2F2" w:val="clear"/>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Less: deduction</w:t>
            </w:r>
          </w:p>
        </w:tc>
        <w:tc>
          <w:tcPr>
            <w:tcW w:type="dxa" w:w="2266"/>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70C0"/>
                <w:sz w:val="18"/>
                <w:szCs w:val="18"/>
              </w:rPr>
              <w:t xml:space="preserve">(R250.0m)</w:t>
            </w:r>
          </w:p>
        </w:tc>
        <w:tc>
          <w:tcPr>
            <w:tcW w:type="dxa" w:w="2266"/>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70C0"/>
                <w:sz w:val="18"/>
                <w:szCs w:val="18"/>
              </w:rPr>
              <w:t xml:space="preserve">(R125.0m)</w:t>
            </w:r>
          </w:p>
        </w:tc>
        <w:tc>
          <w:tcPr>
            <w:tcW w:type="dxa" w:w="2266"/>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70C0"/>
                <w:sz w:val="18"/>
                <w:szCs w:val="18"/>
              </w:rPr>
              <w:t xml:space="preserve">(R88.0m) — assumed PPA cost</w:t>
            </w:r>
          </w:p>
        </w:tc>
      </w:tr>
      <w:tr>
        <w:tc>
          <w:tcPr>
            <w:tcW w:type="dxa" w:w="3502"/>
            <w:tcBorders>
              <w:top w:val="single" w:color="888888" w:sz="4"/>
              <w:left w:val="single" w:color="888888" w:sz="4"/>
              <w:bottom w:val="single" w:color="888888" w:sz="4"/>
              <w:right w:val="single" w:color="888888" w:sz="4"/>
            </w:tcBorders>
            <w:shd w:fill="F2F2F2" w:val="clear"/>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Taxable income after</w:t>
            </w:r>
          </w:p>
        </w:tc>
        <w:tc>
          <w:tcPr>
            <w:tcW w:type="dxa" w:w="2266"/>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70C0"/>
                <w:sz w:val="18"/>
                <w:szCs w:val="18"/>
              </w:rPr>
              <w:t xml:space="preserve">R100.0m</w:t>
            </w:r>
          </w:p>
        </w:tc>
        <w:tc>
          <w:tcPr>
            <w:tcW w:type="dxa" w:w="2266"/>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70C0"/>
                <w:sz w:val="18"/>
                <w:szCs w:val="18"/>
              </w:rPr>
              <w:t xml:space="preserve">R225.0m</w:t>
            </w:r>
          </w:p>
        </w:tc>
        <w:tc>
          <w:tcPr>
            <w:tcW w:type="dxa" w:w="2266"/>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70C0"/>
                <w:sz w:val="18"/>
                <w:szCs w:val="18"/>
              </w:rPr>
              <w:t xml:space="preserve">R262.0m</w:t>
            </w:r>
          </w:p>
        </w:tc>
      </w:tr>
      <w:tr>
        <w:tc>
          <w:tcPr>
            <w:tcW w:type="dxa" w:w="3502"/>
            <w:tcBorders>
              <w:top w:val="single" w:color="888888" w:sz="4"/>
              <w:left w:val="single" w:color="888888" w:sz="4"/>
              <w:bottom w:val="single" w:color="888888" w:sz="4"/>
              <w:right w:val="single" w:color="888888" w:sz="4"/>
            </w:tcBorders>
            <w:shd w:fill="F2F2F2" w:val="clear"/>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0000"/>
                <w:sz w:val="18"/>
                <w:szCs w:val="18"/>
              </w:rPr>
              <w:t xml:space="preserve">Tax at 27%</w:t>
            </w:r>
          </w:p>
        </w:tc>
        <w:tc>
          <w:tcPr>
            <w:tcW w:type="dxa" w:w="2266"/>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70C0"/>
                <w:sz w:val="18"/>
                <w:szCs w:val="18"/>
              </w:rPr>
              <w:t xml:space="preserve">R27.00m</w:t>
            </w:r>
          </w:p>
        </w:tc>
        <w:tc>
          <w:tcPr>
            <w:tcW w:type="dxa" w:w="2266"/>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70C0"/>
                <w:sz w:val="18"/>
                <w:szCs w:val="18"/>
              </w:rPr>
              <w:t xml:space="preserve">R60.75m</w:t>
            </w:r>
          </w:p>
        </w:tc>
        <w:tc>
          <w:tcPr>
            <w:tcW w:type="dxa" w:w="2266"/>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70C0"/>
                <w:sz w:val="18"/>
                <w:szCs w:val="18"/>
              </w:rPr>
              <w:t xml:space="preserve">R70.74m</w:t>
            </w:r>
          </w:p>
        </w:tc>
      </w:tr>
      <w:tr>
        <w:tc>
          <w:tcPr>
            <w:tcW w:type="dxa" w:w="3502"/>
            <w:tcBorders>
              <w:top w:val="single" w:color="888888" w:sz="4"/>
              <w:left w:val="single" w:color="888888" w:sz="4"/>
              <w:bottom w:val="single" w:color="888888" w:sz="4"/>
              <w:right w:val="single" w:color="888888" w:sz="4"/>
            </w:tcBorders>
            <w:shd w:fill="F2F2F2" w:val="clear"/>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Tax if no project (R350m × 27%)</w:t>
            </w:r>
          </w:p>
        </w:tc>
        <w:tc>
          <w:tcPr>
            <w:tcW w:type="dxa" w:w="2266"/>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R94.50m</w:t>
            </w:r>
          </w:p>
        </w:tc>
        <w:tc>
          <w:tcPr>
            <w:tcW w:type="dxa" w:w="2266"/>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R94.50m</w:t>
            </w:r>
          </w:p>
        </w:tc>
        <w:tc>
          <w:tcPr>
            <w:tcW w:type="dxa" w:w="2266"/>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R94.50m</w:t>
            </w:r>
          </w:p>
        </w:tc>
      </w:tr>
      <w:tr>
        <w:tc>
          <w:tcPr>
            <w:tcW w:type="dxa" w:w="3502"/>
            <w:tcBorders>
              <w:top w:val="single" w:color="888888" w:sz="4"/>
              <w:left w:val="single" w:color="888888" w:sz="4"/>
              <w:bottom w:val="single" w:color="888888" w:sz="4"/>
              <w:right w:val="single" w:color="888888" w:sz="4"/>
            </w:tcBorders>
            <w:shd w:fill="F2F2F2" w:val="clear"/>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0000"/>
                <w:sz w:val="18"/>
                <w:szCs w:val="18"/>
              </w:rPr>
              <w:t xml:space="preserve">Cash tax saved in FY2027</w:t>
            </w:r>
          </w:p>
        </w:tc>
        <w:tc>
          <w:tcPr>
            <w:tcW w:type="dxa" w:w="2266"/>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70C0"/>
                <w:sz w:val="18"/>
                <w:szCs w:val="18"/>
              </w:rPr>
              <w:t xml:space="preserve">R67.50m</w:t>
            </w:r>
          </w:p>
        </w:tc>
        <w:tc>
          <w:tcPr>
            <w:tcW w:type="dxa" w:w="2266"/>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70C0"/>
                <w:sz w:val="18"/>
                <w:szCs w:val="18"/>
              </w:rPr>
              <w:t xml:space="preserve">R33.75m</w:t>
            </w:r>
          </w:p>
        </w:tc>
        <w:tc>
          <w:tcPr>
            <w:tcW w:type="dxa" w:w="2266"/>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70C0"/>
                <w:sz w:val="18"/>
                <w:szCs w:val="18"/>
              </w:rPr>
              <w:t xml:space="preserve">R23.76m</w:t>
            </w:r>
          </w:p>
        </w:tc>
      </w:tr>
      <w:tr>
        <w:tc>
          <w:tcPr>
            <w:tcW w:type="dxa" w:w="3502"/>
            <w:tcBorders>
              <w:top w:val="single" w:color="888888" w:sz="4"/>
              <w:left w:val="single" w:color="888888" w:sz="4"/>
              <w:bottom w:val="single" w:color="888888" w:sz="4"/>
              <w:right w:val="single" w:color="888888" w:sz="4"/>
            </w:tcBorders>
            <w:shd w:fill="F2F2F2" w:val="clear"/>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Shape of the benefit</w:t>
            </w:r>
          </w:p>
        </w:tc>
        <w:tc>
          <w:tcPr>
            <w:tcW w:type="dxa" w:w="2266"/>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70C0"/>
                <w:sz w:val="18"/>
                <w:szCs w:val="18"/>
              </w:rPr>
              <w:t xml:space="preserve">Front-loaded. Exhausted after FY2029</w:t>
            </w:r>
          </w:p>
        </w:tc>
        <w:tc>
          <w:tcPr>
            <w:tcW w:type="dxa" w:w="2266"/>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70C0"/>
                <w:sz w:val="18"/>
                <w:szCs w:val="18"/>
              </w:rPr>
              <w:t xml:space="preserve">Front-loaded, half the size</w:t>
            </w:r>
          </w:p>
        </w:tc>
        <w:tc>
          <w:tcPr>
            <w:tcW w:type="dxa" w:w="2266"/>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70C0"/>
                <w:sz w:val="18"/>
                <w:szCs w:val="18"/>
              </w:rPr>
              <w:t xml:space="preserve">Level, and continues for the life of the PPA</w:t>
            </w:r>
          </w:p>
        </w:tc>
      </w:tr>
      <w:tr>
        <w:tc>
          <w:tcPr>
            <w:tcW w:type="dxa" w:w="3502"/>
            <w:tcBorders>
              <w:top w:val="single" w:color="888888" w:sz="4"/>
              <w:left w:val="single" w:color="888888" w:sz="4"/>
              <w:bottom w:val="single" w:color="888888" w:sz="4"/>
              <w:right w:val="single" w:color="888888" w:sz="4"/>
            </w:tcBorders>
            <w:shd w:fill="F2F2F2" w:val="clear"/>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Where the loss sits if income is insufficient</w:t>
            </w:r>
          </w:p>
        </w:tc>
        <w:tc>
          <w:tcPr>
            <w:tcW w:type="dxa" w:w="2266"/>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70C0"/>
                <w:sz w:val="18"/>
                <w:szCs w:val="18"/>
              </w:rPr>
              <w:t xml:space="preserve">In Axion — usable against other income</w:t>
            </w:r>
          </w:p>
        </w:tc>
        <w:tc>
          <w:tcPr>
            <w:tcW w:type="dxa" w:w="2266"/>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70C0"/>
                <w:sz w:val="18"/>
                <w:szCs w:val="18"/>
              </w:rPr>
              <w:t xml:space="preserve">In Axion, at 50%</w:t>
            </w:r>
          </w:p>
        </w:tc>
        <w:tc>
          <w:tcPr>
            <w:tcW w:type="dxa" w:w="2266"/>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70C0"/>
                <w:sz w:val="18"/>
                <w:szCs w:val="18"/>
              </w:rPr>
              <w:t xml:space="preserve">Trapped in the SPV</w:t>
            </w:r>
            <w:r>
              <w:rPr>
                <w:rFonts w:ascii="Arial" w:cs="Arial" w:eastAsia="Arial" w:hAnsi="Arial"/>
                <w:b w:val="false"/>
                <w:bCs w:val="false"/>
                <w:i w:val="false"/>
                <w:iCs w:val="false"/>
                <w:color w:val="0070C0"/>
                <w:sz w:val="18"/>
                <w:szCs w:val="18"/>
              </w:rPr>
              <w:t xml:space="preserve">, constrained by s20</w:t>
            </w:r>
          </w:p>
        </w:tc>
      </w:tr>
    </w:tbl>
    <w:p>
      <w:pPr>
        <w:keepNext w:val="false"/>
        <w:spacing w:after="0" w:before="0" w:line="250" w:lineRule="auto"/>
      </w:pPr>
      <w:r>
        <w:rPr>
          <w:rFonts w:ascii="Arial" w:cs="Arial" w:eastAsia="Arial" w:hAnsi="Arial"/>
          <w:sz w:val="12"/>
          <w:szCs w:val="12"/>
        </w:rPr>
        <w:t xml:space="preserve"/>
      </w:r>
    </w:p>
    <w:p>
      <w:pPr>
        <w:keepNext/>
        <w:spacing w:after="70" w:before="200" w:line="250" w:lineRule="auto"/>
      </w:pPr>
      <w:r>
        <w:rPr>
          <w:rFonts w:ascii="Arial" w:cs="Arial" w:eastAsia="Arial" w:hAnsi="Arial"/>
          <w:b/>
          <w:bCs/>
          <w:i w:val="false"/>
          <w:iCs w:val="false"/>
          <w:color w:val="000000"/>
          <w:sz w:val="22"/>
          <w:szCs w:val="22"/>
        </w:rPr>
        <w:t xml:space="preserve">Step 3 — The three-year picture for Route A</w:t>
      </w:r>
    </w:p>
    <w:tbl>
      <w:tblPr>
        <w:tblW w:type="dxa" w:w="10300"/>
        <w:tblBorders>
          <w:top w:val="single" w:color="auto" w:sz="4"/>
          <w:left w:val="single" w:color="auto" w:sz="4"/>
          <w:bottom w:val="single" w:color="auto" w:sz="4"/>
          <w:right w:val="single" w:color="auto" w:sz="4"/>
          <w:insideH w:val="single" w:color="auto" w:sz="4"/>
          <w:insideV w:val="single" w:color="auto" w:sz="4"/>
        </w:tblBorders>
      </w:tblPr>
      <w:tblGrid>
        <w:gridCol w:w="2884"/>
        <w:gridCol w:w="1854"/>
        <w:gridCol w:w="1854"/>
        <w:gridCol w:w="1854"/>
        <w:gridCol w:w="1854"/>
      </w:tblGrid>
      <w:tr>
        <w:trPr>
          <w:tblHeader/>
        </w:trPr>
        <w:tc>
          <w:tcPr>
            <w:tcW w:type="dxa" w:w="2884"/>
            <w:tcBorders>
              <w:top w:val="single" w:color="888888" w:sz="4"/>
              <w:left w:val="single" w:color="888888" w:sz="4"/>
              <w:bottom w:val="single" w:color="888888" w:sz="4"/>
              <w:right w:val="single" w:color="888888" w:sz="4"/>
            </w:tcBorders>
            <w:shd w:fill="E8E8E8" w:val="clear"/>
            <w:tcMar>
              <w:top w:type="dxa" w:w="60"/>
              <w:left w:type="dxa" w:w="80"/>
              <w:bottom w:type="dxa" w:w="60"/>
              <w:right w:type="dxa" w:w="80"/>
            </w:tcMar>
            <w:vAlign w:val="center"/>
          </w:tcPr>
          <w:p>
            <w:pPr>
              <w:keepNext w:val="false"/>
              <w:spacing w:after="0" w:before="0" w:line="250" w:lineRule="auto"/>
            </w:pPr>
            <w:r>
              <w:rPr>
                <w:rFonts w:ascii="Arial" w:cs="Arial" w:eastAsia="Arial" w:hAnsi="Arial"/>
                <w:sz w:val="18"/>
                <w:szCs w:val="18"/>
              </w:rPr>
              <w:t xml:space="preserve"/>
            </w:r>
          </w:p>
        </w:tc>
        <w:tc>
          <w:tcPr>
            <w:tcW w:type="dxa" w:w="1854"/>
            <w:tcBorders>
              <w:top w:val="single" w:color="888888" w:sz="4"/>
              <w:left w:val="single" w:color="888888" w:sz="4"/>
              <w:bottom w:val="single" w:color="888888" w:sz="4"/>
              <w:right w:val="single" w:color="888888" w:sz="4"/>
            </w:tcBorders>
            <w:shd w:fill="E8E8E8" w:val="clear"/>
            <w:tcMar>
              <w:top w:type="dxa" w:w="60"/>
              <w:left w:type="dxa" w:w="80"/>
              <w:bottom w:type="dxa" w:w="60"/>
              <w:right w:type="dxa" w:w="80"/>
            </w:tcMar>
            <w:vAlign w:val="center"/>
          </w:tcPr>
          <w:p>
            <w:pPr>
              <w:keepNext w:val="false"/>
              <w:spacing w:after="0" w:before="0" w:line="250" w:lineRule="auto"/>
            </w:pPr>
            <w:r>
              <w:rPr>
                <w:rFonts w:ascii="Arial" w:cs="Arial" w:eastAsia="Arial" w:hAnsi="Arial"/>
                <w:b/>
                <w:bCs/>
                <w:i w:val="false"/>
                <w:iCs w:val="false"/>
                <w:color w:val="000000"/>
                <w:sz w:val="18"/>
                <w:szCs w:val="18"/>
              </w:rPr>
              <w:t xml:space="preserve">FY2027</w:t>
            </w:r>
          </w:p>
        </w:tc>
        <w:tc>
          <w:tcPr>
            <w:tcW w:type="dxa" w:w="1854"/>
            <w:tcBorders>
              <w:top w:val="single" w:color="888888" w:sz="4"/>
              <w:left w:val="single" w:color="888888" w:sz="4"/>
              <w:bottom w:val="single" w:color="888888" w:sz="4"/>
              <w:right w:val="single" w:color="888888" w:sz="4"/>
            </w:tcBorders>
            <w:shd w:fill="E8E8E8" w:val="clear"/>
            <w:tcMar>
              <w:top w:type="dxa" w:w="60"/>
              <w:left w:type="dxa" w:w="80"/>
              <w:bottom w:type="dxa" w:w="60"/>
              <w:right w:type="dxa" w:w="80"/>
            </w:tcMar>
            <w:vAlign w:val="center"/>
          </w:tcPr>
          <w:p>
            <w:pPr>
              <w:keepNext w:val="false"/>
              <w:spacing w:after="0" w:before="0" w:line="250" w:lineRule="auto"/>
            </w:pPr>
            <w:r>
              <w:rPr>
                <w:rFonts w:ascii="Arial" w:cs="Arial" w:eastAsia="Arial" w:hAnsi="Arial"/>
                <w:b/>
                <w:bCs/>
                <w:i w:val="false"/>
                <w:iCs w:val="false"/>
                <w:color w:val="000000"/>
                <w:sz w:val="18"/>
                <w:szCs w:val="18"/>
              </w:rPr>
              <w:t xml:space="preserve">FY2028</w:t>
            </w:r>
          </w:p>
        </w:tc>
        <w:tc>
          <w:tcPr>
            <w:tcW w:type="dxa" w:w="1854"/>
            <w:tcBorders>
              <w:top w:val="single" w:color="888888" w:sz="4"/>
              <w:left w:val="single" w:color="888888" w:sz="4"/>
              <w:bottom w:val="single" w:color="888888" w:sz="4"/>
              <w:right w:val="single" w:color="888888" w:sz="4"/>
            </w:tcBorders>
            <w:shd w:fill="E8E8E8" w:val="clear"/>
            <w:tcMar>
              <w:top w:type="dxa" w:w="60"/>
              <w:left w:type="dxa" w:w="80"/>
              <w:bottom w:type="dxa" w:w="60"/>
              <w:right w:type="dxa" w:w="80"/>
            </w:tcMar>
            <w:vAlign w:val="center"/>
          </w:tcPr>
          <w:p>
            <w:pPr>
              <w:keepNext w:val="false"/>
              <w:spacing w:after="0" w:before="0" w:line="250" w:lineRule="auto"/>
            </w:pPr>
            <w:r>
              <w:rPr>
                <w:rFonts w:ascii="Arial" w:cs="Arial" w:eastAsia="Arial" w:hAnsi="Arial"/>
                <w:b/>
                <w:bCs/>
                <w:i w:val="false"/>
                <w:iCs w:val="false"/>
                <w:color w:val="000000"/>
                <w:sz w:val="18"/>
                <w:szCs w:val="18"/>
              </w:rPr>
              <w:t xml:space="preserve">FY2029</w:t>
            </w:r>
          </w:p>
        </w:tc>
        <w:tc>
          <w:tcPr>
            <w:tcW w:type="dxa" w:w="1854"/>
            <w:tcBorders>
              <w:top w:val="single" w:color="888888" w:sz="4"/>
              <w:left w:val="single" w:color="888888" w:sz="4"/>
              <w:bottom w:val="single" w:color="888888" w:sz="4"/>
              <w:right w:val="single" w:color="888888" w:sz="4"/>
            </w:tcBorders>
            <w:shd w:fill="E8E8E8" w:val="clear"/>
            <w:tcMar>
              <w:top w:type="dxa" w:w="60"/>
              <w:left w:type="dxa" w:w="80"/>
              <w:bottom w:type="dxa" w:w="60"/>
              <w:right w:type="dxa" w:w="80"/>
            </w:tcMar>
            <w:vAlign w:val="center"/>
          </w:tcPr>
          <w:p>
            <w:pPr>
              <w:keepNext w:val="false"/>
              <w:spacing w:after="0" w:before="0" w:line="250" w:lineRule="auto"/>
            </w:pPr>
            <w:r>
              <w:rPr>
                <w:rFonts w:ascii="Arial" w:cs="Arial" w:eastAsia="Arial" w:hAnsi="Arial"/>
                <w:b/>
                <w:bCs/>
                <w:i w:val="false"/>
                <w:iCs w:val="false"/>
                <w:color w:val="000000"/>
                <w:sz w:val="18"/>
                <w:szCs w:val="18"/>
              </w:rPr>
              <w:t xml:space="preserve">Total</w:t>
            </w:r>
          </w:p>
        </w:tc>
      </w:tr>
      <w:tr>
        <w:tc>
          <w:tcPr>
            <w:tcW w:type="dxa" w:w="2884"/>
            <w:tcBorders>
              <w:top w:val="single" w:color="888888" w:sz="4"/>
              <w:left w:val="single" w:color="888888" w:sz="4"/>
              <w:bottom w:val="single" w:color="888888" w:sz="4"/>
              <w:right w:val="single" w:color="888888" w:sz="4"/>
            </w:tcBorders>
            <w:shd w:fill="F2F2F2" w:val="clear"/>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s12B at 50 / 30 / 20</w:t>
            </w:r>
          </w:p>
        </w:tc>
        <w:tc>
          <w:tcPr>
            <w:tcW w:type="dxa" w:w="1854"/>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R225.0m</w:t>
            </w:r>
          </w:p>
        </w:tc>
        <w:tc>
          <w:tcPr>
            <w:tcW w:type="dxa" w:w="1854"/>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R135.0m</w:t>
            </w:r>
          </w:p>
        </w:tc>
        <w:tc>
          <w:tcPr>
            <w:tcW w:type="dxa" w:w="1854"/>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R90.0m</w:t>
            </w:r>
          </w:p>
        </w:tc>
        <w:tc>
          <w:tcPr>
            <w:tcW w:type="dxa" w:w="1854"/>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0000"/>
                <w:sz w:val="18"/>
                <w:szCs w:val="18"/>
              </w:rPr>
              <w:t xml:space="preserve">R450.0m</w:t>
            </w:r>
          </w:p>
        </w:tc>
      </w:tr>
      <w:tr>
        <w:tc>
          <w:tcPr>
            <w:tcW w:type="dxa" w:w="2884"/>
            <w:tcBorders>
              <w:top w:val="single" w:color="888888" w:sz="4"/>
              <w:left w:val="single" w:color="888888" w:sz="4"/>
              <w:bottom w:val="single" w:color="888888" w:sz="4"/>
              <w:right w:val="single" w:color="888888" w:sz="4"/>
            </w:tcBorders>
            <w:shd w:fill="F2F2F2" w:val="clear"/>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s12U at 100%</w:t>
            </w:r>
          </w:p>
        </w:tc>
        <w:tc>
          <w:tcPr>
            <w:tcW w:type="dxa" w:w="1854"/>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R25.0m</w:t>
            </w:r>
          </w:p>
        </w:tc>
        <w:tc>
          <w:tcPr>
            <w:tcW w:type="dxa" w:w="1854"/>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w:t>
            </w:r>
          </w:p>
        </w:tc>
        <w:tc>
          <w:tcPr>
            <w:tcW w:type="dxa" w:w="1854"/>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w:t>
            </w:r>
          </w:p>
        </w:tc>
        <w:tc>
          <w:tcPr>
            <w:tcW w:type="dxa" w:w="1854"/>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0000"/>
                <w:sz w:val="18"/>
                <w:szCs w:val="18"/>
              </w:rPr>
              <w:t xml:space="preserve">R25.0m</w:t>
            </w:r>
          </w:p>
        </w:tc>
      </w:tr>
      <w:tr>
        <w:tc>
          <w:tcPr>
            <w:tcW w:type="dxa" w:w="2884"/>
            <w:tcBorders>
              <w:top w:val="single" w:color="888888" w:sz="4"/>
              <w:left w:val="single" w:color="888888" w:sz="4"/>
              <w:bottom w:val="single" w:color="888888" w:sz="4"/>
              <w:right w:val="single" w:color="888888" w:sz="4"/>
            </w:tcBorders>
            <w:shd w:fill="F2F2F2" w:val="clear"/>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0000"/>
                <w:sz w:val="18"/>
                <w:szCs w:val="18"/>
              </w:rPr>
              <w:t xml:space="preserve">Total deduction</w:t>
            </w:r>
          </w:p>
        </w:tc>
        <w:tc>
          <w:tcPr>
            <w:tcW w:type="dxa" w:w="1854"/>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0000"/>
                <w:sz w:val="18"/>
                <w:szCs w:val="18"/>
              </w:rPr>
              <w:t xml:space="preserve">R250.0m</w:t>
            </w:r>
          </w:p>
        </w:tc>
        <w:tc>
          <w:tcPr>
            <w:tcW w:type="dxa" w:w="1854"/>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0000"/>
                <w:sz w:val="18"/>
                <w:szCs w:val="18"/>
              </w:rPr>
              <w:t xml:space="preserve">R135.0m</w:t>
            </w:r>
          </w:p>
        </w:tc>
        <w:tc>
          <w:tcPr>
            <w:tcW w:type="dxa" w:w="1854"/>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0000"/>
                <w:sz w:val="18"/>
                <w:szCs w:val="18"/>
              </w:rPr>
              <w:t xml:space="preserve">R90.0m</w:t>
            </w:r>
          </w:p>
        </w:tc>
        <w:tc>
          <w:tcPr>
            <w:tcW w:type="dxa" w:w="1854"/>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0000"/>
                <w:sz w:val="18"/>
                <w:szCs w:val="18"/>
              </w:rPr>
              <w:t xml:space="preserve">R475.0m</w:t>
            </w:r>
          </w:p>
        </w:tc>
      </w:tr>
      <w:tr>
        <w:tc>
          <w:tcPr>
            <w:tcW w:type="dxa" w:w="2884"/>
            <w:tcBorders>
              <w:top w:val="single" w:color="888888" w:sz="4"/>
              <w:left w:val="single" w:color="888888" w:sz="4"/>
              <w:bottom w:val="single" w:color="888888" w:sz="4"/>
              <w:right w:val="single" w:color="888888" w:sz="4"/>
            </w:tcBorders>
            <w:shd w:fill="F2F2F2" w:val="clear"/>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0000"/>
                <w:sz w:val="18"/>
                <w:szCs w:val="18"/>
              </w:rPr>
              <w:t xml:space="preserve">Tax benefit at 27%</w:t>
            </w:r>
          </w:p>
        </w:tc>
        <w:tc>
          <w:tcPr>
            <w:tcW w:type="dxa" w:w="1854"/>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0000"/>
                <w:sz w:val="18"/>
                <w:szCs w:val="18"/>
              </w:rPr>
              <w:t xml:space="preserve">R67.50m</w:t>
            </w:r>
          </w:p>
        </w:tc>
        <w:tc>
          <w:tcPr>
            <w:tcW w:type="dxa" w:w="1854"/>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0000"/>
                <w:sz w:val="18"/>
                <w:szCs w:val="18"/>
              </w:rPr>
              <w:t xml:space="preserve">R36.45m</w:t>
            </w:r>
          </w:p>
        </w:tc>
        <w:tc>
          <w:tcPr>
            <w:tcW w:type="dxa" w:w="1854"/>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0000"/>
                <w:sz w:val="18"/>
                <w:szCs w:val="18"/>
              </w:rPr>
              <w:t xml:space="preserve">R24.30m</w:t>
            </w:r>
          </w:p>
        </w:tc>
        <w:tc>
          <w:tcPr>
            <w:tcW w:type="dxa" w:w="1854"/>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0000"/>
                <w:sz w:val="18"/>
                <w:szCs w:val="18"/>
              </w:rPr>
              <w:t xml:space="preserve">R128.25m</w:t>
            </w:r>
          </w:p>
        </w:tc>
      </w:tr>
    </w:tbl>
    <w:p>
      <w:pPr>
        <w:keepNext w:val="false"/>
        <w:spacing w:after="0" w:before="0" w:line="250" w:lineRule="auto"/>
      </w:pPr>
      <w:r>
        <w:rPr>
          <w:rFonts w:ascii="Arial" w:cs="Arial" w:eastAsia="Arial" w:hAnsi="Arial"/>
          <w:sz w:val="12"/>
          <w:szCs w:val="12"/>
        </w:rPr>
        <w:t xml:space="preserve"/>
      </w:r>
    </w:p>
    <w:p>
      <w:pPr>
        <w:pStyle w:val="ListParagraph"/>
        <w:numPr>
          <w:ilvl w:val="0"/>
          <w:numId w:val="2"/>
        </w:numPr>
        <w:spacing w:after="50" w:before="0" w:line="250" w:lineRule="auto"/>
      </w:pPr>
      <w:r>
        <w:rPr>
          <w:rFonts w:ascii="Arial" w:cs="Arial" w:eastAsia="Arial" w:hAnsi="Arial"/>
          <w:b/>
          <w:bCs/>
          <w:i w:val="false"/>
          <w:iCs w:val="false"/>
          <w:color w:val="0070C0"/>
          <w:sz w:val="19"/>
          <w:szCs w:val="19"/>
        </w:rPr>
        <w:t xml:space="preserve">Say this to the board:</w:t>
      </w:r>
      <w:r>
        <w:rPr>
          <w:rFonts w:ascii="Arial" w:cs="Arial" w:eastAsia="Arial" w:hAnsi="Arial"/>
          <w:b w:val="false"/>
          <w:bCs w:val="false"/>
          <w:i w:val="false"/>
          <w:iCs w:val="false"/>
          <w:color w:val="0070C0"/>
          <w:sz w:val="19"/>
          <w:szCs w:val="19"/>
        </w:rPr>
        <w:t xml:space="preserve"> the R128.25m is a </w:t>
      </w:r>
      <w:r>
        <w:rPr>
          <w:rFonts w:ascii="Arial" w:cs="Arial" w:eastAsia="Arial" w:hAnsi="Arial"/>
          <w:b/>
          <w:bCs/>
          <w:i w:val="false"/>
          <w:iCs w:val="false"/>
          <w:color w:val="0070C0"/>
          <w:sz w:val="19"/>
          <w:szCs w:val="19"/>
        </w:rPr>
        <w:t xml:space="preserve">timing</w:t>
      </w:r>
      <w:r>
        <w:rPr>
          <w:rFonts w:ascii="Arial" w:cs="Arial" w:eastAsia="Arial" w:hAnsi="Arial"/>
          <w:b w:val="false"/>
          <w:bCs w:val="false"/>
          <w:i w:val="false"/>
          <w:iCs w:val="false"/>
          <w:color w:val="0070C0"/>
          <w:sz w:val="19"/>
          <w:szCs w:val="19"/>
        </w:rPr>
        <w:t xml:space="preserve"> benefit, not a permanent one. On eventual disposal, s8(4)(a) recoups the allowances as ordinary income — see Table 13. What the allowances deliver is the </w:t>
      </w:r>
      <w:r>
        <w:rPr>
          <w:rFonts w:ascii="Arial" w:cs="Arial" w:eastAsia="Arial" w:hAnsi="Arial"/>
          <w:b/>
          <w:bCs/>
          <w:i w:val="false"/>
          <w:iCs w:val="false"/>
          <w:color w:val="0070C0"/>
          <w:sz w:val="19"/>
          <w:szCs w:val="19"/>
        </w:rPr>
        <w:t xml:space="preserve">present value of the deferral</w:t>
      </w:r>
      <w:r>
        <w:rPr>
          <w:rFonts w:ascii="Arial" w:cs="Arial" w:eastAsia="Arial" w:hAnsi="Arial"/>
          <w:b w:val="false"/>
          <w:bCs w:val="false"/>
          <w:i w:val="false"/>
          <w:iCs w:val="false"/>
          <w:color w:val="0070C0"/>
          <w:sz w:val="19"/>
          <w:szCs w:val="19"/>
        </w:rPr>
        <w:t xml:space="preserve">, and that is what belongs in the post-tax NPV.</w:t>
      </w:r>
    </w:p>
    <w:p>
      <w:pPr>
        <w:pStyle w:val="ListParagraph"/>
        <w:numPr>
          <w:ilvl w:val="0"/>
          <w:numId w:val="2"/>
        </w:numPr>
        <w:spacing w:after="50" w:before="0" w:line="250" w:lineRule="auto"/>
      </w:pPr>
      <w:r>
        <w:rPr>
          <w:rFonts w:ascii="Arial" w:cs="Arial" w:eastAsia="Arial" w:hAnsi="Arial"/>
          <w:b/>
          <w:bCs/>
          <w:i w:val="false"/>
          <w:iCs w:val="false"/>
          <w:color w:val="0070C0"/>
          <w:sz w:val="19"/>
          <w:szCs w:val="19"/>
        </w:rPr>
        <w:t xml:space="preserve">And say this:</w:t>
      </w:r>
      <w:r>
        <w:rPr>
          <w:rFonts w:ascii="Arial" w:cs="Arial" w:eastAsia="Arial" w:hAnsi="Arial"/>
          <w:b w:val="false"/>
          <w:bCs w:val="false"/>
          <w:i w:val="false"/>
          <w:iCs w:val="false"/>
          <w:color w:val="0070C0"/>
          <w:sz w:val="19"/>
          <w:szCs w:val="19"/>
        </w:rPr>
        <w:t xml:space="preserve"> had the project been commissioned before 1 March 2025, s12BA would have given 125% of R450m = </w:t>
      </w:r>
      <w:r>
        <w:rPr>
          <w:rFonts w:ascii="Arial" w:cs="Arial" w:eastAsia="Arial" w:hAnsi="Arial"/>
          <w:b/>
          <w:bCs/>
          <w:i w:val="false"/>
          <w:iCs w:val="false"/>
          <w:color w:val="0070C0"/>
          <w:sz w:val="19"/>
          <w:szCs w:val="19"/>
        </w:rPr>
        <w:t xml:space="preserve">R562.5m in FY2027 alone</w:t>
      </w:r>
      <w:r>
        <w:rPr>
          <w:rFonts w:ascii="Arial" w:cs="Arial" w:eastAsia="Arial" w:hAnsi="Arial"/>
          <w:b w:val="false"/>
          <w:bCs w:val="false"/>
          <w:i w:val="false"/>
          <w:iCs w:val="false"/>
          <w:color w:val="0070C0"/>
          <w:sz w:val="19"/>
          <w:szCs w:val="19"/>
        </w:rPr>
        <w:t xml:space="preserve">, a first-year tax benefit of </w:t>
      </w:r>
      <w:r>
        <w:rPr>
          <w:rFonts w:ascii="Arial" w:cs="Arial" w:eastAsia="Arial" w:hAnsi="Arial"/>
          <w:b/>
          <w:bCs/>
          <w:i w:val="false"/>
          <w:iCs w:val="false"/>
          <w:color w:val="0070C0"/>
          <w:sz w:val="19"/>
          <w:szCs w:val="19"/>
        </w:rPr>
        <w:t xml:space="preserve">R151.9m</w:t>
      </w:r>
      <w:r>
        <w:rPr>
          <w:rFonts w:ascii="Arial" w:cs="Arial" w:eastAsia="Arial" w:hAnsi="Arial"/>
          <w:b w:val="false"/>
          <w:bCs w:val="false"/>
          <w:i w:val="false"/>
          <w:iCs w:val="false"/>
          <w:color w:val="0070C0"/>
          <w:sz w:val="19"/>
          <w:szCs w:val="19"/>
        </w:rPr>
        <w:t xml:space="preserve"> against R67.5m. The expiry of s12BA has materially weakened the case for building rather than buying. That is a genuine, quantified commercial insight from a tax provision.</w:t>
      </w:r>
    </w:p>
    <w:p>
      <w:pPr>
        <w:keepNext/>
        <w:pBdr>
          <w:bottom w:val="single" w:color="000000" w:sz="8" w:space="2"/>
        </w:pBdr>
        <w:spacing w:after="110" w:before="260" w:line="250" w:lineRule="auto"/>
      </w:pPr>
      <w:r>
        <w:rPr>
          <w:rFonts w:ascii="Arial" w:cs="Arial" w:eastAsia="Arial" w:hAnsi="Arial"/>
          <w:b/>
          <w:bCs/>
          <w:i w:val="false"/>
          <w:iCs w:val="false"/>
          <w:color w:val="000000"/>
          <w:sz w:val="26"/>
          <w:szCs w:val="26"/>
        </w:rPr>
        <w:t xml:space="preserve">J. Pro-forma answer structure for the day</w:t>
      </w:r>
    </w:p>
    <w:p>
      <w:pPr>
        <w:keepNext w:val="false"/>
        <w:spacing w:after="100" w:before="0" w:line="250" w:lineRule="auto"/>
      </w:pPr>
      <w:r>
        <w:rPr>
          <w:rFonts w:ascii="Arial" w:cs="Arial" w:eastAsia="Arial" w:hAnsi="Arial"/>
          <w:b w:val="false"/>
          <w:bCs w:val="false"/>
          <w:i/>
          <w:iCs/>
          <w:color w:val="000000"/>
          <w:sz w:val="18"/>
          <w:szCs w:val="18"/>
        </w:rPr>
        <w:t xml:space="preserve">Past papers show the tax task is lost by reaching for the nearest plausible provision instead of working the facts. This structure forces you to work the facts.</w:t>
      </w:r>
    </w:p>
    <w:tbl>
      <w:tblPr>
        <w:tblW w:type="dxa" w:w="10300"/>
        <w:tblBorders>
          <w:top w:val="single" w:color="auto" w:sz="4"/>
          <w:left w:val="single" w:color="auto" w:sz="4"/>
          <w:bottom w:val="single" w:color="auto" w:sz="4"/>
          <w:right w:val="single" w:color="auto" w:sz="4"/>
          <w:insideH w:val="single" w:color="auto" w:sz="4"/>
          <w:insideV w:val="single" w:color="auto" w:sz="4"/>
        </w:tblBorders>
      </w:tblPr>
      <w:tblGrid>
        <w:gridCol w:w="824"/>
        <w:gridCol w:w="3090"/>
        <w:gridCol w:w="6386"/>
      </w:tblGrid>
      <w:tr>
        <w:trPr>
          <w:tblHeader/>
        </w:trPr>
        <w:tc>
          <w:tcPr>
            <w:tcW w:type="dxa" w:w="824"/>
            <w:tcBorders>
              <w:top w:val="single" w:color="888888" w:sz="4"/>
              <w:left w:val="single" w:color="888888" w:sz="4"/>
              <w:bottom w:val="single" w:color="888888" w:sz="4"/>
              <w:right w:val="single" w:color="888888" w:sz="4"/>
            </w:tcBorders>
            <w:shd w:fill="E8E8E8" w:val="clear"/>
            <w:tcMar>
              <w:top w:type="dxa" w:w="60"/>
              <w:left w:type="dxa" w:w="80"/>
              <w:bottom w:type="dxa" w:w="60"/>
              <w:right w:type="dxa" w:w="80"/>
            </w:tcMar>
            <w:vAlign w:val="center"/>
          </w:tcPr>
          <w:p>
            <w:pPr>
              <w:keepNext w:val="false"/>
              <w:spacing w:after="0" w:before="0" w:line="250" w:lineRule="auto"/>
            </w:pPr>
            <w:r>
              <w:rPr>
                <w:rFonts w:ascii="Arial" w:cs="Arial" w:eastAsia="Arial" w:hAnsi="Arial"/>
                <w:sz w:val="18"/>
                <w:szCs w:val="18"/>
              </w:rPr>
              <w:t xml:space="preserve"/>
            </w:r>
          </w:p>
        </w:tc>
        <w:tc>
          <w:tcPr>
            <w:tcW w:type="dxa" w:w="3090"/>
            <w:tcBorders>
              <w:top w:val="single" w:color="888888" w:sz="4"/>
              <w:left w:val="single" w:color="888888" w:sz="4"/>
              <w:bottom w:val="single" w:color="888888" w:sz="4"/>
              <w:right w:val="single" w:color="888888" w:sz="4"/>
            </w:tcBorders>
            <w:shd w:fill="E8E8E8" w:val="clear"/>
            <w:tcMar>
              <w:top w:type="dxa" w:w="60"/>
              <w:left w:type="dxa" w:w="80"/>
              <w:bottom w:type="dxa" w:w="60"/>
              <w:right w:type="dxa" w:w="80"/>
            </w:tcMar>
            <w:vAlign w:val="center"/>
          </w:tcPr>
          <w:p>
            <w:pPr>
              <w:keepNext w:val="false"/>
              <w:spacing w:after="0" w:before="0" w:line="250" w:lineRule="auto"/>
            </w:pPr>
            <w:r>
              <w:rPr>
                <w:rFonts w:ascii="Arial" w:cs="Arial" w:eastAsia="Arial" w:hAnsi="Arial"/>
                <w:b/>
                <w:bCs/>
                <w:i w:val="false"/>
                <w:iCs w:val="false"/>
                <w:color w:val="000000"/>
                <w:sz w:val="18"/>
                <w:szCs w:val="18"/>
              </w:rPr>
              <w:t xml:space="preserve">Step</w:t>
            </w:r>
          </w:p>
        </w:tc>
        <w:tc>
          <w:tcPr>
            <w:tcW w:type="dxa" w:w="6386"/>
            <w:tcBorders>
              <w:top w:val="single" w:color="888888" w:sz="4"/>
              <w:left w:val="single" w:color="888888" w:sz="4"/>
              <w:bottom w:val="single" w:color="888888" w:sz="4"/>
              <w:right w:val="single" w:color="888888" w:sz="4"/>
            </w:tcBorders>
            <w:shd w:fill="E8E8E8" w:val="clear"/>
            <w:tcMar>
              <w:top w:type="dxa" w:w="60"/>
              <w:left w:type="dxa" w:w="80"/>
              <w:bottom w:type="dxa" w:w="60"/>
              <w:right w:type="dxa" w:w="80"/>
            </w:tcMar>
            <w:vAlign w:val="center"/>
          </w:tcPr>
          <w:p>
            <w:pPr>
              <w:keepNext w:val="false"/>
              <w:spacing w:after="0" w:before="0" w:line="250" w:lineRule="auto"/>
            </w:pPr>
            <w:r>
              <w:rPr>
                <w:rFonts w:ascii="Arial" w:cs="Arial" w:eastAsia="Arial" w:hAnsi="Arial"/>
                <w:b/>
                <w:bCs/>
                <w:i w:val="false"/>
                <w:iCs w:val="false"/>
                <w:color w:val="000000"/>
                <w:sz w:val="18"/>
                <w:szCs w:val="18"/>
              </w:rPr>
              <w:t xml:space="preserve">What to write</w:t>
            </w:r>
          </w:p>
        </w:tc>
      </w:tr>
      <w:tr>
        <w:tc>
          <w:tcPr>
            <w:tcW w:type="dxa" w:w="824"/>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1</w:t>
            </w:r>
          </w:p>
        </w:tc>
        <w:tc>
          <w:tcPr>
            <w:tcW w:type="dxa" w:w="3090"/>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0000"/>
                <w:sz w:val="18"/>
                <w:szCs w:val="18"/>
              </w:rPr>
              <w:t xml:space="preserve">Identify the transaction</w:t>
            </w:r>
          </w:p>
        </w:tc>
        <w:tc>
          <w:tcPr>
            <w:tcW w:type="dxa" w:w="6386"/>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One sentence. Which of the three routes is actually being proposed, and what is being acquired.</w:t>
            </w:r>
          </w:p>
        </w:tc>
      </w:tr>
      <w:tr>
        <w:tc>
          <w:tcPr>
            <w:tcW w:type="dxa" w:w="824"/>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2</w:t>
            </w:r>
          </w:p>
        </w:tc>
        <w:tc>
          <w:tcPr>
            <w:tcW w:type="dxa" w:w="3090"/>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0000"/>
                <w:sz w:val="18"/>
                <w:szCs w:val="18"/>
              </w:rPr>
              <w:t xml:space="preserve">Identify who owns and who claims</w:t>
            </w:r>
          </w:p>
        </w:tc>
        <w:tc>
          <w:tcPr>
            <w:tcW w:type="dxa" w:w="6386"/>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70C0"/>
                <w:sz w:val="18"/>
                <w:szCs w:val="18"/>
              </w:rPr>
              <w:t xml:space="preserve">Ownership, bringing into use, own trade, production of income — all four in the same taxpayer. State the consequence for Axion specifically.</w:t>
            </w:r>
          </w:p>
        </w:tc>
      </w:tr>
      <w:tr>
        <w:tc>
          <w:tcPr>
            <w:tcW w:type="dxa" w:w="824"/>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3</w:t>
            </w:r>
          </w:p>
        </w:tc>
        <w:tc>
          <w:tcPr>
            <w:tcW w:type="dxa" w:w="3090"/>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0000"/>
                <w:sz w:val="18"/>
                <w:szCs w:val="18"/>
              </w:rPr>
              <w:t xml:space="preserve">Work each cost element to its section</w:t>
            </w:r>
          </w:p>
        </w:tc>
        <w:tc>
          <w:tcPr>
            <w:tcW w:type="dxa" w:w="6386"/>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70C0"/>
                <w:sz w:val="18"/>
                <w:szCs w:val="18"/>
              </w:rPr>
              <w:t xml:space="preserve">Plant → s12B. Roads and fences → s12U if above 5MW. Connection infrastructure → s12B, s13quin or s11(e) depending on what it is. Land → nothing. </w:t>
            </w:r>
            <w:r>
              <w:rPr>
                <w:rFonts w:ascii="Arial" w:cs="Arial" w:eastAsia="Arial" w:hAnsi="Arial"/>
                <w:b/>
                <w:bCs/>
                <w:i w:val="false"/>
                <w:iCs w:val="false"/>
                <w:color w:val="0070C0"/>
                <w:sz w:val="18"/>
                <w:szCs w:val="18"/>
              </w:rPr>
              <w:t xml:space="preserve">Do not lump them together.</w:t>
            </w:r>
          </w:p>
        </w:tc>
      </w:tr>
      <w:tr>
        <w:tc>
          <w:tcPr>
            <w:tcW w:type="dxa" w:w="824"/>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4</w:t>
            </w:r>
          </w:p>
        </w:tc>
        <w:tc>
          <w:tcPr>
            <w:tcW w:type="dxa" w:w="3090"/>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0000"/>
                <w:sz w:val="18"/>
                <w:szCs w:val="18"/>
              </w:rPr>
              <w:t xml:space="preserve">Apply the rate and compute</w:t>
            </w:r>
          </w:p>
        </w:tc>
        <w:tc>
          <w:tcPr>
            <w:tcW w:type="dxa" w:w="6386"/>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70C0"/>
                <w:sz w:val="18"/>
                <w:szCs w:val="18"/>
              </w:rPr>
              <w:t xml:space="preserve">Show the calculation. 50/30/20 or 100%. No apportionment. Give the rand deduction and the tax at 27%.</w:t>
            </w:r>
          </w:p>
        </w:tc>
      </w:tr>
      <w:tr>
        <w:tc>
          <w:tcPr>
            <w:tcW w:type="dxa" w:w="824"/>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5</w:t>
            </w:r>
          </w:p>
        </w:tc>
        <w:tc>
          <w:tcPr>
            <w:tcW w:type="dxa" w:w="3090"/>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0000"/>
                <w:sz w:val="18"/>
                <w:szCs w:val="18"/>
              </w:rPr>
              <w:t xml:space="preserve">Check the timing</w:t>
            </w:r>
          </w:p>
        </w:tc>
        <w:tc>
          <w:tcPr>
            <w:tcW w:type="dxa" w:w="6386"/>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70C0"/>
                <w:sz w:val="18"/>
                <w:szCs w:val="18"/>
              </w:rPr>
              <w:t xml:space="preserve">Date brought into use against 30 June. Quantify the effect of slipping past year end.</w:t>
            </w:r>
          </w:p>
        </w:tc>
      </w:tr>
      <w:tr>
        <w:tc>
          <w:tcPr>
            <w:tcW w:type="dxa" w:w="824"/>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6</w:t>
            </w:r>
          </w:p>
        </w:tc>
        <w:tc>
          <w:tcPr>
            <w:tcW w:type="dxa" w:w="3090"/>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0000"/>
                <w:sz w:val="18"/>
                <w:szCs w:val="18"/>
              </w:rPr>
              <w:t xml:space="preserve">Check utilisation</w:t>
            </w:r>
          </w:p>
        </w:tc>
        <w:tc>
          <w:tcPr>
            <w:tcW w:type="dxa" w:w="6386"/>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70C0"/>
                <w:sz w:val="18"/>
                <w:szCs w:val="18"/>
              </w:rPr>
              <w:t xml:space="preserve">Is there taxable income to absorb it? If not, s20 limits the carry-forward. Compute it.</w:t>
            </w:r>
          </w:p>
        </w:tc>
      </w:tr>
      <w:tr>
        <w:tc>
          <w:tcPr>
            <w:tcW w:type="dxa" w:w="824"/>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7</w:t>
            </w:r>
          </w:p>
        </w:tc>
        <w:tc>
          <w:tcPr>
            <w:tcW w:type="dxa" w:w="3090"/>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0000"/>
                <w:sz w:val="18"/>
                <w:szCs w:val="18"/>
              </w:rPr>
              <w:t xml:space="preserve">Deal with disposal</w:t>
            </w:r>
          </w:p>
        </w:tc>
        <w:tc>
          <w:tcPr>
            <w:tcW w:type="dxa" w:w="6386"/>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70C0"/>
                <w:sz w:val="18"/>
                <w:szCs w:val="18"/>
              </w:rPr>
              <w:t xml:space="preserve">s8(4)(a) recoupment capped at allowances claimed; CGT at 21.6% effective on any excess over cost. Note s8(4)(nA) if s12BA was ever claimed.</w:t>
            </w:r>
          </w:p>
        </w:tc>
      </w:tr>
      <w:tr>
        <w:tc>
          <w:tcPr>
            <w:tcW w:type="dxa" w:w="824"/>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8</w:t>
            </w:r>
          </w:p>
        </w:tc>
        <w:tc>
          <w:tcPr>
            <w:tcW w:type="dxa" w:w="3090"/>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0000"/>
                <w:sz w:val="18"/>
                <w:szCs w:val="18"/>
              </w:rPr>
              <w:t xml:space="preserve">Cover the other taxes briefly</w:t>
            </w:r>
          </w:p>
        </w:tc>
        <w:tc>
          <w:tcPr>
            <w:tcW w:type="dxa" w:w="6386"/>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70C0"/>
                <w:sz w:val="18"/>
                <w:szCs w:val="18"/>
              </w:rPr>
              <w:t xml:space="preserve">VAT: input tax claimable, output VAT on the recharge. Carbon tax: falls on Scope 1, so a renewable PPA saves little or none. Dividends tax only on the SPV route.</w:t>
            </w:r>
          </w:p>
        </w:tc>
      </w:tr>
      <w:tr>
        <w:tc>
          <w:tcPr>
            <w:tcW w:type="dxa" w:w="824"/>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9</w:t>
            </w:r>
          </w:p>
        </w:tc>
        <w:tc>
          <w:tcPr>
            <w:tcW w:type="dxa" w:w="3090"/>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0000"/>
                <w:sz w:val="18"/>
                <w:szCs w:val="18"/>
              </w:rPr>
              <w:t xml:space="preserve">State what you need</w:t>
            </w:r>
          </w:p>
        </w:tc>
        <w:tc>
          <w:tcPr>
            <w:tcW w:type="dxa" w:w="6386"/>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70C0"/>
                <w:sz w:val="18"/>
                <w:szCs w:val="18"/>
              </w:rPr>
              <w:t xml:space="preserve">Specific requests, not generic ones. Capacity in MW. Cost split. Ownership structure. Date brought into use. Lender identity and residence.</w:t>
            </w:r>
          </w:p>
        </w:tc>
      </w:tr>
      <w:tr>
        <w:tc>
          <w:tcPr>
            <w:tcW w:type="dxa" w:w="824"/>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10</w:t>
            </w:r>
          </w:p>
        </w:tc>
        <w:tc>
          <w:tcPr>
            <w:tcW w:type="dxa" w:w="3090"/>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0000"/>
                <w:sz w:val="18"/>
                <w:szCs w:val="18"/>
              </w:rPr>
              <w:t xml:space="preserve">Conclude</w:t>
            </w:r>
          </w:p>
        </w:tc>
        <w:tc>
          <w:tcPr>
            <w:tcW w:type="dxa" w:w="6386"/>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70C0"/>
                <w:sz w:val="18"/>
                <w:szCs w:val="18"/>
              </w:rPr>
              <w:t xml:space="preserve">Recommend. If the numbers are close, say so and carry the decision on judgement — but reach one. An unconcluded analysis is an incomplete task.</w:t>
            </w:r>
          </w:p>
        </w:tc>
      </w:tr>
    </w:tbl>
    <w:p>
      <w:pPr>
        <w:keepNext w:val="false"/>
        <w:spacing w:after="0" w:before="0" w:line="250" w:lineRule="auto"/>
      </w:pPr>
      <w:r>
        <w:rPr>
          <w:rFonts w:ascii="Arial" w:cs="Arial" w:eastAsia="Arial" w:hAnsi="Arial"/>
          <w:sz w:val="12"/>
          <w:szCs w:val="12"/>
        </w:rPr>
        <w:t xml:space="preserve"/>
      </w:r>
    </w:p>
    <w:tbl>
      <w:tblPr>
        <w:tblW w:type="dxa" w:w="10300"/>
        <w:tblBorders>
          <w:top w:val="single" w:color="auto" w:sz="4"/>
          <w:left w:val="single" w:color="auto" w:sz="4"/>
          <w:bottom w:val="single" w:color="auto" w:sz="4"/>
          <w:right w:val="single" w:color="auto" w:sz="4"/>
          <w:insideH w:val="single" w:color="auto" w:sz="4"/>
          <w:insideV w:val="single" w:color="auto" w:sz="4"/>
        </w:tblBorders>
      </w:tblPr>
      <w:tblGrid>
        <w:gridCol w:w="10300"/>
      </w:tblGrid>
      <w:tr>
        <w:tc>
          <w:tcPr>
            <w:tcW w:type="dxa" w:w="10300"/>
            <w:tcBorders>
              <w:top w:val="single" w:color="888888" w:sz="4" w:space="6"/>
              <w:left w:val="single" w:color="888888" w:sz="4" w:space="6"/>
              <w:bottom w:val="single" w:color="888888" w:sz="4" w:space="6"/>
              <w:right w:val="single" w:color="888888" w:sz="4" w:space="6"/>
            </w:tcBorders>
            <w:tcMar>
              <w:top w:type="dxa" w:w="110"/>
              <w:left w:type="dxa" w:w="130"/>
              <w:bottom w:type="dxa" w:w="110"/>
              <w:right w:type="dxa" w:w="130"/>
            </w:tcMar>
          </w:tcPr>
          <w:p>
            <w:pPr>
              <w:keepNext w:val="false"/>
              <w:spacing w:after="60" w:before="0" w:line="250" w:lineRule="auto"/>
            </w:pPr>
            <w:r>
              <w:rPr>
                <w:rFonts w:ascii="Arial" w:cs="Arial" w:eastAsia="Arial" w:hAnsi="Arial"/>
                <w:b/>
                <w:bCs/>
                <w:i w:val="false"/>
                <w:iCs w:val="false"/>
                <w:color w:val="000000"/>
                <w:sz w:val="18"/>
                <w:szCs w:val="18"/>
              </w:rPr>
              <w:t xml:space="preserve">Five things that will cost you the task if you get them wrong.</w:t>
            </w:r>
          </w:p>
          <w:p>
            <w:pPr>
              <w:pStyle w:val="ListParagraph"/>
              <w:numPr>
                <w:ilvl w:val="0"/>
                <w:numId w:val="2"/>
              </w:numPr>
              <w:spacing w:after="50" w:before="0" w:line="250" w:lineRule="auto"/>
            </w:pPr>
            <w:r>
              <w:rPr>
                <w:rFonts w:ascii="Arial" w:cs="Arial" w:eastAsia="Arial" w:hAnsi="Arial"/>
                <w:b/>
                <w:bCs/>
                <w:i w:val="false"/>
                <w:iCs w:val="false"/>
                <w:color w:val="000000"/>
                <w:sz w:val="18"/>
                <w:szCs w:val="18"/>
              </w:rPr>
              <w:t xml:space="preserve">Claiming s12BA.</w:t>
            </w:r>
            <w:r>
              <w:rPr>
                <w:rFonts w:ascii="Arial" w:cs="Arial" w:eastAsia="Arial" w:hAnsi="Arial"/>
                <w:b w:val="false"/>
                <w:bCs w:val="false"/>
                <w:i w:val="false"/>
                <w:iCs w:val="false"/>
                <w:color w:val="000000"/>
                <w:sz w:val="18"/>
                <w:szCs w:val="18"/>
              </w:rPr>
              <w:t xml:space="preserve"> It expired on 28 February 2025. Say it has expired.</w:t>
            </w:r>
          </w:p>
          <w:p>
            <w:pPr>
              <w:pStyle w:val="ListParagraph"/>
              <w:numPr>
                <w:ilvl w:val="0"/>
                <w:numId w:val="2"/>
              </w:numPr>
              <w:spacing w:after="50" w:before="0" w:line="250" w:lineRule="auto"/>
            </w:pPr>
            <w:r>
              <w:rPr>
                <w:rFonts w:ascii="Arial" w:cs="Arial" w:eastAsia="Arial" w:hAnsi="Arial"/>
                <w:b/>
                <w:bCs/>
                <w:i w:val="false"/>
                <w:iCs w:val="false"/>
                <w:color w:val="000000"/>
                <w:sz w:val="18"/>
                <w:szCs w:val="18"/>
              </w:rPr>
              <w:t xml:space="preserve">Putting the transmission line into s12U.</w:t>
            </w:r>
            <w:r>
              <w:rPr>
                <w:rFonts w:ascii="Arial" w:cs="Arial" w:eastAsia="Arial" w:hAnsi="Arial"/>
                <w:b w:val="false"/>
                <w:bCs w:val="false"/>
                <w:i w:val="false"/>
                <w:iCs w:val="false"/>
                <w:color w:val="000000"/>
                <w:sz w:val="18"/>
                <w:szCs w:val="18"/>
              </w:rPr>
              <w:t xml:space="preserve"> s12U is roads and fences only.</w:t>
            </w:r>
          </w:p>
          <w:p>
            <w:pPr>
              <w:pStyle w:val="ListParagraph"/>
              <w:numPr>
                <w:ilvl w:val="0"/>
                <w:numId w:val="2"/>
              </w:numPr>
              <w:spacing w:after="50" w:before="0" w:line="250" w:lineRule="auto"/>
            </w:pPr>
            <w:r>
              <w:rPr>
                <w:rFonts w:ascii="Arial" w:cs="Arial" w:eastAsia="Arial" w:hAnsi="Arial"/>
                <w:b/>
                <w:bCs/>
                <w:i w:val="false"/>
                <w:iCs w:val="false"/>
                <w:color w:val="000000"/>
                <w:sz w:val="18"/>
                <w:szCs w:val="18"/>
              </w:rPr>
              <w:t xml:space="preserve">Assuming Axion gets the allowance.</w:t>
            </w:r>
            <w:r>
              <w:rPr>
                <w:rFonts w:ascii="Arial" w:cs="Arial" w:eastAsia="Arial" w:hAnsi="Arial"/>
                <w:b w:val="false"/>
                <w:bCs w:val="false"/>
                <w:i w:val="false"/>
                <w:iCs w:val="false"/>
                <w:color w:val="000000"/>
                <w:sz w:val="18"/>
                <w:szCs w:val="18"/>
              </w:rPr>
              <w:t xml:space="preserve"> If the plant sits in an SPV or the partner owns it, Axion gets nothing but s11(a).</w:t>
            </w:r>
          </w:p>
          <w:p>
            <w:pPr>
              <w:pStyle w:val="ListParagraph"/>
              <w:numPr>
                <w:ilvl w:val="0"/>
                <w:numId w:val="2"/>
              </w:numPr>
              <w:spacing w:after="50" w:before="0" w:line="250" w:lineRule="auto"/>
            </w:pPr>
            <w:r>
              <w:rPr>
                <w:rFonts w:ascii="Arial" w:cs="Arial" w:eastAsia="Arial" w:hAnsi="Arial"/>
                <w:b/>
                <w:bCs/>
                <w:i w:val="false"/>
                <w:iCs w:val="false"/>
                <w:color w:val="000000"/>
                <w:sz w:val="18"/>
                <w:szCs w:val="18"/>
              </w:rPr>
              <w:t xml:space="preserve">Apportioning s12B for part of a year.</w:t>
            </w:r>
            <w:r>
              <w:rPr>
                <w:rFonts w:ascii="Arial" w:cs="Arial" w:eastAsia="Arial" w:hAnsi="Arial"/>
                <w:b w:val="false"/>
                <w:bCs w:val="false"/>
                <w:i w:val="false"/>
                <w:iCs w:val="false"/>
                <w:color w:val="000000"/>
                <w:sz w:val="18"/>
                <w:szCs w:val="18"/>
              </w:rPr>
              <w:t xml:space="preserve"> It is not apportioned. s11(e) is.</w:t>
            </w:r>
          </w:p>
          <w:p>
            <w:pPr>
              <w:pStyle w:val="ListParagraph"/>
              <w:numPr>
                <w:ilvl w:val="0"/>
                <w:numId w:val="2"/>
              </w:numPr>
              <w:spacing w:after="50" w:before="0" w:line="250" w:lineRule="auto"/>
            </w:pPr>
            <w:r>
              <w:rPr>
                <w:rFonts w:ascii="Arial" w:cs="Arial" w:eastAsia="Arial" w:hAnsi="Arial"/>
                <w:b/>
                <w:bCs/>
                <w:i w:val="false"/>
                <w:iCs w:val="false"/>
                <w:color w:val="000000"/>
                <w:sz w:val="18"/>
                <w:szCs w:val="18"/>
              </w:rPr>
              <w:t xml:space="preserve">Putting a carbon tax saving into the NPV.</w:t>
            </w:r>
            <w:r>
              <w:rPr>
                <w:rFonts w:ascii="Arial" w:cs="Arial" w:eastAsia="Arial" w:hAnsi="Arial"/>
                <w:b w:val="false"/>
                <w:bCs w:val="false"/>
                <w:i w:val="false"/>
                <w:iCs w:val="false"/>
                <w:color w:val="000000"/>
                <w:sz w:val="18"/>
                <w:szCs w:val="18"/>
              </w:rPr>
              <w:t xml:space="preserve"> Carbon tax falls on Scope 1; a renewable PPA cuts Scope 2.</w:t>
            </w:r>
          </w:p>
        </w:tc>
      </w:tr>
    </w:tbl>
    <w:p>
      <w:pPr>
        <w:keepNext w:val="false"/>
        <w:spacing w:after="0" w:before="0" w:line="250" w:lineRule="auto"/>
      </w:pPr>
      <w:r>
        <w:rPr>
          <w:rFonts w:ascii="Arial" w:cs="Arial" w:eastAsia="Arial" w:hAnsi="Arial"/>
          <w:sz w:val="10"/>
          <w:szCs w:val="10"/>
        </w:rPr>
        <w:t xml:space="preserve"/>
      </w:r>
    </w:p>
    <w:p>
      <w:pPr>
        <w:keepNext/>
        <w:pBdr>
          <w:bottom w:val="single" w:color="000000" w:sz="8" w:space="2"/>
        </w:pBdr>
        <w:spacing w:after="110" w:before="260" w:line="250" w:lineRule="auto"/>
      </w:pPr>
      <w:r>
        <w:rPr>
          <w:rFonts w:ascii="Arial" w:cs="Arial" w:eastAsia="Arial" w:hAnsi="Arial"/>
          <w:b/>
          <w:bCs/>
          <w:i w:val="false"/>
          <w:iCs w:val="false"/>
          <w:color w:val="000000"/>
          <w:sz w:val="26"/>
          <w:szCs w:val="26"/>
        </w:rPr>
        <w:t xml:space="preserve">K. Verification status</w:t>
      </w:r>
    </w:p>
    <w:tbl>
      <w:tblPr>
        <w:tblW w:type="dxa" w:w="10300"/>
        <w:tblBorders>
          <w:top w:val="single" w:color="auto" w:sz="4"/>
          <w:left w:val="single" w:color="auto" w:sz="4"/>
          <w:bottom w:val="single" w:color="auto" w:sz="4"/>
          <w:right w:val="single" w:color="auto" w:sz="4"/>
          <w:insideH w:val="single" w:color="auto" w:sz="4"/>
          <w:insideV w:val="single" w:color="auto" w:sz="4"/>
        </w:tblBorders>
      </w:tblPr>
      <w:tblGrid>
        <w:gridCol w:w="3090"/>
        <w:gridCol w:w="4532"/>
        <w:gridCol w:w="2678"/>
      </w:tblGrid>
      <w:tr>
        <w:trPr>
          <w:tblHeader/>
        </w:trPr>
        <w:tc>
          <w:tcPr>
            <w:tcW w:type="dxa" w:w="3090"/>
            <w:tcBorders>
              <w:top w:val="single" w:color="888888" w:sz="4"/>
              <w:left w:val="single" w:color="888888" w:sz="4"/>
              <w:bottom w:val="single" w:color="888888" w:sz="4"/>
              <w:right w:val="single" w:color="888888" w:sz="4"/>
            </w:tcBorders>
            <w:shd w:fill="E8E8E8" w:val="clear"/>
            <w:tcMar>
              <w:top w:type="dxa" w:w="60"/>
              <w:left w:type="dxa" w:w="80"/>
              <w:bottom w:type="dxa" w:w="60"/>
              <w:right w:type="dxa" w:w="80"/>
            </w:tcMar>
            <w:vAlign w:val="center"/>
          </w:tcPr>
          <w:p>
            <w:pPr>
              <w:keepNext w:val="false"/>
              <w:spacing w:after="0" w:before="0" w:line="250" w:lineRule="auto"/>
            </w:pPr>
            <w:r>
              <w:rPr>
                <w:rFonts w:ascii="Arial" w:cs="Arial" w:eastAsia="Arial" w:hAnsi="Arial"/>
                <w:b/>
                <w:bCs/>
                <w:i w:val="false"/>
                <w:iCs w:val="false"/>
                <w:color w:val="000000"/>
                <w:sz w:val="18"/>
                <w:szCs w:val="18"/>
              </w:rPr>
              <w:t xml:space="preserve">Item</w:t>
            </w:r>
          </w:p>
        </w:tc>
        <w:tc>
          <w:tcPr>
            <w:tcW w:type="dxa" w:w="4532"/>
            <w:tcBorders>
              <w:top w:val="single" w:color="888888" w:sz="4"/>
              <w:left w:val="single" w:color="888888" w:sz="4"/>
              <w:bottom w:val="single" w:color="888888" w:sz="4"/>
              <w:right w:val="single" w:color="888888" w:sz="4"/>
            </w:tcBorders>
            <w:shd w:fill="E8E8E8" w:val="clear"/>
            <w:tcMar>
              <w:top w:type="dxa" w:w="60"/>
              <w:left w:type="dxa" w:w="80"/>
              <w:bottom w:type="dxa" w:w="60"/>
              <w:right w:type="dxa" w:w="80"/>
            </w:tcMar>
            <w:vAlign w:val="center"/>
          </w:tcPr>
          <w:p>
            <w:pPr>
              <w:keepNext w:val="false"/>
              <w:spacing w:after="0" w:before="0" w:line="250" w:lineRule="auto"/>
            </w:pPr>
            <w:r>
              <w:rPr>
                <w:rFonts w:ascii="Arial" w:cs="Arial" w:eastAsia="Arial" w:hAnsi="Arial"/>
                <w:b/>
                <w:bCs/>
                <w:i w:val="false"/>
                <w:iCs w:val="false"/>
                <w:color w:val="000000"/>
                <w:sz w:val="18"/>
                <w:szCs w:val="18"/>
              </w:rPr>
              <w:t xml:space="preserve">Status</w:t>
            </w:r>
          </w:p>
        </w:tc>
        <w:tc>
          <w:tcPr>
            <w:tcW w:type="dxa" w:w="2678"/>
            <w:tcBorders>
              <w:top w:val="single" w:color="888888" w:sz="4"/>
              <w:left w:val="single" w:color="888888" w:sz="4"/>
              <w:bottom w:val="single" w:color="888888" w:sz="4"/>
              <w:right w:val="single" w:color="888888" w:sz="4"/>
            </w:tcBorders>
            <w:shd w:fill="E8E8E8" w:val="clear"/>
            <w:tcMar>
              <w:top w:type="dxa" w:w="60"/>
              <w:left w:type="dxa" w:w="80"/>
              <w:bottom w:type="dxa" w:w="60"/>
              <w:right w:type="dxa" w:w="80"/>
            </w:tcMar>
            <w:vAlign w:val="center"/>
          </w:tcPr>
          <w:p>
            <w:pPr>
              <w:keepNext w:val="false"/>
              <w:spacing w:after="0" w:before="0" w:line="250" w:lineRule="auto"/>
            </w:pPr>
            <w:r>
              <w:rPr>
                <w:rFonts w:ascii="Arial" w:cs="Arial" w:eastAsia="Arial" w:hAnsi="Arial"/>
                <w:b/>
                <w:bCs/>
                <w:i w:val="false"/>
                <w:iCs w:val="false"/>
                <w:color w:val="000000"/>
                <w:sz w:val="18"/>
                <w:szCs w:val="18"/>
              </w:rPr>
              <w:t xml:space="preserve">Source</w:t>
            </w:r>
          </w:p>
        </w:tc>
      </w:tr>
      <w:tr>
        <w:tc>
          <w:tcPr>
            <w:tcW w:type="dxa" w:w="3090"/>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s12B — rates, sources, no apportionment, cost base, second-hand allowed</w:t>
            </w:r>
          </w:p>
        </w:tc>
        <w:tc>
          <w:tcPr>
            <w:tcW w:type="dxa" w:w="4532"/>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0000"/>
                <w:sz w:val="18"/>
                <w:szCs w:val="18"/>
              </w:rPr>
              <w:t xml:space="preserve">Verified</w:t>
            </w:r>
          </w:p>
        </w:tc>
        <w:tc>
          <w:tcPr>
            <w:tcW w:type="dxa" w:w="2678"/>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Practitioner commentary; SARS Guide IT39</w:t>
            </w:r>
          </w:p>
        </w:tc>
      </w:tr>
      <w:tr>
        <w:tc>
          <w:tcPr>
            <w:tcW w:type="dxa" w:w="3090"/>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s12BA — 125%, dates, new and unused, cost base, not renewed</w:t>
            </w:r>
          </w:p>
        </w:tc>
        <w:tc>
          <w:tcPr>
            <w:tcW w:type="dxa" w:w="4532"/>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0000"/>
                <w:sz w:val="18"/>
                <w:szCs w:val="18"/>
              </w:rPr>
              <w:t xml:space="preserve">Verified</w:t>
            </w:r>
          </w:p>
        </w:tc>
        <w:tc>
          <w:tcPr>
            <w:tcW w:type="dxa" w:w="2678"/>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Practitioner commentary</w:t>
            </w:r>
          </w:p>
        </w:tc>
      </w:tr>
      <w:tr>
        <w:tc>
          <w:tcPr>
            <w:tcW w:type="dxa" w:w="3090"/>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s12BA — recoupment under s8(4)(nA) and the 1 March 2026 date</w:t>
            </w:r>
          </w:p>
        </w:tc>
        <w:tc>
          <w:tcPr>
            <w:tcW w:type="dxa" w:w="4532"/>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0000"/>
                <w:sz w:val="18"/>
                <w:szCs w:val="18"/>
              </w:rPr>
              <w:t xml:space="preserve">Verified</w:t>
            </w:r>
          </w:p>
        </w:tc>
        <w:tc>
          <w:tcPr>
            <w:tcW w:type="dxa" w:w="2678"/>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Practitioner commentary</w:t>
            </w:r>
          </w:p>
        </w:tc>
      </w:tr>
      <w:tr>
        <w:tc>
          <w:tcPr>
            <w:tcW w:type="dxa" w:w="3090"/>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s12U — 1 April 2016, 100%, roads and fences and fence foundations, 5MW threshold, scope limit</w:t>
            </w:r>
          </w:p>
        </w:tc>
        <w:tc>
          <w:tcPr>
            <w:tcW w:type="dxa" w:w="4532"/>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0000"/>
                <w:sz w:val="18"/>
                <w:szCs w:val="18"/>
              </w:rPr>
              <w:t xml:space="preserve">Verified</w:t>
            </w:r>
          </w:p>
        </w:tc>
        <w:tc>
          <w:tcPr>
            <w:tcW w:type="dxa" w:w="2678"/>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Practitioner commentary; SARS Guide IT39</w:t>
            </w:r>
          </w:p>
        </w:tc>
      </w:tr>
      <w:tr>
        <w:tc>
          <w:tcPr>
            <w:tcW w:type="dxa" w:w="3090"/>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s12L — 95c per kWh, SANEDI certification, extended to 31 December 2030</w:t>
            </w:r>
          </w:p>
        </w:tc>
        <w:tc>
          <w:tcPr>
            <w:tcW w:type="dxa" w:w="4532"/>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0000"/>
                <w:sz w:val="18"/>
                <w:szCs w:val="18"/>
              </w:rPr>
              <w:t xml:space="preserve">Verified</w:t>
            </w:r>
          </w:p>
        </w:tc>
        <w:tc>
          <w:tcPr>
            <w:tcW w:type="dxa" w:w="2678"/>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Practitioner commentary; SARS IN 95</w:t>
            </w:r>
          </w:p>
        </w:tc>
      </w:tr>
      <w:tr>
        <w:tc>
          <w:tcPr>
            <w:tcW w:type="dxa" w:w="3090"/>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s20(1)(a) — higher of R1m or 80%</w:t>
            </w:r>
          </w:p>
        </w:tc>
        <w:tc>
          <w:tcPr>
            <w:tcW w:type="dxa" w:w="4532"/>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0000"/>
                <w:sz w:val="18"/>
                <w:szCs w:val="18"/>
              </w:rPr>
              <w:t xml:space="preserve">Verified</w:t>
            </w:r>
          </w:p>
        </w:tc>
        <w:tc>
          <w:tcPr>
            <w:tcW w:type="dxa" w:w="2678"/>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Practitioner commentary</w:t>
            </w:r>
          </w:p>
        </w:tc>
      </w:tr>
      <w:tr>
        <w:tc>
          <w:tcPr>
            <w:tcW w:type="dxa" w:w="3090"/>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s12C — 40/20/20/20; s13quin — 5%</w:t>
            </w:r>
          </w:p>
        </w:tc>
        <w:tc>
          <w:tcPr>
            <w:tcW w:type="dxa" w:w="4532"/>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0000"/>
                <w:sz w:val="18"/>
                <w:szCs w:val="18"/>
              </w:rPr>
              <w:t xml:space="preserve">Verified</w:t>
            </w:r>
          </w:p>
        </w:tc>
        <w:tc>
          <w:tcPr>
            <w:tcW w:type="dxa" w:w="2678"/>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Practitioner commentary</w:t>
            </w:r>
          </w:p>
        </w:tc>
      </w:tr>
      <w:tr>
        <w:tc>
          <w:tcPr>
            <w:tcW w:type="dxa" w:w="3090"/>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Corporate 27%, dividends tax 20%, CGT inclusion 80% (effective 21.6%), VAT 15%</w:t>
            </w:r>
          </w:p>
        </w:tc>
        <w:tc>
          <w:tcPr>
            <w:tcW w:type="dxa" w:w="4532"/>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0000"/>
                <w:sz w:val="18"/>
                <w:szCs w:val="18"/>
              </w:rPr>
              <w:t xml:space="preserve">Verified — confirmed unchanged in the February 2026 Budget</w:t>
            </w:r>
          </w:p>
        </w:tc>
        <w:tc>
          <w:tcPr>
            <w:tcW w:type="dxa" w:w="2678"/>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Practitioner commentary</w:t>
            </w:r>
          </w:p>
        </w:tc>
      </w:tr>
      <w:tr>
        <w:tc>
          <w:tcPr>
            <w:tcW w:type="dxa" w:w="3090"/>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s23M percentage and controlling relationship definition</w:t>
            </w:r>
          </w:p>
        </w:tc>
        <w:tc>
          <w:tcPr>
            <w:tcW w:type="dxa" w:w="4532"/>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0000"/>
                <w:sz w:val="18"/>
                <w:szCs w:val="18"/>
              </w:rPr>
              <w:t xml:space="preserve">NOT verified</w:t>
            </w:r>
            <w:r>
              <w:rPr>
                <w:rFonts w:ascii="Arial" w:cs="Arial" w:eastAsia="Arial" w:hAnsi="Arial"/>
                <w:b w:val="false"/>
                <w:bCs w:val="false"/>
                <w:i w:val="false"/>
                <w:iCs w:val="false"/>
                <w:color w:val="000000"/>
                <w:sz w:val="18"/>
                <w:szCs w:val="18"/>
              </w:rPr>
              <w:t xml:space="preserve"> — read the section</w:t>
            </w:r>
          </w:p>
        </w:tc>
        <w:tc>
          <w:tcPr>
            <w:tcW w:type="dxa" w:w="2678"/>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w:t>
            </w:r>
          </w:p>
        </w:tc>
      </w:tr>
      <w:tr>
        <w:tc>
          <w:tcPr>
            <w:tcW w:type="dxa" w:w="3090"/>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s24H partnerships; s12N deemed ownership; s11(o) detail</w:t>
            </w:r>
          </w:p>
        </w:tc>
        <w:tc>
          <w:tcPr>
            <w:tcW w:type="dxa" w:w="4532"/>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0000"/>
                <w:sz w:val="18"/>
                <w:szCs w:val="18"/>
              </w:rPr>
              <w:t xml:space="preserve">NOT verified</w:t>
            </w:r>
            <w:r>
              <w:rPr>
                <w:rFonts w:ascii="Arial" w:cs="Arial" w:eastAsia="Arial" w:hAnsi="Arial"/>
                <w:b w:val="false"/>
                <w:bCs w:val="false"/>
                <w:i w:val="false"/>
                <w:iCs w:val="false"/>
                <w:color w:val="000000"/>
                <w:sz w:val="18"/>
                <w:szCs w:val="18"/>
              </w:rPr>
              <w:t xml:space="preserve"> — read the sections</w:t>
            </w:r>
          </w:p>
        </w:tc>
        <w:tc>
          <w:tcPr>
            <w:tcW w:type="dxa" w:w="2678"/>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w:t>
            </w:r>
          </w:p>
        </w:tc>
      </w:tr>
      <w:tr>
        <w:tc>
          <w:tcPr>
            <w:tcW w:type="dxa" w:w="3090"/>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Carbon tax threshold and rate</w:t>
            </w:r>
          </w:p>
        </w:tc>
        <w:tc>
          <w:tcPr>
            <w:tcW w:type="dxa" w:w="4532"/>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0000"/>
                <w:sz w:val="18"/>
                <w:szCs w:val="18"/>
              </w:rPr>
              <w:t xml:space="preserve">NOT verified</w:t>
            </w:r>
            <w:r>
              <w:rPr>
                <w:rFonts w:ascii="Arial" w:cs="Arial" w:eastAsia="Arial" w:hAnsi="Arial"/>
                <w:b w:val="false"/>
                <w:bCs w:val="false"/>
                <w:i w:val="false"/>
                <w:iCs w:val="false"/>
                <w:color w:val="000000"/>
                <w:sz w:val="18"/>
                <w:szCs w:val="18"/>
              </w:rPr>
              <w:t xml:space="preserve"> — read the Carbon Tax Act</w:t>
            </w:r>
          </w:p>
        </w:tc>
        <w:tc>
          <w:tcPr>
            <w:tcW w:type="dxa" w:w="2678"/>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w:t>
            </w:r>
          </w:p>
        </w:tc>
      </w:tr>
      <w:tr>
        <w:tc>
          <w:tcPr>
            <w:tcW w:type="dxa" w:w="3090"/>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IN 47 write-off periods</w:t>
            </w:r>
          </w:p>
        </w:tc>
        <w:tc>
          <w:tcPr>
            <w:tcW w:type="dxa" w:w="4532"/>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0000"/>
                <w:sz w:val="18"/>
                <w:szCs w:val="18"/>
              </w:rPr>
              <w:t xml:space="preserve">NOT verified</w:t>
            </w:r>
            <w:r>
              <w:rPr>
                <w:rFonts w:ascii="Arial" w:cs="Arial" w:eastAsia="Arial" w:hAnsi="Arial"/>
                <w:b w:val="false"/>
                <w:bCs w:val="false"/>
                <w:i w:val="false"/>
                <w:iCs w:val="false"/>
                <w:color w:val="000000"/>
                <w:sz w:val="18"/>
                <w:szCs w:val="18"/>
              </w:rPr>
              <w:t xml:space="preserve"> — look up the asset categories Axion holds</w:t>
            </w:r>
          </w:p>
        </w:tc>
        <w:tc>
          <w:tcPr>
            <w:tcW w:type="dxa" w:w="2678"/>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w:t>
            </w:r>
          </w:p>
        </w:tc>
      </w:tr>
      <w:tr>
        <w:tc>
          <w:tcPr>
            <w:tcW w:type="dxa" w:w="3090"/>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IAS 12 paragraph references</w:t>
            </w:r>
          </w:p>
        </w:tc>
        <w:tc>
          <w:tcPr>
            <w:tcW w:type="dxa" w:w="4532"/>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0000"/>
                <w:sz w:val="18"/>
                <w:szCs w:val="18"/>
              </w:rPr>
              <w:t xml:space="preserve">NOT verified</w:t>
            </w:r>
            <w:r>
              <w:rPr>
                <w:rFonts w:ascii="Arial" w:cs="Arial" w:eastAsia="Arial" w:hAnsi="Arial"/>
                <w:b w:val="false"/>
                <w:bCs w:val="false"/>
                <w:i w:val="false"/>
                <w:iCs w:val="false"/>
                <w:color w:val="000000"/>
                <w:sz w:val="18"/>
                <w:szCs w:val="18"/>
              </w:rPr>
              <w:t xml:space="preserve"> — check the standard before citing a paragraph</w:t>
            </w:r>
          </w:p>
        </w:tc>
        <w:tc>
          <w:tcPr>
            <w:tcW w:type="dxa" w:w="2678"/>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w:t>
            </w:r>
          </w:p>
        </w:tc>
      </w:tr>
    </w:tbl>
    <w:p>
      <w:pPr>
        <w:keepNext w:val="false"/>
        <w:spacing w:after="0" w:before="0" w:line="250" w:lineRule="auto"/>
      </w:pPr>
      <w:r>
        <w:rPr>
          <w:rFonts w:ascii="Arial" w:cs="Arial" w:eastAsia="Arial" w:hAnsi="Arial"/>
          <w:sz w:val="12"/>
          <w:szCs w:val="12"/>
        </w:rPr>
        <w:t xml:space="preserve"/>
      </w:r>
    </w:p>
    <w:p>
      <w:pPr>
        <w:pStyle w:val="ListParagraph"/>
        <w:numPr>
          <w:ilvl w:val="0"/>
          <w:numId w:val="2"/>
        </w:numPr>
        <w:spacing w:after="50" w:before="0" w:line="250" w:lineRule="auto"/>
      </w:pPr>
      <w:r>
        <w:rPr>
          <w:rFonts w:ascii="Arial" w:cs="Arial" w:eastAsia="Arial" w:hAnsi="Arial"/>
          <w:b/>
          <w:bCs/>
          <w:i w:val="false"/>
          <w:iCs w:val="false"/>
          <w:color w:val="000000"/>
          <w:sz w:val="19"/>
          <w:szCs w:val="19"/>
        </w:rPr>
        <w:t xml:space="preserve">Read the source the CFO pointed you at.</w:t>
      </w:r>
      <w:r>
        <w:rPr>
          <w:rFonts w:ascii="Arial" w:cs="Arial" w:eastAsia="Arial" w:hAnsi="Arial"/>
          <w:b w:val="false"/>
          <w:bCs w:val="false"/>
          <w:i w:val="false"/>
          <w:iCs w:val="false"/>
          <w:color w:val="000000"/>
          <w:sz w:val="19"/>
          <w:szCs w:val="19"/>
        </w:rPr>
        <w:t xml:space="preserve"> *Guide on the Allowances and Deductions Relating to Assets Used in the Generation of Electricity* — SARS publication </w:t>
      </w:r>
      <w:r>
        <w:rPr>
          <w:rFonts w:ascii="Arial" w:cs="Arial" w:eastAsia="Arial" w:hAnsi="Arial"/>
          <w:b/>
          <w:bCs/>
          <w:i w:val="false"/>
          <w:iCs w:val="false"/>
          <w:color w:val="000000"/>
          <w:sz w:val="19"/>
          <w:szCs w:val="19"/>
        </w:rPr>
        <w:t xml:space="preserve">IT39</w:t>
      </w:r>
      <w:r>
        <w:rPr>
          <w:rFonts w:ascii="Arial" w:cs="Arial" w:eastAsia="Arial" w:hAnsi="Arial"/>
          <w:b w:val="false"/>
          <w:bCs w:val="false"/>
          <w:i w:val="false"/>
          <w:iCs w:val="false"/>
          <w:color w:val="000000"/>
          <w:sz w:val="19"/>
          <w:szCs w:val="19"/>
        </w:rPr>
        <w:t xml:space="preserve">. Print it and put it in the file.</w:t>
      </w:r>
    </w:p>
    <w:p>
      <w:pPr>
        <w:pStyle w:val="ListParagraph"/>
        <w:numPr>
          <w:ilvl w:val="0"/>
          <w:numId w:val="2"/>
        </w:numPr>
        <w:spacing w:after="50" w:before="0" w:line="250" w:lineRule="auto"/>
      </w:pPr>
      <w:r>
        <w:rPr>
          <w:rFonts w:ascii="Arial" w:cs="Arial" w:eastAsia="Arial" w:hAnsi="Arial"/>
          <w:b/>
          <w:bCs/>
          <w:i w:val="false"/>
          <w:iCs w:val="false"/>
          <w:color w:val="000000"/>
          <w:sz w:val="19"/>
          <w:szCs w:val="19"/>
        </w:rPr>
        <w:t xml:space="preserve">Every number in the worked examples is assumed.</w:t>
      </w:r>
      <w:r>
        <w:rPr>
          <w:rFonts w:ascii="Arial" w:cs="Arial" w:eastAsia="Arial" w:hAnsi="Arial"/>
          <w:b w:val="false"/>
          <w:bCs w:val="false"/>
          <w:i w:val="false"/>
          <w:iCs w:val="false"/>
          <w:color w:val="000000"/>
          <w:sz w:val="19"/>
          <w:szCs w:val="19"/>
        </w:rPr>
        <w:t xml:space="preserve"> The pre-release gives no capacity, no cost, no counterparty and no structure for any renewable option. The examples exist so that the method is fluent; the figures arrive on the day.</w:t>
      </w:r>
    </w:p>
    <w:p>
      <w:pPr>
        <w:keepNext w:val="false"/>
        <w:spacing w:after="100" w:before="0" w:line="250" w:lineRule="auto"/>
      </w:pPr>
      <w:r>
        <w:rPr>
          <w:rFonts w:ascii="Arial" w:cs="Arial" w:eastAsia="Arial" w:hAnsi="Arial"/>
          <w:b w:val="false"/>
          <w:bCs w:val="false"/>
          <w:i/>
          <w:iCs/>
          <w:color w:val="000000"/>
          <w:sz w:val="18"/>
          <w:szCs w:val="18"/>
        </w:rPr>
        <w:t xml:space="preserve">Prepared for APC 2026 September Qualifying Exam preparation. Axion Digital Infrastructure (Pty) Ltd is a fictitious entity created for assessment purposes.</w:t>
      </w:r>
    </w:p>
    <w:sectPr>
      <w:pgSz w:w="11906" w:h="16838" w:orient="portrait"/>
      <w:pgMar w:top="850" w:right="850" w:bottom="850" w:left="85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220" w:hanging="1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00000"/>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2026-09-19T14:37:01.366Z</dcterms:created>
  <dcterms:modified xsi:type="dcterms:W3CDTF">2026-09-19T14:37:01.375Z</dcterms:modified>
</cp:coreProperties>
</file>

<file path=docProps/custom.xml><?xml version="1.0" encoding="utf-8"?>
<Properties xmlns="http://schemas.openxmlformats.org/officeDocument/2006/custom-properties" xmlns:vt="http://schemas.openxmlformats.org/officeDocument/2006/docPropsVTypes"/>
</file>