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4"/>
          <w:szCs w:val="34"/>
        </w:rPr>
        <w:t xml:space="preserve">Axion — Governance, Board and Committees</w:t>
      </w:r>
    </w:p>
    <w:p>
      <w:pPr>
        <w:keepNext w:val="false"/>
        <w:spacing w:after="14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Document 4, pages 11 and 12  |  APC 2026 September Qualifying Exam  |  Axion Digital Infrastructure (Pty) Ltd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00"/>
      </w:tblGrid>
      <w:tr>
        <w:tc>
          <w:tcPr>
            <w:tcW w:type="dxa" w:w="152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Scope.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ownership and governance extract in Document 4, pages 11 and 12. Each trigger is set out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 → risk → standard and section → application to Axion → what to do or ask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Know which source binds and which guides.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Act and Regulations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are law and must be complied with.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applied on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basis, and Document 4 says only that Axion has adopted practices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“informed by”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King V.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binds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registered member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full; for a director who is not a CA(SA), apply King V first and supplement with the fundamental principles.</w:t>
            </w:r>
          </w:p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Issued on 31 October 2025 and replaces King IV.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consolidated from King IV’s 17,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effective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years beginning on or after 1 January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 References below are by subject matter;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check the principle and practice numbers against the King V Code before quoting them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Contents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A.  Axion’s status — what law actually applies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2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B.  The facts in Document 4, at a glance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C.  Board composition and independence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4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D.  Conflicts of interest — Van de Wyk and the Investment Committee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5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E.  The chair — capacity and committee roles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7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F.  Audit and Risk Committee — Mthanda, KZL Inc and cooling off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8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G.  The committees — statutory against voluntary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10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H.  Shareholders’ agreement, nomination rights and a new investor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12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I.   Delegation, and from founder-led to institutionally backed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J.   The SAICA Code — Sarah Naidoo CA(SA), and you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13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K.  How to answer a governance or ethics required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15</w:t>
      </w:r>
    </w:p>
    <w:p>
      <w:pPr>
        <w:tabs>
          <w:tab w:val="right" w:pos="15200" w:leader="dot"/>
        </w:tabs>
        <w:spacing w:after="30" w:before="9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9"/>
          <w:szCs w:val="19"/>
        </w:rPr>
        <w:t xml:space="preserve">L.  Information required on the day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	15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A.  Axion’s status — what law actually applies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Axion is a private company. Several provisions that apply to public companies do not apply to it, while the public interest score brings others into play.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4560"/>
        <w:gridCol w:w="4560"/>
        <w:gridCol w:w="380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Test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rule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Consequence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Company type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private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one whose MOI prohibits it offering securities to the public and restricts the transferability of its shares.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Digital Infrastructure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(Pty) Ltd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Document 4 states “Axion remains privately held” and is “not currently listed”.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Provisions limited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and state-owned companies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do not apply automatically — most importantly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 audit committees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interest score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Reg 26(2)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Calculated at each financial year end as the sum of: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average number of employees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during the year;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R1 million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(or part)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third-party liability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at year end;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R1 million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(or part)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turnover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during the year; 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point for every individual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direct or indirect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beneficial interest in the issued securities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the FY2026 figures elsewhere in the pre-release: roughly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employees,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R6 850m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liabilities,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R2 620m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revenue, plus the shareholders.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Indicative PIS: well above 9 000.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exact figure needs third-party liability rather than total liabilities.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Every PIS threshold in the Regulations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comfortably exceeded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Reg 28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private company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must be audited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its public interest score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350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Also if it holds assets in a fiduciary capacity above R5 million, or if the score is 100 to 349 and the statements were internally compiled.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PIS far exceeds 350.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named as external auditor in Document 2.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compulsory, not voluntary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Auditor independence is therefore a statutory matter, not a choice.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Social and ethics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s72 and Reg 43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Required for every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state-owned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every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listed public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any other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public interest score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above 500 in any two of the previous five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43(4): the committee must comprise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less than three directors or prescribed officers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at least one of whom must be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 who is not involved in day-to-day management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has not been so involved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within the 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PIS is far above 500, and Axion has grown steadily, so the two-in-five-years test is met.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has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Social, Ethics &amp; Sustainable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chaired by Dr September.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This committee is a statutory requirement, not a King V choice.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Test its composition against Reg 43(4) and its functions against Reg 43(5).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s94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state-owned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must appoint an audit committee.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Any other company must do so only if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its MOI requires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s94(4) sets independence requirements for members of a statutory audit committee.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 is a private company, so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 does not apply of its own force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therefore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 and board-driven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committee unless the MOI or the shareholders’ agreement requires one.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 should not be applied to Axion without first checking the MOI.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s94 does not apply, the s94(4) independence tests are persuasive but not binding.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Issued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31 October 2025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replacing King IV.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consolidated from King IV’s 17.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 and explain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: the principles are applied, and the practices adopted to give effect to them are explained.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Effective for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years beginning on or after 1 January 2026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early adoption encouraged.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says the board has adopted practices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“informed by”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King V — not that Axion applies King V in full.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year ends 30 June, so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first financial year beginning on or after 1 January 2026 is FY2027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(1 July 2026 to 30 June 2027).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Treat King V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principles and recommended practices, not rules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 departure is not a breach; it is something to be explained.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King V disclosure obligation reaches Axion in FY2027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a concrete readiness point.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Binds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registered member or associate of SAICA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full.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For a person in a governance role who is not a member, apply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 first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supplement with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fundamental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especially objectivity, integrity and confidentiality.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Sarah Naidoo is described as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Code applies to her in full, as a professional accountant in business (Part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other directors are not described as CA(SA).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You are a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Code applies to you.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 not apply the Code to a director who is not a member. Apply King V, and use the fundamental principles as supporting standards of conduct.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B.  The facts in Document 4, at a glance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8"/>
        <w:gridCol w:w="3344"/>
        <w:gridCol w:w="4104"/>
        <w:gridCol w:w="4104"/>
      </w:tblGrid>
      <w:tr>
        <w:trPr>
          <w:tblHeader/>
        </w:trP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Position as stated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 on the face of Document 4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 roles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Dr Lindiwe September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Independent non-executive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Chair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Social, Ethics &amp; Sustainable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Remuneration &amp; Nomination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Kabelo Moleke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Founder &amp;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CEO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Executive.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Also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18%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Sarah Naidoo CA(SA)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CFO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Executive.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SAICA Code applies.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David Low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Founder &amp;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a founder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7%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Thandi Mthanda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non-executive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independent.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Former audit partner and CFO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of which firm, and how long ago?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Michael van de Wyk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investment director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Ubuntu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shareholder.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Investment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Aisha Kahn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Horizon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shareholder.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None stated.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The board comprises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seven directors: two executive directors and five non-executive directors, of whom two are described as independent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 Document 4 states that there is “a balance of executive, non-executive and independent directors”; this statement should be assessed against the actual composition.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Ubuntu and Horizon together hold 65%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and both have board representation through the shareholders’ agreement.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The founders hold a further 25%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and both sit on the board.</w:t>
      </w:r>
    </w:p>
    <w:p>
      <w:pPr>
        <w:pStyle w:val="ListParagraph"/>
        <w:numPr>
          <w:ilvl w:val="0"/>
          <w:numId w:val="2"/>
        </w:numPr>
        <w:spacing w:after="50" w:before="0" w:line="25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Document 4 names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lead independent director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, states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committee membership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 beyond the chairs, and gives </w:t>
      </w:r>
      <w:r>
        <w:rPr>
          <w:rFonts w:ascii="Arial" w:cs="Arial" w:eastAsia="Arial" w:hAnsi="Arial"/>
          <w:b/>
          <w:bCs/>
          <w:i w:val="false"/>
          <w:iCs w:val="false"/>
          <w:color w:val="0070C0"/>
          <w:sz w:val="19"/>
          <w:szCs w:val="19"/>
        </w:rPr>
        <w:t xml:space="preserve">no board or committee size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70C0"/>
          <w:sz w:val="19"/>
          <w:szCs w:val="19"/>
        </w:rPr>
        <w:t xml:space="preserve">.</w:t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C.  Board composition and independence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claim of balance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4 asserts “a balance of executive, non-executive and independent directors”.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On the face of it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only two of seven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are independent.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information memorandum overstates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governance position to a prospective investor.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composition of the governing body: an appropriate balance of knowledge, skills, experience, diversity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Companies Act s76(3)(a)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act in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good faith and for a proper purpose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s29(2)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financial statements or reports must not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false or misleading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material respect.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2/7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65% of the shares represented on the board by two non-independent nominees.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information memorandum must accurately describe the board’s independence because a potential investor may rely on it to assess Axion’s governance and decide whether to invest. If the board appears more independent than it is, the investor could be misled.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statement that the board is balanced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fully supported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because only two of seven directors are described as independent.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the wording in the information memorandum be amended or supported by a formal independence assessment before issue.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Independence is a conclusion, not a label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Directors described as independent may not be independent in substance.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unchallenged decisions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of a board that cannot exercise objective judgement.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is assessed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substantively and holistically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considering whether there is an interest, position or relationship that is likely to influence judgement unduly.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s94(4)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independence tests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persuasive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for a private company, not binding.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Van de Wyk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investment director of a 35% shareholder.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Kahn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partner of a 30% shareholder. Both are shareholder nominees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neither is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Low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founder and 7% shareholder; long association with Axion since 2011.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September and Mthanda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the only two described as independent,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Mthanda’s status must be tested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F.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Independence should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assessed in substance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not accepted from a director’s title alone.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annual assessment considering length of service, shareholding, previous employment, business relationships and nominee status, with reasons documented.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lead independent director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4 names no lead independent director.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counterweight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the chair is conflicted or unavailable,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 one to lead the chair’s own evaluation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lead independent director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should be appointed where the chair is not independent, is conflicted, or where the role otherwise requires it.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described as independent, so a lead independent director is not automatically indicated.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But the chair holds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three chairs simultaneously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raises the question of who leads the board when she is conflicted — for example on her own remuneration or evaluation.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should appoint a lead independent director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lead matters where the chair is conflicted, unavailable or being evaluated.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concentration on the board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Two of five non-executives are nominees of shareholders holding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65%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between them.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board advances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interests rather than the interests of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that minority shareholders — including the Employee &amp; Empowerment Trust — are not protected.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act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the best interests of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not of the shareholder who nominated them.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business and affairs of the company are managed by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stakeholder-inclusive approach; the governing body serves the organisation.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nominee director owes duties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to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to Ubuntu or Horizon.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Employee &amp; Empowerment Trust holds 10%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board representation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named in Document 4.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shareholder nominees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reduce objective decision-making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must act in Axion’s best interests rather than those of Ubuntu or Horizon.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formal conflict and recusal procedures, controls over shareholder information sharing, and consideration of the Trust’s interests in major decisions.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Skills against the strategy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board lacks the skills for what Axion is about to do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R3–5bn capital programme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new funding structures and possible African expansion.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knowledge, skills, experience and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required, and should plan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succession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composition.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Stated skills: telecommunications and infrastructure; engineering; finance and corporate finance; technology; audit and risk; investment.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director is described as having sustainability, environmental, cyber or information technology governance expertise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although Document 7 raises sustainability and an AI pilot.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lack the sustainability, cyber and technology-governance expertise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needed for Axion’s strategy and AI pilot.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identified skills gaps be addressed through targeted appointments, director training or independent advisers.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D.  Conflicts of interest — Van de Wyk and the Investment Committee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Michael van de Wyk chairs the Investment Committee while serving as investment director of Ubuntu Infrastructure, which holds 35% of Axion.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Chairing the committee that decides on investments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Ubuntu’s investment interests influence Axion’s capital allocation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co-investment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or of Ubuntu taking an opportunity that belongs to Axion.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controls the agenda, the information and the recommendation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the board.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govern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conflicts of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 member should not participate where conflicted.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committee composition and independence, and the delegation of authority.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personal financial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matter must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disclose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and, in general,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take part in the consideration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matter.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director must not use their position or information to gain an advantage for themselves or another person, or to knowingly cause harm to the company.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good faith, proper purpose, best interests of the company, and the degree of care, skill and diligence of a reasonably diligent person with that director’s knowledge and experience.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75 applies only if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Van de Wyk, or a person related to him, has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personal financial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the investment decision.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His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employment by Ubuntu does not automatically create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personal financial interest. Confirm whether he owns an interest in Ubuntu or receives a benefit linked to Ubuntu’s return on Axion.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he has such an 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he must disclose it and not participate in the decision.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If he does 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section 75 may not apply, but he must still comply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must not use Axion’s information or his position to benefit Ubuntu.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Chairing the committee that allocates Axion’s capital while representing its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largest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conflict that must be managed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whether or not s75 is engaged.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chair for the Investment Committee, or at minimum recusal and an independent quorum whenever Ubuntu has an interest, supported by terms of reference and a conflicts register.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Both institutional nominees on the board at once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Ubuntu and Horizon, holding 65%,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align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effectively control board outcomes.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R3–5bn funding decision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taken in the interests of the existing shareholders rather than of Axion.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above, applied to each nominee.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conflicts, and the stakeholder-inclusive approach.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funding options include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investment from existing shareholders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new strategic investor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Both directly engage the interests of Ubuntu and Horizon — for example dilution, pre-emptive rights and pricing.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those matters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both nominees are conflicted at the same time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leaving only September, Mthanda, and the executives.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be unable to form an independent quorum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on the funding decision, which is the most material decision before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committee or independent adviser for the funding review, and a documented fairness assessment of any shareholder-linked transaction.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Confidential information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Axion information reaches Ubuntu or Horizon and is used for their advantage.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no use of position or information for the advantage of another person.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information governance and conflict management.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 s114 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for any member; and the fundamental principle applies as a standard of conduct to directors generally.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Nominee directors ordinarily report back to the shareholder that appointed them,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that reporting is where s76(2)(a) is most likely to be breached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Reporting back to Ubuntu or Horizon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 not permitted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where it uses Axion’s information for their advantage.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written information-sharing protocol setting out what a nominee may report, and a confidentiality undertaking from each nominee.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E.  The chair — capacity and committee roles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Dr Lindiwe September chairs the board, the Social, Ethics &amp; Sustainable Committee and the Remuneration &amp; Nomination Committee.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Three chairs held by one person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overload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insufficient time to discharge any of the roles properly.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concentration of influence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in a single director.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board’s oversight of those committees is weakened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because the person reporting to the board is the person chairing it.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governing body should ensure its members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discharge their roles, and should consider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other commitments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to committees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should not dilute the governing body’s own accountability.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s76(3)(c)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degree of care, skill and diligence reasonably expected.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Three chairs is a substantial load for one non-executive, particularly during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R3–5bn capital programme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strategic funding 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When the Social and Ethics Committee or the Remuneration Committee reports to the board,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the chair of the board is reporting to herself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Holding the board chair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two committee 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concentrates influence in one director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weakens the board’s oversight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those committees, because she reports to herself.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at least one committee chair be reassigned. Axion has only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one other independent non-executive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this may require appointing a further independent director.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 chair chairing Remuneration &amp; Nomination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chair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influences her own remuneration, her own re-election and the nomination of her colleagues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 and 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conflict in the nomination function.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remuneration governance, and the composition and chairing of committees.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IV recommended practice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which the course materials use, is that the chair of the governing body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should not chair the remuneration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although the chair may be a member.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s66(9)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remuneration of directors for their service as directors requires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 approval by 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the previous two years.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This is a departure from recommended practice. The exact King V practice on who may chair the remuneration committee should be checked.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Nomination is the more sensitive half: the chair chairing nomination means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influences who joins the board she 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directly relevant when a new investor seeks board representation.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board chair chairing Remuneration &amp; Nomination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departure from recommended practice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creates a self-interest conflict over her own fees, re-election and the nomination of colleagues.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an independent non-executive other than the board chair chairs this committee; failing that, that she recuses herself from her own remuneration and re-election, and that s66(9) approval is confirmed.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Combining social and ethics with sustainability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statutory functions in Reg 43(5) are diluted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a broader sustainability mandate.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sets out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statutory functions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social and ethics committee, including monitoring the company’s activities against specified instruments, and drawing matters to the board’s attention.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43(5)(c)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committee must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report to the shareholders at the annual general meeting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committee is styled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“Social, Ethics &amp; Sustainable”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wider than the statutory mandate. That is permissible, but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 functions must still be discharged and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wider sustainability mandate is permissible, but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 Reg 43(5) functions must still be discharged and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that the terms of reference be mapped against Reg 43(5) and that the committee’s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report to shareholders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Reg 43(5)(c) be confirmed.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F.  Audit and Risk Committee — Mthanda, KZL Inc and cooling off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Thandi Mthanda is described as an independent non-executive director and a former audit partner and CFO. She chairs the Audit &amp; Risk Committee. KZL Inc is Axion’s external auditor (Document 2).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audit partner — of which firm?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Mthanda was a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there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familiarity and self-review threat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KZL’s independence, and her own independence is doubtful.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she was a partner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elsewhere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the concern is much reduced.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compulsory 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is performed by a firm that is not independent.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SAICA Code Part 4A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for audit and review engagements.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Code s540 Long Association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the sections dealing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partner of the firm serving as a director of an audit client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which create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self-interest, self-review, familiarity and intimidation 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independence assessed substantively; a former partner of the external audit firm is an independence indicator.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Auditing Profession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registered auditor must be independent.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Document 4 does not name the firm or the date.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These are the two facts the whole analysis turns on, and neither is given.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Because the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 under Reg 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Axion is likely to meet the Code’s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interest 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definition,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stricter listed-entity independence requirements are in point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The course materials work exactly this test: a public interest score above 350 means the audit must be conducted in compliance with the same independence requirements that apply to a listed entity.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 that footing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cooling-off period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applies before a former partner may join the client’s board, and her chairing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committee that oversees the auditor — is the most sensitive seat she could occupy.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Mthanda was a partner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cooling-off period has not expired,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is not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KZL’s independence is compromised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conclusion is that either she should not chair Audit &amp; Risk, or KZL cannot continue as auditor.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she was a partner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elsewhere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she may be independent, but this must be confirmed rather than assumed.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firm, the role, the date she left, whether she served on the Axion engagement, and whether she retains any financial interest or pension from the firm.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CFO — of which company?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she was CFO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of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she cannot be independent and would fail the s94(4) tests if they applied.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over statements she previously prepared.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s94(4)(a)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member of a statutory audit committee must not be involved in the day-to-day management and must not have been a prescribed officer or full-time employee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 the 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substantive independence.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does not say of which company she was CFO. Read naturally 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another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would not offend independence.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s94(4) does not bind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private company, but it remains the appropriate benchmark against which to test her position.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she was CFO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of Axion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within the previous three financial years she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cannot be independent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; if of another company, independence is not offended.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confirming which company and over what period before her independence is relied 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One committee for audit and risk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 oversight is crowded out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by the financial reporting and audit agenda.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committee chaired by one person covers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financial reporting, external audit, internal audit, internal control and the full risk universe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including the AI pilot, cyber and the capital programme.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risk and compliance governance; assurance and internal control; and the delegation of authority to committees.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technology and information governance, which includes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artificial intelligence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Combining the two is common and permissible for a company of Axion’s size, and King V is applied and explained rather than complied with.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But Document 7 records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AI-enabled maintenance pilot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on which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&amp; Risk Committee has requested assurance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Document 3 records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organisational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stated constraint. The agenda is heavy.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Combining audit and risk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permissible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a company of Axion’s size, but the agenda is heavy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risk oversight may be crowded out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reviewing the terms of reference, membership and meeting frequency, confirming how assurance over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AI pilot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obtained, and considering whether a separate risk committee or an internal audit function is now warranted.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G.  The committees — statutory against voluntary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3040"/>
        <w:gridCol w:w="3648"/>
        <w:gridCol w:w="3040"/>
        <w:gridCol w:w="2736"/>
      </w:tblGrid>
      <w:tr>
        <w:trPr>
          <w:tblHeader/>
        </w:trP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Source of the requirement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the standard requires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Axion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Social, Ethics &amp; Sustainable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Dr September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Statutory.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s72 read with Reg 43, because the public interest score exceeds 500.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43(4):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at least three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directors or prescribed officers,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at least one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 director not involved in day-to-day management and not so involved in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previous three financial years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 43(5): prescribed monitoring functions, and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report to shareholders at the AGM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Exists and is 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independent chair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who satisfies the non-management requirement.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Membership is not disclosed.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 and in place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but composition is unverified.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confirming three or more members, the Reg 43(4) non-management member, and the Reg 43(5) functions.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Audit &amp; Risk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Mthanda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s94 applies to public and state-owned companies, or where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requires it.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If voluntary, the board sets the terms of reference.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assurance, internal control and risk governance.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s94(4) independence tests are a useful benchmark even where not binding.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Exists. Chaired by an independent non-executive whose independence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must be confirmed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section F.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Voluntary unless the MOI requires 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so s94 should not be applied to Axion without checking.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checking the MOI and shareholders’ agreement, and using the s94(4) tests as a benchmark for membership.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Remuneration &amp; Nomination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Dr September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for a private company.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fair, responsible and transparent remuneration.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s66(9)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directors’ fees require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within the previous two years.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board chair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which is the recommended-practice departure flagged in section E.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chair should not chair this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reassigning the chair and confirming s66(9) approval of directors’ fees.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Investment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Chair: Van de Wyk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 statutory.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 board committee.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delegation of authority; conflicts of interest.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s75, s76(2)(a), s76(3)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nominee of the 35%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section D.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Chaired by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conflicted nominee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see section 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 independent chair, or recusal with an independent quorum, plus terms of reference and approval limits.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mentioned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internal audit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function is referred to anywhere in Document 4.</w:t>
            </w:r>
          </w:p>
        </w:tc>
        <w:tc>
          <w:tcPr>
            <w:tcW w:type="dxa" w:w="36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assurance; the governing body should have an effective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combined assurance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model and should consider the need for an internal audit function.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For a business of Axion’s scale, with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R3–5bn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programme and a stated capacity constraint, the absence is notable.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absence of internal audit is a gap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the assurance model for a business of this scale.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establishing or outsourcing internal audit and adopting a combined assurance model, as part of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priority.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H.  Shareholders’ agreement, nomination rights and a new investor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Nomination rights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shareholders’ agreement conflicts with the MOI or the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in which case it is void to that extent.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nominee directors act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delegates of their appointer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s15(7)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shareholders’ agreement must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consistent with the Act and the 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any inconsistent provision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void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s66(4)(a)(i)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may provide for the direct appointment of directors by a named person.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 person becomes a director only on delivering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written consent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serve.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best interests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places the nomination right in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shareholders’ agreement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not the MOI.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66(4)(a)(i) requires the MOI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provide for direct appointment. If the right is only contractual, it may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unenforceable against the company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15(7) makes the provision void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the extent it is inconsistent with the MOI or the 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 nominee owes duties to Axion, so the agreement cannot oblige them to follow Ubuntu or Horizon.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nomination right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may not be validly constituted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unless it is also in the MOI, and any instruction to vote in the appointer’s interests would be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void and a breach of s76(3)(b)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MOI and shareholders’ agreement, aligning the nomination right in the MOI, and checking that reserved matters do not fetter the board contrary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 new strategic investor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founders and the Employee &amp; Empowerment Trust.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a further nominee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worsens the independence balance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existing shareholders and the new investor have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conflicting interests on price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s39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 an issue of shares by a private company, unless the MOI provides otherwise.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s38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authorisation of shares.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s41(1)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shareholder approval for an issue to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director, prescribed officer or related person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s41(3)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where the issue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30%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of the voting power before the issue.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composition, and stakeholder-inclusive decision making.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39 gives existing shareholders 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a new investor can only be issued shares if those rights are waived or excluded in the MOI.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41(1)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Ubuntu or Horizon subscribe, because both are related to directors on the board —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then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41(3)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 raise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30% or more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the voting power, which a R3–5bn issue plausibly 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further nominee would take the board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three shareholder nominees against two independents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share issue to fund the capital programme will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require shareholder approval under s41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board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cannot proceed on its own authority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modelling the post-issue shareholding and board composition, confirming whether s39 is excluded in the MOI, and protecting the Trust’s 10% against dilution.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Employee &amp; Empowerment Trust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the Trust’s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governance is not addressed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trustees, voting, and whether executives are trustees.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if a director is also a trustee.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if a director is a trustee with a personal financial interest.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stakeholder-inclusive approach; conflicts of interest.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Trust holds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10%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but appears in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 board or committee role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Document 4, and Document 4 does not say who exercises its vote.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75 is engaged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any Axion director is also a trustee and has a personal financial interest in a matter before the board.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Trust’s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interests are not visibly represented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in Axion’s governance, which is a weakness given its 10% holding and employee beneficiaries.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obtaining the trust deed and trustee list, confirming who votes the Trust’s shares, and disclosing any director who is also a trustee.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I.  Delegation, and from founder-led to institutionally backed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736"/>
        <w:gridCol w:w="3040"/>
        <w:gridCol w:w="4104"/>
        <w:gridCol w:w="3040"/>
      </w:tblGrid>
      <w:tr>
        <w:trPr>
          <w:tblHeader/>
        </w:trP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Factor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Risk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 and section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APC conclusion / recommendation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to the CEO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delegation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not documented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so the boundary between board and management is unclear.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over-concentration in the founder CEO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who is also an 18% shareholder.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s66(1)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manages the business and affairs and may exercise all the powers of the company.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delegation to management, the role of the CEO,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of authority framework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CEO should not be involved in decisions on their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own remuneration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says the board retains oversight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strategy, material capital investments, risks and executive appointments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with operations delegated to the CEO.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66(1) permits delegation but not abdication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the board remains accountable for what it delegates.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“Material”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no delegation of authority framework is mentioned, so the boundary is untested.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Moleke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founder, CEO and an 18% shareholder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concentrating influence in one person.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Delegation appears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appropriate in principle but is not evidenced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an undefined materiality threshold means capital spend could bypass the 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adopting a written delegation of authority framework with rand approval limits, defining “material capital investment”, and excluding the CEO from his own remuneration decisions.</w:t>
            </w:r>
          </w:p>
        </w:tc>
      </w:tr>
      <w:tr>
        <w:tc>
          <w:tcPr>
            <w:tcW w:type="dxa" w:w="2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Maturing the governance as Axion scales</w:t>
            </w:r>
          </w:p>
        </w:tc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governance does not keep pace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with a R3–5bn capital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Risk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ethical culture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the founder culture is formalised.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ethical culture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as a governance outcome; the governing body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governs ethics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and sets the tone.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organisation should have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capacity and capability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to execute its strategy.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 43(5)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the social and ethics committee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monitors ethics and corporate citizenship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10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records a commitment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“an ethical culture, effective control and transparent reporting”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“progressively formalising”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systems and governance.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3 lists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organisational capacity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stated constraint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MATURE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a strategic priority.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Reg 43(5) already obliges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social and ethics committee to monitor ethics, so the mechanism exists and must be used.</w:t>
            </w:r>
          </w:p>
        </w:tc>
        <w:tc>
          <w:tcPr>
            <w:tcW w:type="dxa" w:w="3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governance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formalising but incomplete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capacity is a stated constraint at the point of greatest demand on the 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Recommend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in order: delegation of authority framework; conflicts and related-party policy and register; committee terms of reference; risk register and combined assurance; internal audit; code of ethics and whistleblowing; and an annual board evaluation.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J.  The SAICA Code — Sarah Naidoo CA(SA), and you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King V applies to a director; the SAICA Code applies to a CA(SA). Only a registered member or associate is bound by the Code in full.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3344"/>
        <w:gridCol w:w="4560"/>
        <w:gridCol w:w="4560"/>
      </w:tblGrid>
      <w:tr>
        <w:trPr>
          <w:tblHeader/>
        </w:trP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Who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Which source applies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it requires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Application to Axion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Sarah Naidoo CA(SA)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CFO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in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accountant in business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— Part 1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as a director.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Fundamental principles (s110):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objectivity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professional competence and due care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Conceptual framework (s120):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identify, evaluate and address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Threats (s120.6 A3):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self-review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advocacy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familiarity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intimidation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s260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responding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non-compliance with laws and regulations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She prepares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information memorandum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(Document 4)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business performance pack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(Documents 5 and 7).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If the memorandum overstates board independence,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threatened,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s29(2)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of the Companies Act may be contravened.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Self-interest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arises if her remuneration is linked to the funding outcome;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intimidation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shareholders press for a particular presentation.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260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she becomes aware of non-compliance: understand the matter, raise it, escalate to the board, and document.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You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newly qualified CA(SA)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in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Part 1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same fundamental principles and threats.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s260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NOCLAR.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s270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pressure to breach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fundamental principles.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You report to the CFO.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270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you are pressed to prepare or support a statement you believe to be misleading — you may not allow the pressure to result in a breach.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Section 260 applies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 matter amounts to non-compliance: raise it with the CFO, escalate to the board, and document throughout.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 other directors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Companies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the SAICA Code, unless shown to be a member.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 fundamental principles may still be used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standards of conduct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— particularly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objectivity, integrity and confidentiality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Document 4 describes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only Naidoo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as CA(SA).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Do not apply the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to Van de Wyk, Kahn, September, Mthanda, Moleke or Low. Apply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V, s75 and s76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and use the fundamental principles in support.</w:t>
            </w:r>
          </w:p>
        </w:tc>
      </w:tr>
      <w:tr>
        <w:tc>
          <w:tcPr>
            <w:tcW w:type="dxa" w:w="273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
external auditor</w:t>
            </w:r>
          </w:p>
        </w:tc>
        <w:tc>
          <w:tcPr>
            <w:tcW w:type="dxa" w:w="334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 Part 4A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Auditing Profession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Independence for audit engagements.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s540 Long association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, and the provisions on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former partner joining an audit client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Stricter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listed-entity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requirements if Axion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public interest entity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Axion’s audit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compulsory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under Reg 28 and its public interest score likely makes it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so the stricter independence requirements apply.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Part 4A is engaged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by the Mthanda question in section F, and by any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non-assurance services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KZL provides.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keepNext/>
        <w:pageBreakBefore/>
        <w:pBdr>
          <w:bottom w:val="single" w:color="000000" w:sz="10" w:space="3"/>
        </w:pBdr>
        <w:spacing w:after="110" w:before="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K.  How to answer a governance or ethics required</w:t>
      </w:r>
    </w:p>
    <w:p>
      <w:pPr>
        <w:keepNext w:val="false"/>
        <w:spacing w:after="100" w:before="0" w:line="250" w:lineRule="auto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Based on the structure set out in the IAC 2026 GAA Tutorial solutions.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4560"/>
        <w:gridCol w:w="9424"/>
      </w:tblGrid>
      <w:tr>
        <w:trPr>
          <w:tblHeader/>
        </w:trP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Step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Identify the person and the source that binds them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director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King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A CA(SA) →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SAICA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 Everyone →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Companies Act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State the issue, from the scenario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Use the facts given. Name the director, the committee and the shareholding.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Give the generic guidance from the standard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What King V or the Code says should happen. For the Code, name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threats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fundamental principles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compromised.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Explain why it is an issue for this person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Apply the guidance to the facts. This is where the marks are.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Link any breach of the Act back to the Code and to King V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 contravention of the Companies Act by a CA(SA) is a breach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behaviour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integrity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they knew, and of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professional competence and due care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if they ought to have known.</w:t>
            </w:r>
          </w:p>
        </w:tc>
      </w:tr>
      <w:tr>
        <w:tc>
          <w:tcPr>
            <w:tcW w:type="dxa" w:w="121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Conclude and recommend</w:t>
            </w:r>
          </w:p>
        </w:tc>
        <w:tc>
          <w:tcPr>
            <w:tcW w:type="dxa" w:w="94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Say what should be done: disclose, recuse, restructure the committee, obtain the document, amend the terms of reference. An analysis without a recommendation is incomplete.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00"/>
      </w:tblGrid>
      <w:tr>
        <w:tc>
          <w:tcPr>
            <w:tcW w:type="dxa" w:w="15200"/>
            <w:tcBorders>
              <w:top w:val="single" w:color="888888" w:sz="4" w:space="6"/>
              <w:left w:val="single" w:color="888888" w:sz="4" w:space="6"/>
              <w:bottom w:val="single" w:color="888888" w:sz="4" w:space="6"/>
              <w:right w:val="single" w:color="888888" w:sz="4" w:space="6"/>
            </w:tcBorders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keepNext w:val="false"/>
              <w:spacing w:after="6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Five errors to avoid.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Applying s94 to Axion.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a private company; s94 binds public and state-owned companies, or where the MOI requires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Assuming s75 applies to Van de Wyk automatically.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s75 needs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personal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financial interest. Establish it.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applies regardless.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Treating King V as law.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It is apply and explain, and Document 4 says only that Axion is “informed by”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Applying the SAICA Code to directors who are not CA(SA).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Only Naidoo is described as 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Missing that the social and ethics committee is compulsory.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The public interest score puts Axion well above the Reg 43 threshold.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keepNext/>
        <w:pBdr>
          <w:bottom w:val="single" w:color="000000" w:sz="10" w:space="3"/>
        </w:pBdr>
        <w:spacing w:after="110" w:before="260" w:line="250" w:lineRule="auto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7"/>
          <w:szCs w:val="27"/>
        </w:rPr>
        <w:t xml:space="preserve">L.  Information required on the day</w:t>
      </w:r>
    </w:p>
    <w:tbl>
      <w:tblPr>
        <w:tblW w:type="dxa" w:w="1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0640"/>
      </w:tblGrid>
      <w:tr>
        <w:trPr>
          <w:tblHeader/>
        </w:trP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Document or fact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Why it is needed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MOI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Whether it requires an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audit committee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(s94), how directors are appointed (s66(4)), and whether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pre-emptive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excluded (s39).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Shareholders’ agreement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nomination rights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, reserved matters and veto rights, and consistency with the MOI and the Act under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s15(7)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Which firm Mthanda was a partner of, and when she left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The whole of section F turns on it. If it was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 Inc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the cooling-off period has not run, both her independence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KZL’s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in question.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Van de Wyk’s personal interests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Any interest in Ubuntu, carried interest, or incentive linked to Axion — which decides whether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s75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is engaged as well 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s76(2)(a)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Committee terms of reference and membership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Only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chairs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are named in Document 4. Composition is needed to test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Reg 43(4)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and to assess independence of each committee.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Board independence assessment and skills matrix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test the claim of “a balance of executive, non-executive and independent directors”.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Directors’ tenure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Long tenure is an independence indicator, particularly for September and Mthanda.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Conflicts register and s75 disclosures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evidence that conflicts are declared and managed.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Delegation of authority framework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test the board’s stated retention of oversight over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material capital investments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Whether an internal audit function exists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Part of the assurance and MATURE analysis.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Third-party liability at year end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To compute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public interest score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precisely rather than on total liabilities.</w:t>
            </w:r>
          </w:p>
        </w:tc>
      </w:tr>
      <w:tr>
        <w:tc>
          <w:tcPr>
            <w:tcW w:type="dxa" w:w="4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 w:val="false"/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Directors’ fee approval</w:t>
            </w:r>
          </w:p>
        </w:tc>
        <w:tc>
          <w:tcPr>
            <w:tcW w:type="dxa" w:w="10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5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Whether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70C0"/>
                <w:sz w:val="18"/>
                <w:szCs w:val="18"/>
              </w:rPr>
              <w:t xml:space="preserve">s66(9) special resolution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70C0"/>
                <w:sz w:val="18"/>
                <w:szCs w:val="18"/>
              </w:rPr>
              <w:t xml:space="preserve"> has been passed in the previous two years.</w:t>
            </w:r>
          </w:p>
        </w:tc>
      </w:tr>
    </w:tbl>
    <w:p>
      <w:pPr>
        <w:keepNext w:val="false"/>
        <w:spacing w:after="0" w:before="0" w:line="250" w:lineRule="auto"/>
      </w:pPr>
      <w:r>
        <w:rPr>
          <w:rFonts w:ascii="Arial" w:cs="Arial" w:eastAsia="Arial" w:hAnsi="Arial"/>
          <w:sz w:val="12"/>
          <w:szCs w:val="12"/>
        </w:rPr>
        <w:t xml:space="preserve"/>
      </w:r>
    </w:p>
    <w:sectPr>
      <w:footerReference w:type="default" r:id="rId7"/>
      <w:pgSz w:w="16838" w:h="11906" w:orient="landscape"/>
      <w:pgMar w:top="720" w:right="720" w:bottom="6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44444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2026-09-21T08:53:42.379Z</dcterms:created>
  <dcterms:modified xsi:type="dcterms:W3CDTF">2026-09-21T08:53:42.379Z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