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pPr>
      <w:r>
        <w:t>Income tax — input to the renewable-energy investment decision</w:t>
      </w:r>
    </w:p>
    <w:p>
      <w:pPr>
        <w:spacing w:after="80"/>
      </w:pPr>
      <w:r>
        <w:rPr>
          <w:rFonts w:ascii="Aptos" w:hAnsi="Aptos"/>
          <w:b w:val="0"/>
          <w:i w:val="0"/>
          <w:sz w:val="18"/>
        </w:rPr>
        <w:t>Additional power purchase agreements versus direct investment in generation capacity. Prepared to slot into the "Incremental cash flows + NPV" section, in place of the "Tax calculation" placeholder. Rates and sections are drawn from the income tax research on Document 7, pages 18 to 20, and from SARS Guide IT39 dated 23 November 2024.</w:t>
      </w:r>
    </w:p>
    <w:p>
      <w:pPr>
        <w:pStyle w:val="Heading2"/>
        <w:spacing w:after="80"/>
      </w:pPr>
      <w:r>
        <w:t>A.  How tax enters the model</w:t>
      </w:r>
    </w:p>
    <w:p>
      <w:pPr>
        <w:pStyle w:val="ListBullet"/>
        <w:spacing w:after="40"/>
        <w:ind w:left="340"/>
      </w:pPr>
      <w:r/>
      <w:r>
        <w:rPr>
          <w:rFonts w:ascii="Aptos" w:hAnsi="Aptos"/>
          <w:sz w:val="18"/>
        </w:rPr>
        <w:t>Match the tax basis to the discount rate. If the cash flows are pre-tax, discount at a pre-tax rate and leave tax out entirely. If they are post-tax, discount at a post-tax WACC and apply everything below. Mixing the two is the most common error in this calculation.</w:t>
      </w:r>
    </w:p>
    <w:p>
      <w:pPr>
        <w:pStyle w:val="ListBullet"/>
        <w:spacing w:after="40"/>
        <w:ind w:left="340"/>
      </w:pPr>
      <w:r/>
      <w:r>
        <w:rPr>
          <w:rFonts w:ascii="Aptos" w:hAnsi="Aptos"/>
          <w:sz w:val="18"/>
        </w:rPr>
        <w:t>Corporate rate 27%; capital gains inclusion rate for a company 80%, giving an effective 21.6%.</w:t>
      </w:r>
    </w:p>
    <w:p>
      <w:pPr>
        <w:pStyle w:val="ListBullet"/>
        <w:spacing w:after="40"/>
        <w:ind w:left="340"/>
      </w:pPr>
      <w:r/>
      <w:r>
        <w:rPr>
          <w:rFonts w:ascii="Aptos" w:hAnsi="Aptos"/>
          <w:sz w:val="18"/>
        </w:rPr>
        <w:t>Capital expenditure is a cash flow but not a deduction. Relief comes only through the capital allowance sections, so the allowance schedule is a separate line in the model.</w:t>
      </w:r>
    </w:p>
    <w:p>
      <w:pPr>
        <w:pStyle w:val="ListBullet"/>
        <w:spacing w:after="40"/>
        <w:ind w:left="340"/>
      </w:pPr>
      <w:r/>
      <w:r>
        <w:rPr>
          <w:rFonts w:ascii="Aptos" w:hAnsi="Aptos"/>
          <w:sz w:val="18"/>
        </w:rPr>
        <w:t>Capital allowances are non-cash. Bring them in as a tax saving (allowance x 27%), not as a cost.</w:t>
      </w:r>
    </w:p>
    <w:p>
      <w:pPr>
        <w:pStyle w:val="ListBullet"/>
        <w:spacing w:after="40"/>
        <w:ind w:left="340"/>
      </w:pPr>
      <w:r/>
      <w:r>
        <w:rPr>
          <w:rFonts w:ascii="Aptos" w:hAnsi="Aptos"/>
          <w:sz w:val="18"/>
        </w:rPr>
        <w:t>Only the direct investment generates capital allowances. That is the whole of the tax difference between the two alternatives.</w:t>
      </w:r>
    </w:p>
    <w:p>
      <w:pPr>
        <w:pStyle w:val="Heading2"/>
        <w:spacing w:after="80"/>
      </w:pPr>
      <w:r>
        <w:t>B.  The tax position of each option</w:t>
      </w:r>
    </w:p>
    <w:tbl>
      <w:tblPr>
        <w:tblStyle w:val="TableGrid"/>
        <w:tblW w:type="auto" w:w="0"/>
        <w:tblLayout w:type="fixed"/>
        <w:tblLook w:firstColumn="1" w:firstRow="1" w:lastColumn="0" w:lastRow="0" w:noHBand="0" w:noVBand="1" w:val="04A0"/>
        <w:tblLayout w:type="fixed"/>
        <w:tblW w:w="5000" w:type="pct"/>
      </w:tblPr>
      <w:tblGrid>
        <w:gridCol w:w="1474"/>
        <w:gridCol w:w="2608"/>
        <w:gridCol w:w="2948"/>
        <w:gridCol w:w="2721"/>
      </w:tblGrid>
      <w:tr>
        <w:tc>
          <w:tcPr>
            <w:tcW w:type="dxa" w:w="1474"/>
            <w:shd w:val="clear" w:fill="DCE6F1"/>
          </w:tcPr>
          <w:p>
            <w:pPr>
              <w:spacing w:after="20"/>
            </w:pPr>
            <w:r/>
            <w:r>
              <w:rPr>
                <w:rFonts w:ascii="Aptos" w:hAnsi="Aptos"/>
                <w:b/>
                <w:sz w:val="17"/>
              </w:rPr>
              <w:t>Tax dimension</w:t>
            </w:r>
          </w:p>
        </w:tc>
        <w:tc>
          <w:tcPr>
            <w:tcW w:type="dxa" w:w="2608"/>
            <w:shd w:val="clear" w:fill="DCE6F1"/>
          </w:tcPr>
          <w:p>
            <w:pPr>
              <w:spacing w:after="20"/>
            </w:pPr>
            <w:r/>
            <w:r>
              <w:rPr>
                <w:rFonts w:ascii="Aptos" w:hAnsi="Aptos"/>
                <w:b/>
                <w:sz w:val="17"/>
              </w:rPr>
              <w:t>Additional PPAs</w:t>
            </w:r>
          </w:p>
        </w:tc>
        <w:tc>
          <w:tcPr>
            <w:tcW w:type="dxa" w:w="2948"/>
            <w:shd w:val="clear" w:fill="DCE6F1"/>
          </w:tcPr>
          <w:p>
            <w:pPr>
              <w:spacing w:after="20"/>
            </w:pPr>
            <w:r/>
            <w:r>
              <w:rPr>
                <w:rFonts w:ascii="Aptos" w:hAnsi="Aptos"/>
                <w:b/>
                <w:sz w:val="17"/>
              </w:rPr>
              <w:t>Direct investment</w:t>
            </w:r>
          </w:p>
        </w:tc>
        <w:tc>
          <w:tcPr>
            <w:tcW w:type="dxa" w:w="2721"/>
            <w:shd w:val="clear" w:fill="DCE6F1"/>
          </w:tcPr>
          <w:p>
            <w:pPr>
              <w:spacing w:after="20"/>
            </w:pPr>
            <w:r/>
            <w:r>
              <w:rPr>
                <w:rFonts w:ascii="Aptos" w:hAnsi="Aptos"/>
                <w:b/>
                <w:sz w:val="17"/>
              </w:rPr>
              <w:t>Why it matters to the decision</w:t>
            </w:r>
          </w:p>
        </w:tc>
      </w:tr>
      <w:tr>
        <w:tc>
          <w:tcPr>
            <w:tcW w:type="dxa" w:w="1474"/>
          </w:tcPr>
          <w:p>
            <w:pPr>
              <w:spacing w:after="20" w:before="0"/>
            </w:pPr>
            <w:r/>
            <w:r>
              <w:rPr>
                <w:rFonts w:ascii="Aptos" w:hAnsi="Aptos"/>
                <w:b/>
                <w:sz w:val="17"/>
              </w:rPr>
              <w:t>Capital allowance</w:t>
            </w:r>
          </w:p>
        </w:tc>
        <w:tc>
          <w:tcPr>
            <w:tcW w:type="dxa" w:w="2608"/>
          </w:tcPr>
          <w:p>
            <w:pPr>
              <w:spacing w:after="20" w:before="0"/>
            </w:pPr>
            <w:r/>
            <w:r>
              <w:rPr>
                <w:rFonts w:ascii="Aptos" w:hAnsi="Aptos"/>
                <w:b w:val="0"/>
                <w:sz w:val="17"/>
              </w:rPr>
              <w:t>Nil. s12B, s12BA and s11(e) each require the asset to be owned by the taxpayer and brought into use in that taxpayer's own trade. The producer owns the plant.</w:t>
            </w:r>
          </w:p>
        </w:tc>
        <w:tc>
          <w:tcPr>
            <w:tcW w:type="dxa" w:w="2948"/>
          </w:tcPr>
          <w:p>
            <w:pPr>
              <w:spacing w:after="20" w:before="0"/>
            </w:pPr>
            <w:r/>
            <w:r>
              <w:rPr>
                <w:rFonts w:ascii="Aptos" w:hAnsi="Aptos"/>
                <w:b w:val="0"/>
                <w:sz w:val="17"/>
              </w:rPr>
              <w:t>s12B(1)(h): 50 / 30 / 20 over three years.</w:t>
            </w:r>
          </w:p>
          <w:p>
            <w:pPr>
              <w:spacing w:after="20" w:before="0"/>
            </w:pPr>
            <w:r>
              <w:rPr>
                <w:rFonts w:ascii="Aptos" w:hAnsi="Aptos"/>
                <w:b w:val="0"/>
                <w:sz w:val="17"/>
              </w:rPr>
              <w:t>s12B(2)(b): 100% in year one for photovoltaic solar not exceeding 1MW.</w:t>
            </w:r>
          </w:p>
          <w:p>
            <w:pPr>
              <w:spacing w:after="20" w:before="0"/>
            </w:pPr>
            <w:r>
              <w:rPr>
                <w:rFonts w:ascii="Aptos" w:hAnsi="Aptos"/>
                <w:b w:val="0"/>
                <w:sz w:val="17"/>
              </w:rPr>
              <w:t>s12B(5) caps total deductions at cost.</w:t>
            </w:r>
          </w:p>
        </w:tc>
        <w:tc>
          <w:tcPr>
            <w:tcW w:type="dxa" w:w="2721"/>
          </w:tcPr>
          <w:p>
            <w:pPr>
              <w:spacing w:after="20" w:before="0"/>
            </w:pPr>
            <w:r/>
            <w:r>
              <w:rPr>
                <w:rFonts w:ascii="Aptos" w:hAnsi="Aptos"/>
                <w:b w:val="0"/>
                <w:sz w:val="17"/>
              </w:rPr>
              <w:t>The entire tax differential between the two alternatives sits in this row.</w:t>
            </w:r>
          </w:p>
        </w:tc>
      </w:tr>
      <w:tr>
        <w:tc>
          <w:tcPr>
            <w:tcW w:type="dxa" w:w="1474"/>
          </w:tcPr>
          <w:p>
            <w:pPr>
              <w:spacing w:after="20" w:before="0"/>
            </w:pPr>
            <w:r/>
            <w:r>
              <w:rPr>
                <w:rFonts w:ascii="Aptos" w:hAnsi="Aptos"/>
                <w:b/>
                <w:sz w:val="17"/>
              </w:rPr>
              <w:t>Allowance without ownership</w:t>
            </w:r>
          </w:p>
        </w:tc>
        <w:tc>
          <w:tcPr>
            <w:tcW w:type="dxa" w:w="2608"/>
          </w:tcPr>
          <w:p>
            <w:pPr>
              <w:spacing w:after="20" w:before="0"/>
            </w:pPr>
            <w:r/>
            <w:r>
              <w:rPr>
                <w:rFonts w:ascii="Aptos" w:hAnsi="Aptos"/>
                <w:b w:val="0"/>
                <w:sz w:val="17"/>
              </w:rPr>
              <w:t>Available only if the arrangement is in substance an instalment credit agreement, in which case s12B is available to Axion despite the producer holding title.</w:t>
            </w:r>
          </w:p>
        </w:tc>
        <w:tc>
          <w:tcPr>
            <w:tcW w:type="dxa" w:w="2948"/>
          </w:tcPr>
          <w:p>
            <w:pPr>
              <w:spacing w:after="20" w:before="0"/>
            </w:pPr>
            <w:r/>
            <w:r>
              <w:rPr>
                <w:rFonts w:ascii="Aptos" w:hAnsi="Aptos"/>
                <w:b w:val="0"/>
                <w:sz w:val="17"/>
              </w:rPr>
              <w:t>s12N deems a holder of a right of use to be the owner of improvements, but only for land or buildings leased from government or held under a public private partnership.</w:t>
            </w:r>
          </w:p>
        </w:tc>
        <w:tc>
          <w:tcPr>
            <w:tcW w:type="dxa" w:w="2721"/>
          </w:tcPr>
          <w:p>
            <w:pPr>
              <w:spacing w:after="20" w:before="0"/>
            </w:pPr>
            <w:r/>
            <w:r>
              <w:rPr>
                <w:rFonts w:ascii="Aptos" w:hAnsi="Aptos"/>
                <w:b w:val="0"/>
                <w:sz w:val="17"/>
              </w:rPr>
              <w:t>A PPA structured as an instalment sale changes the answer entirely. Test the legal form of the contract before concluding that no allowance is available.</w:t>
            </w:r>
          </w:p>
        </w:tc>
      </w:tr>
      <w:tr>
        <w:tc>
          <w:tcPr>
            <w:tcW w:type="dxa" w:w="1474"/>
          </w:tcPr>
          <w:p>
            <w:pPr>
              <w:spacing w:after="20" w:before="0"/>
            </w:pPr>
            <w:r/>
            <w:r>
              <w:rPr>
                <w:rFonts w:ascii="Aptos" w:hAnsi="Aptos"/>
                <w:b/>
                <w:sz w:val="17"/>
              </w:rPr>
              <w:t>Operating deduction</w:t>
            </w:r>
          </w:p>
        </w:tc>
        <w:tc>
          <w:tcPr>
            <w:tcW w:type="dxa" w:w="2608"/>
          </w:tcPr>
          <w:p>
            <w:pPr>
              <w:spacing w:after="20" w:before="0"/>
            </w:pPr>
            <w:r/>
            <w:r>
              <w:rPr>
                <w:rFonts w:ascii="Aptos" w:hAnsi="Aptos"/>
                <w:b w:val="0"/>
                <w:sz w:val="17"/>
              </w:rPr>
              <w:t>s11(a) read with s23(g): the full cost of electricity, every year, no rate and no write-off period. Not of a capital nature because it works the income-earning operations rather than adding to the structure.</w:t>
            </w:r>
          </w:p>
        </w:tc>
        <w:tc>
          <w:tcPr>
            <w:tcW w:type="dxa" w:w="2948"/>
          </w:tcPr>
          <w:p>
            <w:pPr>
              <w:spacing w:after="20" w:before="0"/>
            </w:pPr>
            <w:r/>
            <w:r>
              <w:rPr>
                <w:rFonts w:ascii="Aptos" w:hAnsi="Aptos"/>
                <w:b w:val="0"/>
                <w:sz w:val="17"/>
              </w:rPr>
              <w:t>s11(a) on operating, maintenance and insurance costs, and on wheeling and network charges.</w:t>
            </w:r>
          </w:p>
        </w:tc>
        <w:tc>
          <w:tcPr>
            <w:tcW w:type="dxa" w:w="2721"/>
          </w:tcPr>
          <w:p>
            <w:pPr>
              <w:spacing w:after="20" w:before="0"/>
            </w:pPr>
            <w:r/>
            <w:r>
              <w:rPr>
                <w:rFonts w:ascii="Aptos" w:hAnsi="Aptos"/>
                <w:b w:val="0"/>
                <w:sz w:val="17"/>
              </w:rPr>
              <w:t>Both options give a full deduction for operating cost. Neither is advantaged here.</w:t>
            </w:r>
          </w:p>
        </w:tc>
      </w:tr>
      <w:tr>
        <w:tc>
          <w:tcPr>
            <w:tcW w:type="dxa" w:w="1474"/>
          </w:tcPr>
          <w:p>
            <w:pPr>
              <w:spacing w:after="20" w:before="0"/>
            </w:pPr>
            <w:r/>
            <w:r>
              <w:rPr>
                <w:rFonts w:ascii="Aptos" w:hAnsi="Aptos"/>
                <w:b/>
                <w:sz w:val="17"/>
              </w:rPr>
              <w:t>Timing</w:t>
            </w:r>
          </w:p>
        </w:tc>
        <w:tc>
          <w:tcPr>
            <w:tcW w:type="dxa" w:w="2608"/>
          </w:tcPr>
          <w:p>
            <w:pPr>
              <w:spacing w:after="20" w:before="0"/>
            </w:pPr>
            <w:r/>
            <w:r>
              <w:rPr>
                <w:rFonts w:ascii="Aptos" w:hAnsi="Aptos"/>
                <w:b w:val="0"/>
                <w:sz w:val="17"/>
              </w:rPr>
              <w:t>The year the unconditional liability arises. Matches the cash cost, so there is no timing advantage or disadvantage.</w:t>
            </w:r>
          </w:p>
        </w:tc>
        <w:tc>
          <w:tcPr>
            <w:tcW w:type="dxa" w:w="2948"/>
          </w:tcPr>
          <w:p>
            <w:pPr>
              <w:spacing w:after="20" w:before="0"/>
            </w:pPr>
            <w:r/>
            <w:r>
              <w:rPr>
                <w:rFonts w:ascii="Aptos" w:hAnsi="Aptos"/>
                <w:b w:val="0"/>
                <w:sz w:val="17"/>
              </w:rPr>
              <w:t>Year of first use, with no apportionment for s12B even if first use falls on the last day of the year. s11(e) is apportioned. s12U(3) and s11A pre-trade costs fall in the year trade commences and cannot be postponed.</w:t>
            </w:r>
          </w:p>
        </w:tc>
        <w:tc>
          <w:tcPr>
            <w:tcW w:type="dxa" w:w="2721"/>
          </w:tcPr>
          <w:p>
            <w:pPr>
              <w:spacing w:after="20" w:before="0"/>
            </w:pPr>
            <w:r/>
            <w:r>
              <w:rPr>
                <w:rFonts w:ascii="Aptos" w:hAnsi="Aptos"/>
                <w:b w:val="0"/>
                <w:sz w:val="17"/>
              </w:rPr>
              <w:t>Front-loading is the source of the NPV benefit of owning. See section D.</w:t>
            </w:r>
          </w:p>
        </w:tc>
      </w:tr>
      <w:tr>
        <w:tc>
          <w:tcPr>
            <w:tcW w:type="dxa" w:w="1474"/>
          </w:tcPr>
          <w:p>
            <w:pPr>
              <w:spacing w:after="20" w:before="0"/>
            </w:pPr>
            <w:r/>
            <w:r>
              <w:rPr>
                <w:rFonts w:ascii="Aptos" w:hAnsi="Aptos"/>
                <w:b/>
                <w:sz w:val="17"/>
              </w:rPr>
              <w:t>Absorption of the deduction</w:t>
            </w:r>
          </w:p>
        </w:tc>
        <w:tc>
          <w:tcPr>
            <w:tcW w:type="dxa" w:w="2608"/>
          </w:tcPr>
          <w:p>
            <w:pPr>
              <w:spacing w:after="20" w:before="0"/>
            </w:pPr>
            <w:r/>
            <w:r>
              <w:rPr>
                <w:rFonts w:ascii="Aptos" w:hAnsi="Aptos"/>
                <w:b w:val="0"/>
                <w:sz w:val="17"/>
              </w:rPr>
              <w:t>Always absorbed, because it is a cost against operating profit.</w:t>
            </w:r>
          </w:p>
        </w:tc>
        <w:tc>
          <w:tcPr>
            <w:tcW w:type="dxa" w:w="2948"/>
          </w:tcPr>
          <w:p>
            <w:pPr>
              <w:spacing w:after="20" w:before="0"/>
            </w:pPr>
            <w:r/>
            <w:r>
              <w:rPr>
                <w:rFonts w:ascii="Aptos" w:hAnsi="Aptos"/>
                <w:b w:val="0"/>
                <w:sz w:val="17"/>
              </w:rPr>
              <w:t>s20(1)(a): a balance of assessed loss brought forward is set off only against the higher of R1 million or 80% of taxable income.</w:t>
            </w:r>
          </w:p>
          <w:p>
            <w:pPr>
              <w:spacing w:after="20" w:before="0"/>
            </w:pPr>
            <w:r>
              <w:rPr>
                <w:rFonts w:ascii="Aptos" w:hAnsi="Aptos"/>
                <w:b w:val="0"/>
                <w:sz w:val="17"/>
              </w:rPr>
              <w:t>s24H(3) limits a partner's share to the at-risk amount, with the excess carried forward under s24H(4).</w:t>
            </w:r>
          </w:p>
        </w:tc>
        <w:tc>
          <w:tcPr>
            <w:tcW w:type="dxa" w:w="2721"/>
          </w:tcPr>
          <w:p>
            <w:pPr>
              <w:spacing w:after="20" w:before="0"/>
            </w:pPr>
            <w:r/>
            <w:r>
              <w:rPr>
                <w:rFonts w:ascii="Aptos" w:hAnsi="Aptos"/>
                <w:b w:val="0"/>
                <w:sz w:val="17"/>
              </w:rPr>
              <w:t>A deduction that cannot be used in the year it arises is worth materially less. This is the largest single variable in the tax comparison. See section E.</w:t>
            </w:r>
          </w:p>
        </w:tc>
      </w:tr>
      <w:tr>
        <w:tc>
          <w:tcPr>
            <w:tcW w:type="dxa" w:w="1474"/>
          </w:tcPr>
          <w:p>
            <w:pPr>
              <w:spacing w:after="20" w:before="0"/>
            </w:pPr>
            <w:r/>
            <w:r>
              <w:rPr>
                <w:rFonts w:ascii="Aptos" w:hAnsi="Aptos"/>
                <w:b/>
                <w:sz w:val="17"/>
              </w:rPr>
              <w:t>Funding cost</w:t>
            </w:r>
          </w:p>
        </w:tc>
        <w:tc>
          <w:tcPr>
            <w:tcW w:type="dxa" w:w="2608"/>
          </w:tcPr>
          <w:p>
            <w:pPr>
              <w:spacing w:after="20" w:before="0"/>
            </w:pPr>
            <w:r/>
            <w:r>
              <w:rPr>
                <w:rFonts w:ascii="Aptos" w:hAnsi="Aptos"/>
                <w:b w:val="0"/>
                <w:sz w:val="17"/>
              </w:rPr>
              <w:t>Not applicable. Document 7 records that a PPA may require limited upfront capital.</w:t>
            </w:r>
          </w:p>
        </w:tc>
        <w:tc>
          <w:tcPr>
            <w:tcW w:type="dxa" w:w="2948"/>
          </w:tcPr>
          <w:p>
            <w:pPr>
              <w:spacing w:after="20" w:before="0"/>
            </w:pPr>
            <w:r/>
            <w:r>
              <w:rPr>
                <w:rFonts w:ascii="Aptos" w:hAnsi="Aptos"/>
                <w:b w:val="0"/>
                <w:sz w:val="17"/>
              </w:rPr>
              <w:t>s24J: interest is deducted as incurred on a yield-to-maturity basis, even where capitalised into the cost of the asset for accounting.</w:t>
            </w:r>
          </w:p>
          <w:p>
            <w:pPr>
              <w:spacing w:after="20" w:before="0"/>
            </w:pPr>
            <w:r>
              <w:rPr>
                <w:rFonts w:ascii="Aptos" w:hAnsi="Aptos"/>
                <w:b w:val="0"/>
                <w:sz w:val="17"/>
              </w:rPr>
              <w:t>s23M caps the deduction where the lender is in a controlling relationship with the borrower and is not subject to South African tax on the interest; the excess is carried forward, not forfeited.</w:t>
            </w:r>
          </w:p>
        </w:tc>
        <w:tc>
          <w:tcPr>
            <w:tcW w:type="dxa" w:w="2721"/>
          </w:tcPr>
          <w:p>
            <w:pPr>
              <w:spacing w:after="20" w:before="0"/>
            </w:pPr>
            <w:r/>
            <w:r>
              <w:rPr>
                <w:rFonts w:ascii="Aptos" w:hAnsi="Aptos"/>
                <w:b w:val="0"/>
                <w:sz w:val="17"/>
              </w:rPr>
              <w:t>Bank debt is fully deductible. Shareholder, technical partner or offshore funding defers the deduction and changes the post-tax cost of debt in the WACC.</w:t>
            </w:r>
          </w:p>
        </w:tc>
      </w:tr>
      <w:tr>
        <w:tc>
          <w:tcPr>
            <w:tcW w:type="dxa" w:w="1474"/>
          </w:tcPr>
          <w:p>
            <w:pPr>
              <w:spacing w:after="20" w:before="0"/>
            </w:pPr>
            <w:r/>
            <w:r>
              <w:rPr>
                <w:rFonts w:ascii="Aptos" w:hAnsi="Aptos"/>
                <w:b/>
                <w:sz w:val="17"/>
              </w:rPr>
              <w:t>Disposal or exit</w:t>
            </w:r>
          </w:p>
        </w:tc>
        <w:tc>
          <w:tcPr>
            <w:tcW w:type="dxa" w:w="2608"/>
          </w:tcPr>
          <w:p>
            <w:pPr>
              <w:spacing w:after="20" w:before="0"/>
            </w:pPr>
            <w:r/>
            <w:r>
              <w:rPr>
                <w:rFonts w:ascii="Aptos" w:hAnsi="Aptos"/>
                <w:b w:val="0"/>
                <w:sz w:val="17"/>
              </w:rPr>
              <w:t>Nothing to dispose of.</w:t>
            </w:r>
          </w:p>
        </w:tc>
        <w:tc>
          <w:tcPr>
            <w:tcW w:type="dxa" w:w="2948"/>
          </w:tcPr>
          <w:p>
            <w:pPr>
              <w:spacing w:after="20" w:before="0"/>
            </w:pPr>
            <w:r/>
            <w:r>
              <w:rPr>
                <w:rFonts w:ascii="Aptos" w:hAnsi="Aptos"/>
                <w:b w:val="0"/>
                <w:sz w:val="17"/>
              </w:rPr>
              <w:t>s8(4)(a): recoupment equals proceeds limited to cost, less tax value, capped at allowances previously granted. Tax value is nil once the s12B allowances are exhausted.</w:t>
            </w:r>
          </w:p>
          <w:p>
            <w:pPr>
              <w:spacing w:after="20" w:before="0"/>
            </w:pPr>
            <w:r>
              <w:rPr>
                <w:rFonts w:ascii="Aptos" w:hAnsi="Aptos"/>
                <w:b w:val="0"/>
                <w:sz w:val="17"/>
              </w:rPr>
              <w:t>s8(4)(k) substitutes market value on a disposal to a connected person.</w:t>
            </w:r>
          </w:p>
          <w:p>
            <w:pPr>
              <w:spacing w:after="20" w:before="0"/>
            </w:pPr>
            <w:r>
              <w:rPr>
                <w:rFonts w:ascii="Aptos" w:hAnsi="Aptos"/>
                <w:b w:val="0"/>
                <w:sz w:val="17"/>
              </w:rPr>
              <w:t>s11(o) is available only where the tax life does not exceed 10 years and the buyer is not a connected person; it does not apply to s12U assets.</w:t>
            </w:r>
          </w:p>
          <w:p>
            <w:pPr>
              <w:spacing w:after="20" w:before="0"/>
            </w:pPr>
            <w:r>
              <w:rPr>
                <w:rFonts w:ascii="Aptos" w:hAnsi="Aptos"/>
                <w:b w:val="0"/>
                <w:sz w:val="17"/>
              </w:rPr>
              <w:t>Proceeds above cost give a capital gain at 80%.</w:t>
            </w:r>
          </w:p>
        </w:tc>
        <w:tc>
          <w:tcPr>
            <w:tcW w:type="dxa" w:w="2721"/>
          </w:tcPr>
          <w:p>
            <w:pPr>
              <w:spacing w:after="20" w:before="0"/>
            </w:pPr>
            <w:r/>
            <w:r>
              <w:rPr>
                <w:rFonts w:ascii="Aptos" w:hAnsi="Aptos"/>
                <w:b w:val="0"/>
                <w:sz w:val="17"/>
              </w:rPr>
              <w:t>Owning creates a tax liability on exit. It belongs in the final year of a finite-life model, not in the terminal value.</w:t>
            </w:r>
          </w:p>
        </w:tc>
      </w:tr>
      <w:tr>
        <w:tc>
          <w:tcPr>
            <w:tcW w:type="dxa" w:w="1474"/>
          </w:tcPr>
          <w:p>
            <w:pPr>
              <w:spacing w:after="20" w:before="0"/>
            </w:pPr>
            <w:r/>
            <w:r>
              <w:rPr>
                <w:rFonts w:ascii="Aptos" w:hAnsi="Aptos"/>
                <w:b/>
                <w:sz w:val="17"/>
              </w:rPr>
              <w:t>VAT</w:t>
            </w:r>
          </w:p>
        </w:tc>
        <w:tc>
          <w:tcPr>
            <w:tcW w:type="dxa" w:w="2608"/>
          </w:tcPr>
          <w:p>
            <w:pPr>
              <w:spacing w:after="20" w:before="0"/>
            </w:pPr>
            <w:r/>
            <w:r>
              <w:rPr>
                <w:rFonts w:ascii="Aptos" w:hAnsi="Aptos"/>
                <w:b w:val="0"/>
                <w:sz w:val="17"/>
              </w:rPr>
              <w:t>Input tax on the producer's invoice is deductible in full, because Axion makes taxable supplies. The producer must be a registered vendor.</w:t>
            </w:r>
          </w:p>
        </w:tc>
        <w:tc>
          <w:tcPr>
            <w:tcW w:type="dxa" w:w="2948"/>
          </w:tcPr>
          <w:p>
            <w:pPr>
              <w:spacing w:after="20" w:before="0"/>
            </w:pPr>
            <w:r/>
            <w:r>
              <w:rPr>
                <w:rFonts w:ascii="Aptos" w:hAnsi="Aptos"/>
                <w:b w:val="0"/>
                <w:sz w:val="17"/>
              </w:rPr>
              <w:t>Input tax of 15% on plant and construction cost is recoverable in the tax period of acquisition on a valid tax invoice. Import VAT is recoverable; customs duty is not, and forms part of the cost of the asset for s12B.</w:t>
            </w:r>
          </w:p>
        </w:tc>
        <w:tc>
          <w:tcPr>
            <w:tcW w:type="dxa" w:w="2721"/>
          </w:tcPr>
          <w:p>
            <w:pPr>
              <w:spacing w:after="20" w:before="0"/>
            </w:pPr>
            <w:r/>
            <w:r>
              <w:rPr>
                <w:rFonts w:ascii="Aptos" w:hAnsi="Aptos"/>
                <w:b w:val="0"/>
                <w:sz w:val="17"/>
              </w:rPr>
              <w:t>VAT is cash flow timing only in both cases, except for the customs duty, which increases the s12B base.</w:t>
            </w:r>
          </w:p>
        </w:tc>
      </w:tr>
      <w:tr>
        <w:tc>
          <w:tcPr>
            <w:tcW w:type="dxa" w:w="1474"/>
          </w:tcPr>
          <w:p>
            <w:pPr>
              <w:spacing w:after="20" w:before="0"/>
            </w:pPr>
            <w:r/>
            <w:r>
              <w:rPr>
                <w:rFonts w:ascii="Aptos" w:hAnsi="Aptos"/>
                <w:b/>
                <w:sz w:val="17"/>
              </w:rPr>
              <w:t>Carbon tax</w:t>
            </w:r>
          </w:p>
        </w:tc>
        <w:tc>
          <w:tcPr>
            <w:tcW w:type="dxa" w:w="2608"/>
          </w:tcPr>
          <w:p>
            <w:pPr>
              <w:spacing w:after="20" w:before="0"/>
            </w:pPr>
            <w:r/>
            <w:r>
              <w:rPr>
                <w:rFonts w:ascii="Aptos" w:hAnsi="Aptos"/>
                <w:b w:val="0"/>
                <w:sz w:val="17"/>
              </w:rPr>
              <w:t>Not imposed on purchased electricity.</w:t>
            </w:r>
          </w:p>
        </w:tc>
        <w:tc>
          <w:tcPr>
            <w:tcW w:type="dxa" w:w="2948"/>
          </w:tcPr>
          <w:p>
            <w:pPr>
              <w:spacing w:after="20" w:before="0"/>
            </w:pPr>
            <w:r/>
            <w:r>
              <w:rPr>
                <w:rFonts w:ascii="Aptos" w:hAnsi="Aptos"/>
                <w:b w:val="0"/>
                <w:sz w:val="17"/>
              </w:rPr>
              <w:t>Not imposed on generated renewable electricity.</w:t>
            </w:r>
          </w:p>
        </w:tc>
        <w:tc>
          <w:tcPr>
            <w:tcW w:type="dxa" w:w="2721"/>
          </w:tcPr>
          <w:p>
            <w:pPr>
              <w:spacing w:after="20" w:before="0"/>
            </w:pPr>
            <w:r/>
            <w:r>
              <w:rPr>
                <w:rFonts w:ascii="Aptos" w:hAnsi="Aptos"/>
                <w:b w:val="0"/>
                <w:sz w:val="17"/>
              </w:rPr>
              <w:t>Axion's carbon tax liability arises from the diesel backup generators. Document 7 page 20 records that renewable generation does not replace resilience infrastructure, so this cost is unchanged by either alternative and is not incremental.</w:t>
            </w:r>
          </w:p>
        </w:tc>
      </w:tr>
    </w:tbl>
    <w:p>
      <w:pPr>
        <w:spacing w:after="40"/>
      </w:pPr>
    </w:p>
    <w:p>
      <w:pPr>
        <w:pStyle w:val="Heading2"/>
        <w:spacing w:after="80"/>
      </w:pPr>
      <w:r>
        <w:t>C.  Building tax into the incremental cash flows</w:t>
      </w:r>
    </w:p>
    <w:p>
      <w:pPr>
        <w:spacing w:after="80"/>
      </w:pPr>
      <w:r>
        <w:rPr>
          <w:rFonts w:ascii="Aptos" w:hAnsi="Aptos"/>
          <w:b w:val="0"/>
          <w:i w:val="0"/>
          <w:sz w:val="18"/>
        </w:rPr>
        <w:t>This expands the taxable income build-up already in the model. The final column states where each line belongs, so the tax computation and the cash flow do not double count.</w:t>
      </w:r>
    </w:p>
    <w:tbl>
      <w:tblPr>
        <w:tblStyle w:val="TableGrid"/>
        <w:tblW w:type="auto" w:w="0"/>
        <w:tblLayout w:type="fixed"/>
        <w:tblLook w:firstColumn="1" w:firstRow="1" w:lastColumn="0" w:lastRow="0" w:noHBand="0" w:noVBand="1" w:val="04A0"/>
        <w:tblLayout w:type="fixed"/>
        <w:tblW w:w="5000" w:type="pct"/>
      </w:tblPr>
      <w:tblGrid>
        <w:gridCol w:w="2268"/>
        <w:gridCol w:w="2494"/>
        <w:gridCol w:w="2835"/>
        <w:gridCol w:w="2154"/>
      </w:tblGrid>
      <w:tr>
        <w:tc>
          <w:tcPr>
            <w:tcW w:type="dxa" w:w="2268"/>
            <w:shd w:val="clear" w:fill="DCE6F1"/>
          </w:tcPr>
          <w:p>
            <w:pPr>
              <w:spacing w:after="20"/>
            </w:pPr>
            <w:r/>
            <w:r>
              <w:rPr>
                <w:rFonts w:ascii="Aptos" w:hAnsi="Aptos"/>
                <w:b/>
                <w:sz w:val="17"/>
              </w:rPr>
              <w:t>Cash flow line</w:t>
            </w:r>
          </w:p>
        </w:tc>
        <w:tc>
          <w:tcPr>
            <w:tcW w:type="dxa" w:w="2494"/>
            <w:shd w:val="clear" w:fill="DCE6F1"/>
          </w:tcPr>
          <w:p>
            <w:pPr>
              <w:spacing w:after="20"/>
            </w:pPr>
            <w:r/>
            <w:r>
              <w:rPr>
                <w:rFonts w:ascii="Aptos" w:hAnsi="Aptos"/>
                <w:b/>
                <w:sz w:val="17"/>
              </w:rPr>
              <w:t>Additional PPAs</w:t>
            </w:r>
          </w:p>
        </w:tc>
        <w:tc>
          <w:tcPr>
            <w:tcW w:type="dxa" w:w="2835"/>
            <w:shd w:val="clear" w:fill="DCE6F1"/>
          </w:tcPr>
          <w:p>
            <w:pPr>
              <w:spacing w:after="20"/>
            </w:pPr>
            <w:r/>
            <w:r>
              <w:rPr>
                <w:rFonts w:ascii="Aptos" w:hAnsi="Aptos"/>
                <w:b/>
                <w:sz w:val="17"/>
              </w:rPr>
              <w:t>Direct investment</w:t>
            </w:r>
          </w:p>
        </w:tc>
        <w:tc>
          <w:tcPr>
            <w:tcW w:type="dxa" w:w="2154"/>
            <w:shd w:val="clear" w:fill="DCE6F1"/>
          </w:tcPr>
          <w:p>
            <w:pPr>
              <w:spacing w:after="20"/>
            </w:pPr>
            <w:r/>
            <w:r>
              <w:rPr>
                <w:rFonts w:ascii="Aptos" w:hAnsi="Aptos"/>
                <w:b/>
                <w:sz w:val="17"/>
              </w:rPr>
              <w:t>Treatment in the model</w:t>
            </w:r>
          </w:p>
        </w:tc>
      </w:tr>
      <w:tr>
        <w:tc>
          <w:tcPr>
            <w:tcW w:type="dxa" w:w="2268"/>
          </w:tcPr>
          <w:p>
            <w:pPr>
              <w:spacing w:after="20" w:before="0"/>
            </w:pPr>
            <w:r/>
            <w:r>
              <w:rPr>
                <w:rFonts w:ascii="Aptos" w:hAnsi="Aptos"/>
                <w:b w:val="0"/>
                <w:sz w:val="17"/>
              </w:rPr>
              <w:t>Energy benefit — grid electricity avoided</w:t>
            </w:r>
          </w:p>
        </w:tc>
        <w:tc>
          <w:tcPr>
            <w:tcW w:type="dxa" w:w="2494"/>
          </w:tcPr>
          <w:p>
            <w:pPr>
              <w:spacing w:after="20" w:before="0"/>
            </w:pPr>
            <w:r/>
            <w:r>
              <w:rPr>
                <w:rFonts w:ascii="Aptos" w:hAnsi="Aptos"/>
                <w:b w:val="0"/>
                <w:sz w:val="17"/>
              </w:rPr>
              <w:t>Taxable</w:t>
            </w:r>
          </w:p>
        </w:tc>
        <w:tc>
          <w:tcPr>
            <w:tcW w:type="dxa" w:w="2835"/>
          </w:tcPr>
          <w:p>
            <w:pPr>
              <w:spacing w:after="20" w:before="0"/>
            </w:pPr>
            <w:r/>
            <w:r>
              <w:rPr>
                <w:rFonts w:ascii="Aptos" w:hAnsi="Aptos"/>
                <w:b w:val="0"/>
                <w:sz w:val="17"/>
              </w:rPr>
              <w:t>Taxable</w:t>
            </w:r>
          </w:p>
        </w:tc>
        <w:tc>
          <w:tcPr>
            <w:tcW w:type="dxa" w:w="2154"/>
          </w:tcPr>
          <w:p>
            <w:pPr>
              <w:spacing w:after="20" w:before="0"/>
            </w:pPr>
            <w:r/>
            <w:r>
              <w:rPr>
                <w:rFonts w:ascii="Aptos" w:hAnsi="Aptos"/>
                <w:b w:val="0"/>
                <w:sz w:val="17"/>
              </w:rPr>
              <w:t>Include at x (1 - 27%)</w:t>
            </w:r>
          </w:p>
        </w:tc>
      </w:tr>
      <w:tr>
        <w:tc>
          <w:tcPr>
            <w:tcW w:type="dxa" w:w="2268"/>
          </w:tcPr>
          <w:p>
            <w:pPr>
              <w:spacing w:after="20" w:before="0"/>
            </w:pPr>
            <w:r/>
            <w:r>
              <w:rPr>
                <w:rFonts w:ascii="Aptos" w:hAnsi="Aptos"/>
                <w:b w:val="0"/>
                <w:sz w:val="17"/>
              </w:rPr>
              <w:t>PPA payments for electricity</w:t>
            </w:r>
          </w:p>
        </w:tc>
        <w:tc>
          <w:tcPr>
            <w:tcW w:type="dxa" w:w="2494"/>
          </w:tcPr>
          <w:p>
            <w:pPr>
              <w:spacing w:after="20" w:before="0"/>
            </w:pPr>
            <w:r/>
            <w:r>
              <w:rPr>
                <w:rFonts w:ascii="Aptos" w:hAnsi="Aptos"/>
                <w:b w:val="0"/>
                <w:sz w:val="17"/>
              </w:rPr>
              <w:t>s11(a), deductible in full</w:t>
            </w:r>
          </w:p>
        </w:tc>
        <w:tc>
          <w:tcPr>
            <w:tcW w:type="dxa" w:w="2835"/>
          </w:tcPr>
          <w:p>
            <w:pPr>
              <w:spacing w:after="20" w:before="0"/>
            </w:pPr>
            <w:r/>
            <w:r>
              <w:rPr>
                <w:rFonts w:ascii="Aptos" w:hAnsi="Aptos"/>
                <w:b w:val="0"/>
                <w:sz w:val="17"/>
              </w:rPr>
              <w:t>Not applicable</w:t>
            </w:r>
          </w:p>
        </w:tc>
        <w:tc>
          <w:tcPr>
            <w:tcW w:type="dxa" w:w="2154"/>
          </w:tcPr>
          <w:p>
            <w:pPr>
              <w:spacing w:after="20" w:before="0"/>
            </w:pPr>
            <w:r/>
            <w:r>
              <w:rPr>
                <w:rFonts w:ascii="Aptos" w:hAnsi="Aptos"/>
                <w:b w:val="0"/>
                <w:sz w:val="17"/>
              </w:rPr>
              <w:t>Include at x (1 - 27%)</w:t>
            </w:r>
          </w:p>
        </w:tc>
      </w:tr>
      <w:tr>
        <w:tc>
          <w:tcPr>
            <w:tcW w:type="dxa" w:w="2268"/>
          </w:tcPr>
          <w:p>
            <w:pPr>
              <w:spacing w:after="20" w:before="0"/>
            </w:pPr>
            <w:r/>
            <w:r>
              <w:rPr>
                <w:rFonts w:ascii="Aptos" w:hAnsi="Aptos"/>
                <w:b w:val="0"/>
                <w:sz w:val="17"/>
              </w:rPr>
              <w:t>Wheeling, network and administration charges</w:t>
            </w:r>
          </w:p>
        </w:tc>
        <w:tc>
          <w:tcPr>
            <w:tcW w:type="dxa" w:w="2494"/>
          </w:tcPr>
          <w:p>
            <w:pPr>
              <w:spacing w:after="20" w:before="0"/>
            </w:pPr>
            <w:r/>
            <w:r>
              <w:rPr>
                <w:rFonts w:ascii="Aptos" w:hAnsi="Aptos"/>
                <w:b w:val="0"/>
                <w:sz w:val="17"/>
              </w:rPr>
              <w:t>s11(a)</w:t>
            </w:r>
          </w:p>
        </w:tc>
        <w:tc>
          <w:tcPr>
            <w:tcW w:type="dxa" w:w="2835"/>
          </w:tcPr>
          <w:p>
            <w:pPr>
              <w:spacing w:after="20" w:before="0"/>
            </w:pPr>
            <w:r/>
            <w:r>
              <w:rPr>
                <w:rFonts w:ascii="Aptos" w:hAnsi="Aptos"/>
                <w:b w:val="0"/>
                <w:sz w:val="17"/>
              </w:rPr>
              <w:t>s11(a), where generation is off site</w:t>
            </w:r>
          </w:p>
        </w:tc>
        <w:tc>
          <w:tcPr>
            <w:tcW w:type="dxa" w:w="2154"/>
          </w:tcPr>
          <w:p>
            <w:pPr>
              <w:spacing w:after="20" w:before="0"/>
            </w:pPr>
            <w:r/>
            <w:r>
              <w:rPr>
                <w:rFonts w:ascii="Aptos" w:hAnsi="Aptos"/>
                <w:b w:val="0"/>
                <w:sz w:val="17"/>
              </w:rPr>
              <w:t>Include at x (1 - 27%)</w:t>
            </w:r>
          </w:p>
        </w:tc>
      </w:tr>
      <w:tr>
        <w:tc>
          <w:tcPr>
            <w:tcW w:type="dxa" w:w="2268"/>
          </w:tcPr>
          <w:p>
            <w:pPr>
              <w:spacing w:after="20" w:before="0"/>
            </w:pPr>
            <w:r/>
            <w:r>
              <w:rPr>
                <w:rFonts w:ascii="Aptos" w:hAnsi="Aptos"/>
                <w:b w:val="0"/>
                <w:sz w:val="17"/>
              </w:rPr>
              <w:t>Operating, maintenance and insurance</w:t>
            </w:r>
          </w:p>
        </w:tc>
        <w:tc>
          <w:tcPr>
            <w:tcW w:type="dxa" w:w="2494"/>
          </w:tcPr>
          <w:p>
            <w:pPr>
              <w:spacing w:after="20" w:before="0"/>
            </w:pPr>
            <w:r/>
            <w:r>
              <w:rPr>
                <w:rFonts w:ascii="Aptos" w:hAnsi="Aptos"/>
                <w:b w:val="0"/>
                <w:sz w:val="17"/>
              </w:rPr>
              <w:t>Not applicable</w:t>
            </w:r>
          </w:p>
        </w:tc>
        <w:tc>
          <w:tcPr>
            <w:tcW w:type="dxa" w:w="2835"/>
          </w:tcPr>
          <w:p>
            <w:pPr>
              <w:spacing w:after="20" w:before="0"/>
            </w:pPr>
            <w:r/>
            <w:r>
              <w:rPr>
                <w:rFonts w:ascii="Aptos" w:hAnsi="Aptos"/>
                <w:b w:val="0"/>
                <w:sz w:val="17"/>
              </w:rPr>
              <w:t>s11(a)</w:t>
            </w:r>
          </w:p>
        </w:tc>
        <w:tc>
          <w:tcPr>
            <w:tcW w:type="dxa" w:w="2154"/>
          </w:tcPr>
          <w:p>
            <w:pPr>
              <w:spacing w:after="20" w:before="0"/>
            </w:pPr>
            <w:r/>
            <w:r>
              <w:rPr>
                <w:rFonts w:ascii="Aptos" w:hAnsi="Aptos"/>
                <w:b w:val="0"/>
                <w:sz w:val="17"/>
              </w:rPr>
              <w:t>Include at x (1 - 27%)</w:t>
            </w:r>
          </w:p>
        </w:tc>
      </w:tr>
      <w:tr>
        <w:tc>
          <w:tcPr>
            <w:tcW w:type="dxa" w:w="2268"/>
          </w:tcPr>
          <w:p>
            <w:pPr>
              <w:spacing w:after="20" w:before="0"/>
            </w:pPr>
            <w:r/>
            <w:r>
              <w:rPr>
                <w:rFonts w:ascii="Aptos" w:hAnsi="Aptos"/>
                <w:b w:val="0"/>
                <w:sz w:val="17"/>
              </w:rPr>
              <w:t>Surplus electricity sold, wheeled or credited</w:t>
            </w:r>
          </w:p>
        </w:tc>
        <w:tc>
          <w:tcPr>
            <w:tcW w:type="dxa" w:w="2494"/>
          </w:tcPr>
          <w:p>
            <w:pPr>
              <w:spacing w:after="20" w:before="0"/>
            </w:pPr>
            <w:r/>
            <w:r>
              <w:rPr>
                <w:rFonts w:ascii="Aptos" w:hAnsi="Aptos"/>
                <w:b w:val="0"/>
                <w:sz w:val="17"/>
              </w:rPr>
              <w:t>Gross income when it accrues</w:t>
            </w:r>
          </w:p>
        </w:tc>
        <w:tc>
          <w:tcPr>
            <w:tcW w:type="dxa" w:w="2835"/>
          </w:tcPr>
          <w:p>
            <w:pPr>
              <w:spacing w:after="20" w:before="0"/>
            </w:pPr>
            <w:r/>
            <w:r>
              <w:rPr>
                <w:rFonts w:ascii="Aptos" w:hAnsi="Aptos"/>
                <w:b w:val="0"/>
                <w:sz w:val="17"/>
              </w:rPr>
              <w:t>Gross income when it accrues</w:t>
            </w:r>
          </w:p>
        </w:tc>
        <w:tc>
          <w:tcPr>
            <w:tcW w:type="dxa" w:w="2154"/>
          </w:tcPr>
          <w:p>
            <w:pPr>
              <w:spacing w:after="20" w:before="0"/>
            </w:pPr>
            <w:r/>
            <w:r>
              <w:rPr>
                <w:rFonts w:ascii="Aptos" w:hAnsi="Aptos"/>
                <w:b w:val="0"/>
                <w:sz w:val="17"/>
              </w:rPr>
              <w:t>Include at x (1 - 27%), and only where the contract permits the sale</w:t>
            </w:r>
          </w:p>
        </w:tc>
      </w:tr>
      <w:tr>
        <w:tc>
          <w:tcPr>
            <w:tcW w:type="dxa" w:w="2268"/>
          </w:tcPr>
          <w:p>
            <w:pPr>
              <w:spacing w:after="20" w:before="0"/>
            </w:pPr>
            <w:r/>
            <w:r>
              <w:rPr>
                <w:rFonts w:ascii="Aptos" w:hAnsi="Aptos"/>
                <w:b w:val="0"/>
                <w:sz w:val="17"/>
              </w:rPr>
              <w:t>Amounts paid in advance under the contract</w:t>
            </w:r>
          </w:p>
        </w:tc>
        <w:tc>
          <w:tcPr>
            <w:tcW w:type="dxa" w:w="2494"/>
          </w:tcPr>
          <w:p>
            <w:pPr>
              <w:spacing w:after="20" w:before="0"/>
            </w:pPr>
            <w:r/>
            <w:r>
              <w:rPr>
                <w:rFonts w:ascii="Aptos" w:hAnsi="Aptos"/>
                <w:b w:val="0"/>
                <w:sz w:val="17"/>
              </w:rPr>
              <w:t>s23H apportions the deduction over the period to which the expenditure relates</w:t>
            </w:r>
          </w:p>
        </w:tc>
        <w:tc>
          <w:tcPr>
            <w:tcW w:type="dxa" w:w="2835"/>
          </w:tcPr>
          <w:p>
            <w:pPr>
              <w:spacing w:after="20" w:before="0"/>
            </w:pPr>
            <w:r/>
            <w:r>
              <w:rPr>
                <w:rFonts w:ascii="Aptos" w:hAnsi="Aptos"/>
                <w:b w:val="0"/>
                <w:sz w:val="17"/>
              </w:rPr>
              <w:t>s23H, if any amount is prepaid</w:t>
            </w:r>
          </w:p>
        </w:tc>
        <w:tc>
          <w:tcPr>
            <w:tcW w:type="dxa" w:w="2154"/>
          </w:tcPr>
          <w:p>
            <w:pPr>
              <w:spacing w:after="20" w:before="0"/>
            </w:pPr>
            <w:r/>
            <w:r>
              <w:rPr>
                <w:rFonts w:ascii="Aptos" w:hAnsi="Aptos"/>
                <w:b w:val="0"/>
                <w:sz w:val="17"/>
              </w:rPr>
              <w:t>Cash out in full in the year paid; deduction spread. A timing difference only</w:t>
            </w:r>
          </w:p>
        </w:tc>
      </w:tr>
      <w:tr>
        <w:tc>
          <w:tcPr>
            <w:tcW w:type="dxa" w:w="2268"/>
          </w:tcPr>
          <w:p>
            <w:pPr>
              <w:spacing w:after="20" w:before="0"/>
            </w:pPr>
            <w:r/>
            <w:r>
              <w:rPr>
                <w:rFonts w:ascii="Aptos" w:hAnsi="Aptos"/>
                <w:b w:val="0"/>
                <w:sz w:val="17"/>
              </w:rPr>
              <w:t>Initial capital expenditure</w:t>
            </w:r>
          </w:p>
        </w:tc>
        <w:tc>
          <w:tcPr>
            <w:tcW w:type="dxa" w:w="2494"/>
          </w:tcPr>
          <w:p>
            <w:pPr>
              <w:spacing w:after="20" w:before="0"/>
            </w:pPr>
            <w:r/>
            <w:r>
              <w:rPr>
                <w:rFonts w:ascii="Aptos" w:hAnsi="Aptos"/>
                <w:b w:val="0"/>
                <w:sz w:val="17"/>
              </w:rPr>
              <w:t>Not applicable</w:t>
            </w:r>
          </w:p>
        </w:tc>
        <w:tc>
          <w:tcPr>
            <w:tcW w:type="dxa" w:w="2835"/>
          </w:tcPr>
          <w:p>
            <w:pPr>
              <w:spacing w:after="20" w:before="0"/>
            </w:pPr>
            <w:r/>
            <w:r>
              <w:rPr>
                <w:rFonts w:ascii="Aptos" w:hAnsi="Aptos"/>
                <w:b w:val="0"/>
                <w:sz w:val="17"/>
              </w:rPr>
              <w:t>Not deductible</w:t>
            </w:r>
          </w:p>
        </w:tc>
        <w:tc>
          <w:tcPr>
            <w:tcW w:type="dxa" w:w="2154"/>
          </w:tcPr>
          <w:p>
            <w:pPr>
              <w:spacing w:after="20" w:before="0"/>
            </w:pPr>
            <w:r/>
            <w:r>
              <w:rPr>
                <w:rFonts w:ascii="Aptos" w:hAnsi="Aptos"/>
                <w:b w:val="0"/>
                <w:sz w:val="17"/>
              </w:rPr>
              <w:t>Cash out in full at CF0. No tax effect on this line</w:t>
            </w:r>
          </w:p>
        </w:tc>
      </w:tr>
      <w:tr>
        <w:tc>
          <w:tcPr>
            <w:tcW w:type="dxa" w:w="2268"/>
          </w:tcPr>
          <w:p>
            <w:pPr>
              <w:spacing w:after="20" w:before="0"/>
            </w:pPr>
            <w:r/>
            <w:r>
              <w:rPr>
                <w:rFonts w:ascii="Aptos" w:hAnsi="Aptos"/>
                <w:b w:val="0"/>
                <w:sz w:val="17"/>
              </w:rPr>
              <w:t>Capital allowances</w:t>
            </w:r>
          </w:p>
        </w:tc>
        <w:tc>
          <w:tcPr>
            <w:tcW w:type="dxa" w:w="2494"/>
          </w:tcPr>
          <w:p>
            <w:pPr>
              <w:spacing w:after="20" w:before="0"/>
            </w:pPr>
            <w:r/>
            <w:r>
              <w:rPr>
                <w:rFonts w:ascii="Aptos" w:hAnsi="Aptos"/>
                <w:b w:val="0"/>
                <w:sz w:val="17"/>
              </w:rPr>
              <w:t>Nil</w:t>
            </w:r>
          </w:p>
        </w:tc>
        <w:tc>
          <w:tcPr>
            <w:tcW w:type="dxa" w:w="2835"/>
          </w:tcPr>
          <w:p>
            <w:pPr>
              <w:spacing w:after="20" w:before="0"/>
            </w:pPr>
            <w:r/>
            <w:r>
              <w:rPr>
                <w:rFonts w:ascii="Aptos" w:hAnsi="Aptos"/>
                <w:b w:val="0"/>
                <w:sz w:val="17"/>
              </w:rPr>
              <w:t>s12B, s12U, s13quin and s11(e) per section D</w:t>
            </w:r>
          </w:p>
        </w:tc>
        <w:tc>
          <w:tcPr>
            <w:tcW w:type="dxa" w:w="2154"/>
          </w:tcPr>
          <w:p>
            <w:pPr>
              <w:spacing w:after="20" w:before="0"/>
            </w:pPr>
            <w:r/>
            <w:r>
              <w:rPr>
                <w:rFonts w:ascii="Aptos" w:hAnsi="Aptos"/>
                <w:b w:val="0"/>
                <w:sz w:val="17"/>
              </w:rPr>
              <w:t>Non-cash. Include as a tax saving of allowance x 27%</w:t>
            </w:r>
          </w:p>
        </w:tc>
      </w:tr>
      <w:tr>
        <w:tc>
          <w:tcPr>
            <w:tcW w:type="dxa" w:w="2268"/>
          </w:tcPr>
          <w:p>
            <w:pPr>
              <w:spacing w:after="20" w:before="0"/>
            </w:pPr>
            <w:r/>
            <w:r>
              <w:rPr>
                <w:rFonts w:ascii="Aptos" w:hAnsi="Aptos"/>
                <w:b w:val="0"/>
                <w:sz w:val="17"/>
              </w:rPr>
              <w:t>Land</w:t>
            </w:r>
          </w:p>
        </w:tc>
        <w:tc>
          <w:tcPr>
            <w:tcW w:type="dxa" w:w="2494"/>
          </w:tcPr>
          <w:p>
            <w:pPr>
              <w:spacing w:after="20" w:before="0"/>
            </w:pPr>
            <w:r/>
            <w:r>
              <w:rPr>
                <w:rFonts w:ascii="Aptos" w:hAnsi="Aptos"/>
                <w:b w:val="0"/>
                <w:sz w:val="17"/>
              </w:rPr>
              <w:t>Not applicable</w:t>
            </w:r>
          </w:p>
        </w:tc>
        <w:tc>
          <w:tcPr>
            <w:tcW w:type="dxa" w:w="2835"/>
          </w:tcPr>
          <w:p>
            <w:pPr>
              <w:spacing w:after="20" w:before="0"/>
            </w:pPr>
            <w:r/>
            <w:r>
              <w:rPr>
                <w:rFonts w:ascii="Aptos" w:hAnsi="Aptos"/>
                <w:b w:val="0"/>
                <w:sz w:val="17"/>
              </w:rPr>
              <w:t>No allowance under any section</w:t>
            </w:r>
          </w:p>
        </w:tc>
        <w:tc>
          <w:tcPr>
            <w:tcW w:type="dxa" w:w="2154"/>
          </w:tcPr>
          <w:p>
            <w:pPr>
              <w:spacing w:after="20" w:before="0"/>
            </w:pPr>
            <w:r/>
            <w:r>
              <w:rPr>
                <w:rFonts w:ascii="Aptos" w:hAnsi="Aptos"/>
                <w:b w:val="0"/>
                <w:sz w:val="17"/>
              </w:rPr>
              <w:t>Cash out in full. Relief only as base cost on a later disposal</w:t>
            </w:r>
          </w:p>
        </w:tc>
      </w:tr>
      <w:tr>
        <w:tc>
          <w:tcPr>
            <w:tcW w:type="dxa" w:w="2268"/>
          </w:tcPr>
          <w:p>
            <w:pPr>
              <w:spacing w:after="20" w:before="0"/>
            </w:pPr>
            <w:r/>
            <w:r>
              <w:rPr>
                <w:rFonts w:ascii="Aptos" w:hAnsi="Aptos"/>
                <w:b w:val="0"/>
                <w:sz w:val="17"/>
              </w:rPr>
              <w:t>Replacement capital expenditure</w:t>
            </w:r>
          </w:p>
        </w:tc>
        <w:tc>
          <w:tcPr>
            <w:tcW w:type="dxa" w:w="2494"/>
          </w:tcPr>
          <w:p>
            <w:pPr>
              <w:spacing w:after="20" w:before="0"/>
            </w:pPr>
            <w:r/>
            <w:r>
              <w:rPr>
                <w:rFonts w:ascii="Aptos" w:hAnsi="Aptos"/>
                <w:b w:val="0"/>
                <w:sz w:val="17"/>
              </w:rPr>
              <w:t>Not applicable</w:t>
            </w:r>
          </w:p>
        </w:tc>
        <w:tc>
          <w:tcPr>
            <w:tcW w:type="dxa" w:w="2835"/>
          </w:tcPr>
          <w:p>
            <w:pPr>
              <w:spacing w:after="20" w:before="0"/>
            </w:pPr>
            <w:r/>
            <w:r>
              <w:rPr>
                <w:rFonts w:ascii="Aptos" w:hAnsi="Aptos"/>
                <w:b w:val="0"/>
                <w:sz w:val="17"/>
              </w:rPr>
              <w:t>A qualifying replacement asset starts a fresh s12B 50 / 30 / 20. The asset replaced triggers s8(4)(a) or s11(o)</w:t>
            </w:r>
          </w:p>
        </w:tc>
        <w:tc>
          <w:tcPr>
            <w:tcW w:type="dxa" w:w="2154"/>
          </w:tcPr>
          <w:p>
            <w:pPr>
              <w:spacing w:after="20" w:before="0"/>
            </w:pPr>
            <w:r/>
            <w:r>
              <w:rPr>
                <w:rFonts w:ascii="Aptos" w:hAnsi="Aptos"/>
                <w:b w:val="0"/>
                <w:sz w:val="17"/>
              </w:rPr>
              <w:t>Cash out in full, with its own allowance schedule from the year of first use</w:t>
            </w:r>
          </w:p>
        </w:tc>
      </w:tr>
      <w:tr>
        <w:tc>
          <w:tcPr>
            <w:tcW w:type="dxa" w:w="2268"/>
          </w:tcPr>
          <w:p>
            <w:pPr>
              <w:spacing w:after="20" w:before="0"/>
            </w:pPr>
            <w:r/>
            <w:r>
              <w:rPr>
                <w:rFonts w:ascii="Aptos" w:hAnsi="Aptos"/>
                <w:b w:val="0"/>
                <w:sz w:val="17"/>
              </w:rPr>
              <w:t>Interest and funding cash flows</w:t>
            </w:r>
          </w:p>
        </w:tc>
        <w:tc>
          <w:tcPr>
            <w:tcW w:type="dxa" w:w="2494"/>
          </w:tcPr>
          <w:p>
            <w:pPr>
              <w:spacing w:after="20" w:before="0"/>
            </w:pPr>
            <w:r/>
            <w:r>
              <w:rPr>
                <w:rFonts w:ascii="Aptos" w:hAnsi="Aptos"/>
                <w:b w:val="0"/>
                <w:sz w:val="17"/>
              </w:rPr>
              <w:t>Not applicable</w:t>
            </w:r>
          </w:p>
        </w:tc>
        <w:tc>
          <w:tcPr>
            <w:tcW w:type="dxa" w:w="2835"/>
          </w:tcPr>
          <w:p>
            <w:pPr>
              <w:spacing w:after="20" w:before="0"/>
            </w:pPr>
            <w:r/>
            <w:r>
              <w:rPr>
                <w:rFonts w:ascii="Aptos" w:hAnsi="Aptos"/>
                <w:b w:val="0"/>
                <w:sz w:val="17"/>
              </w:rPr>
              <w:t>s24J, subject to s23M</w:t>
            </w:r>
          </w:p>
        </w:tc>
        <w:tc>
          <w:tcPr>
            <w:tcW w:type="dxa" w:w="2154"/>
          </w:tcPr>
          <w:p>
            <w:pPr>
              <w:spacing w:after="20" w:before="0"/>
            </w:pPr>
            <w:r/>
            <w:r>
              <w:rPr>
                <w:rFonts w:ascii="Aptos" w:hAnsi="Aptos"/>
                <w:b w:val="0"/>
                <w:sz w:val="17"/>
              </w:rPr>
              <w:t>Exclude from project NPV where the discount rate already reflects financing</w:t>
            </w:r>
          </w:p>
        </w:tc>
      </w:tr>
      <w:tr>
        <w:tc>
          <w:tcPr>
            <w:tcW w:type="dxa" w:w="2268"/>
          </w:tcPr>
          <w:p>
            <w:pPr>
              <w:spacing w:after="20" w:before="0"/>
            </w:pPr>
            <w:r/>
            <w:r>
              <w:rPr>
                <w:rFonts w:ascii="Aptos" w:hAnsi="Aptos"/>
                <w:b w:val="0"/>
                <w:sz w:val="17"/>
              </w:rPr>
              <w:t>Working capital movement and recovery</w:t>
            </w:r>
          </w:p>
        </w:tc>
        <w:tc>
          <w:tcPr>
            <w:tcW w:type="dxa" w:w="2494"/>
          </w:tcPr>
          <w:p>
            <w:pPr>
              <w:spacing w:after="20" w:before="0"/>
            </w:pPr>
            <w:r/>
            <w:r>
              <w:rPr>
                <w:rFonts w:ascii="Aptos" w:hAnsi="Aptos"/>
                <w:b w:val="0"/>
                <w:sz w:val="17"/>
              </w:rPr>
              <w:t>No tax effect</w:t>
            </w:r>
          </w:p>
        </w:tc>
        <w:tc>
          <w:tcPr>
            <w:tcW w:type="dxa" w:w="2835"/>
          </w:tcPr>
          <w:p>
            <w:pPr>
              <w:spacing w:after="20" w:before="0"/>
            </w:pPr>
            <w:r/>
            <w:r>
              <w:rPr>
                <w:rFonts w:ascii="Aptos" w:hAnsi="Aptos"/>
                <w:b w:val="0"/>
                <w:sz w:val="17"/>
              </w:rPr>
              <w:t>No tax effect</w:t>
            </w:r>
          </w:p>
        </w:tc>
        <w:tc>
          <w:tcPr>
            <w:tcW w:type="dxa" w:w="2154"/>
          </w:tcPr>
          <w:p>
            <w:pPr>
              <w:spacing w:after="20" w:before="0"/>
            </w:pPr>
            <w:r/>
            <w:r>
              <w:rPr>
                <w:rFonts w:ascii="Aptos" w:hAnsi="Aptos"/>
                <w:b w:val="0"/>
                <w:sz w:val="17"/>
              </w:rPr>
              <w:t>Cash flow only</w:t>
            </w:r>
          </w:p>
        </w:tc>
      </w:tr>
      <w:tr>
        <w:tc>
          <w:tcPr>
            <w:tcW w:type="dxa" w:w="2268"/>
          </w:tcPr>
          <w:p>
            <w:pPr>
              <w:spacing w:after="20" w:before="0"/>
            </w:pPr>
            <w:r/>
            <w:r>
              <w:rPr>
                <w:rFonts w:ascii="Aptos" w:hAnsi="Aptos"/>
                <w:b w:val="0"/>
                <w:sz w:val="17"/>
              </w:rPr>
              <w:t>Disposal at the end of a finite life</w:t>
            </w:r>
          </w:p>
        </w:tc>
        <w:tc>
          <w:tcPr>
            <w:tcW w:type="dxa" w:w="2494"/>
          </w:tcPr>
          <w:p>
            <w:pPr>
              <w:spacing w:after="20" w:before="0"/>
            </w:pPr>
            <w:r/>
            <w:r>
              <w:rPr>
                <w:rFonts w:ascii="Aptos" w:hAnsi="Aptos"/>
                <w:b w:val="0"/>
                <w:sz w:val="17"/>
              </w:rPr>
              <w:t>Not applicable</w:t>
            </w:r>
          </w:p>
        </w:tc>
        <w:tc>
          <w:tcPr>
            <w:tcW w:type="dxa" w:w="2835"/>
          </w:tcPr>
          <w:p>
            <w:pPr>
              <w:spacing w:after="20" w:before="0"/>
            </w:pPr>
            <w:r/>
            <w:r>
              <w:rPr>
                <w:rFonts w:ascii="Aptos" w:hAnsi="Aptos"/>
                <w:b w:val="0"/>
                <w:sz w:val="17"/>
              </w:rPr>
              <w:t>Proceeds are not themselves taxable. The recoupment under s8(4)(a) and any capital gain are</w:t>
            </w:r>
          </w:p>
        </w:tc>
        <w:tc>
          <w:tcPr>
            <w:tcW w:type="dxa" w:w="2154"/>
          </w:tcPr>
          <w:p>
            <w:pPr>
              <w:spacing w:after="20" w:before="0"/>
            </w:pPr>
            <w:r/>
            <w:r>
              <w:rPr>
                <w:rFonts w:ascii="Aptos" w:hAnsi="Aptos"/>
                <w:b w:val="0"/>
                <w:sz w:val="17"/>
              </w:rPr>
              <w:t>Final year cash flow. Exclude from terminal value, consistent with the treatment of once-off items</w:t>
            </w:r>
          </w:p>
        </w:tc>
      </w:tr>
    </w:tbl>
    <w:p>
      <w:pPr>
        <w:spacing w:after="40"/>
      </w:pPr>
    </w:p>
    <w:p>
      <w:pPr>
        <w:pStyle w:val="Heading2"/>
        <w:spacing w:after="80"/>
      </w:pPr>
      <w:r>
        <w:t>D.  Capital allowance schedule</w:t>
      </w:r>
    </w:p>
    <w:p>
      <w:pPr>
        <w:spacing w:after="80"/>
      </w:pPr>
      <w:r>
        <w:rPr>
          <w:rFonts w:ascii="Aptos" w:hAnsi="Aptos"/>
          <w:b w:val="0"/>
          <w:i/>
          <w:sz w:val="18"/>
        </w:rPr>
        <w:t>Illustrative, using the costs in the income tax research. Replace with the figures given on the day.</w:t>
      </w:r>
    </w:p>
    <w:tbl>
      <w:tblPr>
        <w:tblStyle w:val="TableGrid"/>
        <w:tblW w:type="auto" w:w="0"/>
        <w:tblLayout w:type="fixed"/>
        <w:tblLook w:firstColumn="1" w:firstRow="1" w:lastColumn="0" w:lastRow="0" w:noHBand="0" w:noVBand="1" w:val="04A0"/>
        <w:tblLayout w:type="fixed"/>
        <w:tblW w:w="5000" w:type="pct"/>
      </w:tblPr>
      <w:tblGrid>
        <w:gridCol w:w="2948"/>
        <w:gridCol w:w="1134"/>
        <w:gridCol w:w="1474"/>
        <w:gridCol w:w="4195"/>
      </w:tblGrid>
      <w:tr>
        <w:tc>
          <w:tcPr>
            <w:tcW w:type="dxa" w:w="2948"/>
            <w:shd w:val="clear" w:fill="DCE6F1"/>
          </w:tcPr>
          <w:p>
            <w:pPr>
              <w:spacing w:after="20"/>
            </w:pPr>
            <w:r/>
            <w:r>
              <w:rPr>
                <w:rFonts w:ascii="Aptos" w:hAnsi="Aptos"/>
                <w:b/>
                <w:sz w:val="17"/>
              </w:rPr>
              <w:t>Cost element</w:t>
            </w:r>
          </w:p>
        </w:tc>
        <w:tc>
          <w:tcPr>
            <w:tcW w:type="dxa" w:w="1134"/>
            <w:shd w:val="clear" w:fill="DCE6F1"/>
          </w:tcPr>
          <w:p>
            <w:pPr>
              <w:spacing w:after="20"/>
            </w:pPr>
            <w:r/>
            <w:r>
              <w:rPr>
                <w:rFonts w:ascii="Aptos" w:hAnsi="Aptos"/>
                <w:b/>
                <w:sz w:val="17"/>
              </w:rPr>
              <w:t>Cost R'm</w:t>
            </w:r>
          </w:p>
        </w:tc>
        <w:tc>
          <w:tcPr>
            <w:tcW w:type="dxa" w:w="1474"/>
            <w:shd w:val="clear" w:fill="DCE6F1"/>
          </w:tcPr>
          <w:p>
            <w:pPr>
              <w:spacing w:after="20"/>
            </w:pPr>
            <w:r/>
            <w:r>
              <w:rPr>
                <w:rFonts w:ascii="Aptos" w:hAnsi="Aptos"/>
                <w:b/>
                <w:sz w:val="17"/>
              </w:rPr>
              <w:t>Section</w:t>
            </w:r>
          </w:p>
        </w:tc>
        <w:tc>
          <w:tcPr>
            <w:tcW w:type="dxa" w:w="4195"/>
            <w:shd w:val="clear" w:fill="DCE6F1"/>
          </w:tcPr>
          <w:p>
            <w:pPr>
              <w:spacing w:after="20"/>
            </w:pPr>
            <w:r/>
            <w:r>
              <w:rPr>
                <w:rFonts w:ascii="Aptos" w:hAnsi="Aptos"/>
                <w:b/>
                <w:sz w:val="17"/>
              </w:rPr>
              <w:t>Basis</w:t>
            </w:r>
          </w:p>
        </w:tc>
      </w:tr>
      <w:tr>
        <w:tc>
          <w:tcPr>
            <w:tcW w:type="dxa" w:w="2948"/>
          </w:tcPr>
          <w:p>
            <w:pPr>
              <w:spacing w:after="20" w:before="0"/>
            </w:pPr>
            <w:r/>
            <w:r>
              <w:rPr>
                <w:rFonts w:ascii="Aptos" w:hAnsi="Aptos"/>
                <w:b w:val="0"/>
                <w:sz w:val="17"/>
              </w:rPr>
              <w:t>Generation plant, 30MW photovoltaic</w:t>
            </w:r>
          </w:p>
        </w:tc>
        <w:tc>
          <w:tcPr>
            <w:tcW w:type="dxa" w:w="1134"/>
          </w:tcPr>
          <w:p>
            <w:pPr>
              <w:spacing w:after="20" w:before="0"/>
            </w:pPr>
            <w:r/>
            <w:r>
              <w:rPr>
                <w:rFonts w:ascii="Aptos" w:hAnsi="Aptos"/>
                <w:b w:val="0"/>
                <w:sz w:val="17"/>
              </w:rPr>
              <w:t>450.0</w:t>
            </w:r>
          </w:p>
        </w:tc>
        <w:tc>
          <w:tcPr>
            <w:tcW w:type="dxa" w:w="1474"/>
          </w:tcPr>
          <w:p>
            <w:pPr>
              <w:spacing w:after="20" w:before="0"/>
            </w:pPr>
            <w:r/>
            <w:r>
              <w:rPr>
                <w:rFonts w:ascii="Aptos" w:hAnsi="Aptos"/>
                <w:b w:val="0"/>
                <w:sz w:val="17"/>
              </w:rPr>
              <w:t>s12B(1)(h)</w:t>
            </w:r>
          </w:p>
        </w:tc>
        <w:tc>
          <w:tcPr>
            <w:tcW w:type="dxa" w:w="4195"/>
          </w:tcPr>
          <w:p>
            <w:pPr>
              <w:spacing w:after="20" w:before="0"/>
            </w:pPr>
            <w:r/>
            <w:r>
              <w:rPr>
                <w:rFonts w:ascii="Aptos" w:hAnsi="Aptos"/>
                <w:b w:val="0"/>
                <w:sz w:val="17"/>
              </w:rPr>
              <w:t>50 / 30 / 20, because capacity exceeds 1MW</w:t>
            </w:r>
          </w:p>
        </w:tc>
      </w:tr>
      <w:tr>
        <w:tc>
          <w:tcPr>
            <w:tcW w:type="dxa" w:w="2948"/>
          </w:tcPr>
          <w:p>
            <w:pPr>
              <w:spacing w:after="20" w:before="0"/>
            </w:pPr>
            <w:r/>
            <w:r>
              <w:rPr>
                <w:rFonts w:ascii="Aptos" w:hAnsi="Aptos"/>
                <w:b w:val="0"/>
                <w:sz w:val="17"/>
              </w:rPr>
              <w:t>New road and perimeter fencing</w:t>
            </w:r>
          </w:p>
        </w:tc>
        <w:tc>
          <w:tcPr>
            <w:tcW w:type="dxa" w:w="1134"/>
          </w:tcPr>
          <w:p>
            <w:pPr>
              <w:spacing w:after="20" w:before="0"/>
            </w:pPr>
            <w:r/>
            <w:r>
              <w:rPr>
                <w:rFonts w:ascii="Aptos" w:hAnsi="Aptos"/>
                <w:b w:val="0"/>
                <w:sz w:val="17"/>
              </w:rPr>
              <w:t>25.0</w:t>
            </w:r>
          </w:p>
        </w:tc>
        <w:tc>
          <w:tcPr>
            <w:tcW w:type="dxa" w:w="1474"/>
          </w:tcPr>
          <w:p>
            <w:pPr>
              <w:spacing w:after="20" w:before="0"/>
            </w:pPr>
            <w:r/>
            <w:r>
              <w:rPr>
                <w:rFonts w:ascii="Aptos" w:hAnsi="Aptos"/>
                <w:b w:val="0"/>
                <w:sz w:val="17"/>
              </w:rPr>
              <w:t>s12U(1)(a)</w:t>
            </w:r>
          </w:p>
        </w:tc>
        <w:tc>
          <w:tcPr>
            <w:tcW w:type="dxa" w:w="4195"/>
          </w:tcPr>
          <w:p>
            <w:pPr>
              <w:spacing w:after="20" w:before="0"/>
            </w:pPr>
            <w:r/>
            <w:r>
              <w:rPr>
                <w:rFonts w:ascii="Aptos" w:hAnsi="Aptos"/>
                <w:b w:val="0"/>
                <w:sz w:val="17"/>
              </w:rPr>
              <w:t>100% in year one, if the trade of generating electricity exceeding 5MW is carried on</w:t>
            </w:r>
          </w:p>
        </w:tc>
      </w:tr>
      <w:tr>
        <w:tc>
          <w:tcPr>
            <w:tcW w:type="dxa" w:w="2948"/>
          </w:tcPr>
          <w:p>
            <w:pPr>
              <w:spacing w:after="20" w:before="0"/>
            </w:pPr>
            <w:r/>
            <w:r>
              <w:rPr>
                <w:rFonts w:ascii="Aptos" w:hAnsi="Aptos"/>
                <w:b w:val="0"/>
                <w:sz w:val="17"/>
              </w:rPr>
              <w:t>Grid connection and transmission line</w:t>
            </w:r>
          </w:p>
        </w:tc>
        <w:tc>
          <w:tcPr>
            <w:tcW w:type="dxa" w:w="1134"/>
          </w:tcPr>
          <w:p>
            <w:pPr>
              <w:spacing w:after="20" w:before="0"/>
            </w:pPr>
            <w:r/>
            <w:r>
              <w:rPr>
                <w:rFonts w:ascii="Aptos" w:hAnsi="Aptos"/>
                <w:b w:val="0"/>
                <w:sz w:val="17"/>
              </w:rPr>
              <w:t>60.0</w:t>
            </w:r>
          </w:p>
        </w:tc>
        <w:tc>
          <w:tcPr>
            <w:tcW w:type="dxa" w:w="1474"/>
          </w:tcPr>
          <w:p>
            <w:pPr>
              <w:spacing w:after="20" w:before="0"/>
            </w:pPr>
            <w:r/>
            <w:r>
              <w:rPr>
                <w:rFonts w:ascii="Aptos" w:hAnsi="Aptos"/>
                <w:b w:val="0"/>
                <w:sz w:val="17"/>
              </w:rPr>
              <w:t>s11(e)</w:t>
            </w:r>
          </w:p>
        </w:tc>
        <w:tc>
          <w:tcPr>
            <w:tcW w:type="dxa" w:w="4195"/>
          </w:tcPr>
          <w:p>
            <w:pPr>
              <w:spacing w:after="20" w:before="0"/>
            </w:pPr>
            <w:r/>
            <w:r>
              <w:rPr>
                <w:rFonts w:ascii="Aptos" w:hAnsi="Aptos"/>
                <w:b w:val="0"/>
                <w:sz w:val="17"/>
              </w:rPr>
              <w:t>Written off over the IN 47 period, apportioned for part-periods of use. 20 years assumed; confirm on the day</w:t>
            </w:r>
          </w:p>
        </w:tc>
      </w:tr>
      <w:tr>
        <w:tc>
          <w:tcPr>
            <w:tcW w:type="dxa" w:w="2948"/>
          </w:tcPr>
          <w:p>
            <w:pPr>
              <w:spacing w:after="20" w:before="0"/>
            </w:pPr>
            <w:r/>
            <w:r>
              <w:rPr>
                <w:rFonts w:ascii="Aptos" w:hAnsi="Aptos"/>
                <w:b w:val="0"/>
                <w:sz w:val="17"/>
              </w:rPr>
              <w:t>Land</w:t>
            </w:r>
          </w:p>
        </w:tc>
        <w:tc>
          <w:tcPr>
            <w:tcW w:type="dxa" w:w="1134"/>
          </w:tcPr>
          <w:p>
            <w:pPr>
              <w:spacing w:after="20" w:before="0"/>
            </w:pPr>
            <w:r/>
            <w:r>
              <w:rPr>
                <w:rFonts w:ascii="Aptos" w:hAnsi="Aptos"/>
                <w:b w:val="0"/>
                <w:sz w:val="17"/>
              </w:rPr>
              <w:t>15.0</w:t>
            </w:r>
          </w:p>
        </w:tc>
        <w:tc>
          <w:tcPr>
            <w:tcW w:type="dxa" w:w="1474"/>
          </w:tcPr>
          <w:p>
            <w:pPr>
              <w:spacing w:after="20" w:before="0"/>
            </w:pPr>
            <w:r/>
            <w:r>
              <w:rPr>
                <w:rFonts w:ascii="Aptos" w:hAnsi="Aptos"/>
                <w:b w:val="0"/>
                <w:sz w:val="17"/>
              </w:rPr>
              <w:t>None</w:t>
            </w:r>
          </w:p>
        </w:tc>
        <w:tc>
          <w:tcPr>
            <w:tcW w:type="dxa" w:w="4195"/>
          </w:tcPr>
          <w:p>
            <w:pPr>
              <w:spacing w:after="20" w:before="0"/>
            </w:pPr>
            <w:r/>
            <w:r>
              <w:rPr>
                <w:rFonts w:ascii="Aptos" w:hAnsi="Aptos"/>
                <w:b w:val="0"/>
                <w:sz w:val="17"/>
              </w:rPr>
              <w:t>No allowance. Base cost only</w:t>
            </w:r>
          </w:p>
        </w:tc>
      </w:tr>
      <w:tr>
        <w:tc>
          <w:tcPr>
            <w:tcW w:type="dxa" w:w="2948"/>
          </w:tcPr>
          <w:p>
            <w:pPr>
              <w:spacing w:after="20" w:before="0"/>
            </w:pPr>
            <w:r/>
            <w:r>
              <w:rPr>
                <w:rFonts w:ascii="Aptos" w:hAnsi="Aptos"/>
                <w:b/>
                <w:sz w:val="17"/>
              </w:rPr>
              <w:t>Total</w:t>
            </w:r>
          </w:p>
        </w:tc>
        <w:tc>
          <w:tcPr>
            <w:tcW w:type="dxa" w:w="1134"/>
          </w:tcPr>
          <w:p>
            <w:pPr>
              <w:spacing w:after="20" w:before="0"/>
            </w:pPr>
            <w:r/>
            <w:r>
              <w:rPr>
                <w:rFonts w:ascii="Aptos" w:hAnsi="Aptos"/>
                <w:b/>
                <w:sz w:val="17"/>
              </w:rPr>
              <w:t>550.0</w:t>
            </w:r>
          </w:p>
        </w:tc>
        <w:tc>
          <w:tcPr>
            <w:tcW w:type="dxa" w:w="1474"/>
          </w:tcPr>
          <w:p>
            <w:pPr>
              <w:spacing w:after="20" w:before="0"/>
            </w:pPr>
            <w:r/>
            <w:r>
              <w:rPr>
                <w:rFonts w:ascii="Aptos" w:hAnsi="Aptos"/>
                <w:b w:val="0"/>
                <w:sz w:val="17"/>
              </w:rPr>
            </w:r>
          </w:p>
        </w:tc>
        <w:tc>
          <w:tcPr>
            <w:tcW w:type="dxa" w:w="4195"/>
          </w:tcPr>
          <w:p>
            <w:pPr>
              <w:spacing w:after="20" w:before="0"/>
            </w:pPr>
            <w:r/>
            <w:r>
              <w:rPr>
                <w:rFonts w:ascii="Aptos" w:hAnsi="Aptos"/>
                <w:b w:val="0"/>
                <w:sz w:val="17"/>
              </w:rPr>
            </w:r>
          </w:p>
        </w:tc>
      </w:tr>
    </w:tbl>
    <w:p>
      <w:pPr>
        <w:spacing w:after="40"/>
      </w:pPr>
    </w:p>
    <w:p>
      <w:pPr>
        <w:pStyle w:val="Heading3"/>
        <w:spacing w:after="80"/>
      </w:pPr>
      <w:r>
        <w:t>Resulting deductions and tax savings</w:t>
      </w:r>
    </w:p>
    <w:tbl>
      <w:tblPr>
        <w:tblStyle w:val="TableGrid"/>
        <w:tblW w:type="auto" w:w="0"/>
        <w:tblLayout w:type="fixed"/>
        <w:tblLook w:firstColumn="1" w:firstRow="1" w:lastColumn="0" w:lastRow="0" w:noHBand="0" w:noVBand="1" w:val="04A0"/>
        <w:tblLayout w:type="fixed"/>
        <w:tblW w:w="5000" w:type="pct"/>
      </w:tblPr>
      <w:tblGrid>
        <w:gridCol w:w="1020"/>
        <w:gridCol w:w="1587"/>
        <w:gridCol w:w="1814"/>
        <w:gridCol w:w="1474"/>
        <w:gridCol w:w="1814"/>
        <w:gridCol w:w="2041"/>
      </w:tblGrid>
      <w:tr>
        <w:tc>
          <w:tcPr>
            <w:tcW w:type="dxa" w:w="1020"/>
            <w:shd w:val="clear" w:fill="DCE6F1"/>
          </w:tcPr>
          <w:p>
            <w:pPr>
              <w:spacing w:after="20"/>
            </w:pPr>
            <w:r/>
            <w:r>
              <w:rPr>
                <w:rFonts w:ascii="Aptos" w:hAnsi="Aptos"/>
                <w:b/>
                <w:sz w:val="17"/>
              </w:rPr>
              <w:t>Year</w:t>
            </w:r>
          </w:p>
        </w:tc>
        <w:tc>
          <w:tcPr>
            <w:tcW w:type="dxa" w:w="1587"/>
            <w:shd w:val="clear" w:fill="DCE6F1"/>
          </w:tcPr>
          <w:p>
            <w:pPr>
              <w:spacing w:after="20"/>
            </w:pPr>
            <w:r/>
            <w:r>
              <w:rPr>
                <w:rFonts w:ascii="Aptos" w:hAnsi="Aptos"/>
                <w:b/>
                <w:sz w:val="17"/>
              </w:rPr>
              <w:t>s12B plant</w:t>
            </w:r>
          </w:p>
        </w:tc>
        <w:tc>
          <w:tcPr>
            <w:tcW w:type="dxa" w:w="1814"/>
            <w:shd w:val="clear" w:fill="DCE6F1"/>
          </w:tcPr>
          <w:p>
            <w:pPr>
              <w:spacing w:after="20"/>
            </w:pPr>
            <w:r/>
            <w:r>
              <w:rPr>
                <w:rFonts w:ascii="Aptos" w:hAnsi="Aptos"/>
                <w:b/>
                <w:sz w:val="17"/>
              </w:rPr>
              <w:t>s12U road and fence</w:t>
            </w:r>
          </w:p>
        </w:tc>
        <w:tc>
          <w:tcPr>
            <w:tcW w:type="dxa" w:w="1474"/>
            <w:shd w:val="clear" w:fill="DCE6F1"/>
          </w:tcPr>
          <w:p>
            <w:pPr>
              <w:spacing w:after="20"/>
            </w:pPr>
            <w:r/>
            <w:r>
              <w:rPr>
                <w:rFonts w:ascii="Aptos" w:hAnsi="Aptos"/>
                <w:b/>
                <w:sz w:val="17"/>
              </w:rPr>
              <w:t>s11(e) grid</w:t>
            </w:r>
          </w:p>
        </w:tc>
        <w:tc>
          <w:tcPr>
            <w:tcW w:type="dxa" w:w="1814"/>
            <w:shd w:val="clear" w:fill="DCE6F1"/>
          </w:tcPr>
          <w:p>
            <w:pPr>
              <w:spacing w:after="20"/>
            </w:pPr>
            <w:r/>
            <w:r>
              <w:rPr>
                <w:rFonts w:ascii="Aptos" w:hAnsi="Aptos"/>
                <w:b/>
                <w:sz w:val="17"/>
              </w:rPr>
              <w:t>Total deduction</w:t>
            </w:r>
          </w:p>
        </w:tc>
        <w:tc>
          <w:tcPr>
            <w:tcW w:type="dxa" w:w="2041"/>
            <w:shd w:val="clear" w:fill="DCE6F1"/>
          </w:tcPr>
          <w:p>
            <w:pPr>
              <w:spacing w:after="20"/>
            </w:pPr>
            <w:r/>
            <w:r>
              <w:rPr>
                <w:rFonts w:ascii="Aptos" w:hAnsi="Aptos"/>
                <w:b/>
                <w:sz w:val="17"/>
              </w:rPr>
              <w:t>Tax saved at 27%</w:t>
            </w:r>
          </w:p>
        </w:tc>
      </w:tr>
      <w:tr>
        <w:tc>
          <w:tcPr>
            <w:tcW w:type="dxa" w:w="1020"/>
          </w:tcPr>
          <w:p>
            <w:pPr>
              <w:spacing w:after="20" w:before="0"/>
            </w:pPr>
            <w:r/>
            <w:r>
              <w:rPr>
                <w:rFonts w:ascii="Aptos" w:hAnsi="Aptos"/>
                <w:b w:val="0"/>
                <w:sz w:val="17"/>
              </w:rPr>
              <w:t>1</w:t>
            </w:r>
          </w:p>
        </w:tc>
        <w:tc>
          <w:tcPr>
            <w:tcW w:type="dxa" w:w="1587"/>
          </w:tcPr>
          <w:p>
            <w:pPr>
              <w:spacing w:after="20" w:before="0"/>
            </w:pPr>
            <w:r/>
            <w:r>
              <w:rPr>
                <w:rFonts w:ascii="Aptos" w:hAnsi="Aptos"/>
                <w:b w:val="0"/>
                <w:sz w:val="17"/>
              </w:rPr>
              <w:t>225.0</w:t>
            </w:r>
          </w:p>
        </w:tc>
        <w:tc>
          <w:tcPr>
            <w:tcW w:type="dxa" w:w="1814"/>
          </w:tcPr>
          <w:p>
            <w:pPr>
              <w:spacing w:after="20" w:before="0"/>
            </w:pPr>
            <w:r/>
            <w:r>
              <w:rPr>
                <w:rFonts w:ascii="Aptos" w:hAnsi="Aptos"/>
                <w:b w:val="0"/>
                <w:sz w:val="17"/>
              </w:rPr>
              <w:t>25.0</w:t>
            </w:r>
          </w:p>
        </w:tc>
        <w:tc>
          <w:tcPr>
            <w:tcW w:type="dxa" w:w="1474"/>
          </w:tcPr>
          <w:p>
            <w:pPr>
              <w:spacing w:after="20" w:before="0"/>
            </w:pPr>
            <w:r/>
            <w:r>
              <w:rPr>
                <w:rFonts w:ascii="Aptos" w:hAnsi="Aptos"/>
                <w:b w:val="0"/>
                <w:sz w:val="17"/>
              </w:rPr>
              <w:t>0.5</w:t>
            </w:r>
          </w:p>
        </w:tc>
        <w:tc>
          <w:tcPr>
            <w:tcW w:type="dxa" w:w="1814"/>
          </w:tcPr>
          <w:p>
            <w:pPr>
              <w:spacing w:after="20" w:before="0"/>
            </w:pPr>
            <w:r/>
            <w:r>
              <w:rPr>
                <w:rFonts w:ascii="Aptos" w:hAnsi="Aptos"/>
                <w:b w:val="0"/>
                <w:sz w:val="17"/>
              </w:rPr>
              <w:t>250.5</w:t>
            </w:r>
          </w:p>
        </w:tc>
        <w:tc>
          <w:tcPr>
            <w:tcW w:type="dxa" w:w="2041"/>
          </w:tcPr>
          <w:p>
            <w:pPr>
              <w:spacing w:after="20" w:before="0"/>
            </w:pPr>
            <w:r/>
            <w:r>
              <w:rPr>
                <w:rFonts w:ascii="Aptos" w:hAnsi="Aptos"/>
                <w:b w:val="0"/>
                <w:sz w:val="17"/>
              </w:rPr>
              <w:t>67.6</w:t>
            </w:r>
          </w:p>
        </w:tc>
      </w:tr>
      <w:tr>
        <w:tc>
          <w:tcPr>
            <w:tcW w:type="dxa" w:w="1020"/>
          </w:tcPr>
          <w:p>
            <w:pPr>
              <w:spacing w:after="20" w:before="0"/>
            </w:pPr>
            <w:r/>
            <w:r>
              <w:rPr>
                <w:rFonts w:ascii="Aptos" w:hAnsi="Aptos"/>
                <w:b w:val="0"/>
                <w:sz w:val="17"/>
              </w:rPr>
              <w:t>2</w:t>
            </w:r>
          </w:p>
        </w:tc>
        <w:tc>
          <w:tcPr>
            <w:tcW w:type="dxa" w:w="1587"/>
          </w:tcPr>
          <w:p>
            <w:pPr>
              <w:spacing w:after="20" w:before="0"/>
            </w:pPr>
            <w:r/>
            <w:r>
              <w:rPr>
                <w:rFonts w:ascii="Aptos" w:hAnsi="Aptos"/>
                <w:b w:val="0"/>
                <w:sz w:val="17"/>
              </w:rPr>
              <w:t>135.0</w:t>
            </w:r>
          </w:p>
        </w:tc>
        <w:tc>
          <w:tcPr>
            <w:tcW w:type="dxa" w:w="1814"/>
          </w:tcPr>
          <w:p>
            <w:pPr>
              <w:spacing w:after="20" w:before="0"/>
            </w:pPr>
            <w:r/>
            <w:r>
              <w:rPr>
                <w:rFonts w:ascii="Aptos" w:hAnsi="Aptos"/>
                <w:b w:val="0"/>
                <w:sz w:val="17"/>
              </w:rPr>
              <w:t>—</w:t>
            </w:r>
          </w:p>
        </w:tc>
        <w:tc>
          <w:tcPr>
            <w:tcW w:type="dxa" w:w="1474"/>
          </w:tcPr>
          <w:p>
            <w:pPr>
              <w:spacing w:after="20" w:before="0"/>
            </w:pPr>
            <w:r/>
            <w:r>
              <w:rPr>
                <w:rFonts w:ascii="Aptos" w:hAnsi="Aptos"/>
                <w:b w:val="0"/>
                <w:sz w:val="17"/>
              </w:rPr>
              <w:t>3.0</w:t>
            </w:r>
          </w:p>
        </w:tc>
        <w:tc>
          <w:tcPr>
            <w:tcW w:type="dxa" w:w="1814"/>
          </w:tcPr>
          <w:p>
            <w:pPr>
              <w:spacing w:after="20" w:before="0"/>
            </w:pPr>
            <w:r/>
            <w:r>
              <w:rPr>
                <w:rFonts w:ascii="Aptos" w:hAnsi="Aptos"/>
                <w:b w:val="0"/>
                <w:sz w:val="17"/>
              </w:rPr>
              <w:t>138.0</w:t>
            </w:r>
          </w:p>
        </w:tc>
        <w:tc>
          <w:tcPr>
            <w:tcW w:type="dxa" w:w="2041"/>
          </w:tcPr>
          <w:p>
            <w:pPr>
              <w:spacing w:after="20" w:before="0"/>
            </w:pPr>
            <w:r/>
            <w:r>
              <w:rPr>
                <w:rFonts w:ascii="Aptos" w:hAnsi="Aptos"/>
                <w:b w:val="0"/>
                <w:sz w:val="17"/>
              </w:rPr>
              <w:t>37.3</w:t>
            </w:r>
          </w:p>
        </w:tc>
      </w:tr>
      <w:tr>
        <w:tc>
          <w:tcPr>
            <w:tcW w:type="dxa" w:w="1020"/>
          </w:tcPr>
          <w:p>
            <w:pPr>
              <w:spacing w:after="20" w:before="0"/>
            </w:pPr>
            <w:r/>
            <w:r>
              <w:rPr>
                <w:rFonts w:ascii="Aptos" w:hAnsi="Aptos"/>
                <w:b w:val="0"/>
                <w:sz w:val="17"/>
              </w:rPr>
              <w:t>3</w:t>
            </w:r>
          </w:p>
        </w:tc>
        <w:tc>
          <w:tcPr>
            <w:tcW w:type="dxa" w:w="1587"/>
          </w:tcPr>
          <w:p>
            <w:pPr>
              <w:spacing w:after="20" w:before="0"/>
            </w:pPr>
            <w:r/>
            <w:r>
              <w:rPr>
                <w:rFonts w:ascii="Aptos" w:hAnsi="Aptos"/>
                <w:b w:val="0"/>
                <w:sz w:val="17"/>
              </w:rPr>
              <w:t>90.0</w:t>
            </w:r>
          </w:p>
        </w:tc>
        <w:tc>
          <w:tcPr>
            <w:tcW w:type="dxa" w:w="1814"/>
          </w:tcPr>
          <w:p>
            <w:pPr>
              <w:spacing w:after="20" w:before="0"/>
            </w:pPr>
            <w:r/>
            <w:r>
              <w:rPr>
                <w:rFonts w:ascii="Aptos" w:hAnsi="Aptos"/>
                <w:b w:val="0"/>
                <w:sz w:val="17"/>
              </w:rPr>
              <w:t>—</w:t>
            </w:r>
          </w:p>
        </w:tc>
        <w:tc>
          <w:tcPr>
            <w:tcW w:type="dxa" w:w="1474"/>
          </w:tcPr>
          <w:p>
            <w:pPr>
              <w:spacing w:after="20" w:before="0"/>
            </w:pPr>
            <w:r/>
            <w:r>
              <w:rPr>
                <w:rFonts w:ascii="Aptos" w:hAnsi="Aptos"/>
                <w:b w:val="0"/>
                <w:sz w:val="17"/>
              </w:rPr>
              <w:t>3.0</w:t>
            </w:r>
          </w:p>
        </w:tc>
        <w:tc>
          <w:tcPr>
            <w:tcW w:type="dxa" w:w="1814"/>
          </w:tcPr>
          <w:p>
            <w:pPr>
              <w:spacing w:after="20" w:before="0"/>
            </w:pPr>
            <w:r/>
            <w:r>
              <w:rPr>
                <w:rFonts w:ascii="Aptos" w:hAnsi="Aptos"/>
                <w:b w:val="0"/>
                <w:sz w:val="17"/>
              </w:rPr>
              <w:t>93.0</w:t>
            </w:r>
          </w:p>
        </w:tc>
        <w:tc>
          <w:tcPr>
            <w:tcW w:type="dxa" w:w="2041"/>
          </w:tcPr>
          <w:p>
            <w:pPr>
              <w:spacing w:after="20" w:before="0"/>
            </w:pPr>
            <w:r/>
            <w:r>
              <w:rPr>
                <w:rFonts w:ascii="Aptos" w:hAnsi="Aptos"/>
                <w:b w:val="0"/>
                <w:sz w:val="17"/>
              </w:rPr>
              <w:t>25.1</w:t>
            </w:r>
          </w:p>
        </w:tc>
      </w:tr>
      <w:tr>
        <w:tc>
          <w:tcPr>
            <w:tcW w:type="dxa" w:w="1020"/>
          </w:tcPr>
          <w:p>
            <w:pPr>
              <w:spacing w:after="20" w:before="0"/>
            </w:pPr>
            <w:r/>
            <w:r>
              <w:rPr>
                <w:rFonts w:ascii="Aptos" w:hAnsi="Aptos"/>
                <w:b w:val="0"/>
                <w:sz w:val="17"/>
              </w:rPr>
              <w:t>4 to 20</w:t>
            </w:r>
          </w:p>
        </w:tc>
        <w:tc>
          <w:tcPr>
            <w:tcW w:type="dxa" w:w="1587"/>
          </w:tcPr>
          <w:p>
            <w:pPr>
              <w:spacing w:after="20" w:before="0"/>
            </w:pPr>
            <w:r/>
            <w:r>
              <w:rPr>
                <w:rFonts w:ascii="Aptos" w:hAnsi="Aptos"/>
                <w:b w:val="0"/>
                <w:sz w:val="17"/>
              </w:rPr>
              <w:t>—</w:t>
            </w:r>
          </w:p>
        </w:tc>
        <w:tc>
          <w:tcPr>
            <w:tcW w:type="dxa" w:w="1814"/>
          </w:tcPr>
          <w:p>
            <w:pPr>
              <w:spacing w:after="20" w:before="0"/>
            </w:pPr>
            <w:r/>
            <w:r>
              <w:rPr>
                <w:rFonts w:ascii="Aptos" w:hAnsi="Aptos"/>
                <w:b w:val="0"/>
                <w:sz w:val="17"/>
              </w:rPr>
              <w:t>—</w:t>
            </w:r>
          </w:p>
        </w:tc>
        <w:tc>
          <w:tcPr>
            <w:tcW w:type="dxa" w:w="1474"/>
          </w:tcPr>
          <w:p>
            <w:pPr>
              <w:spacing w:after="20" w:before="0"/>
            </w:pPr>
            <w:r/>
            <w:r>
              <w:rPr>
                <w:rFonts w:ascii="Aptos" w:hAnsi="Aptos"/>
                <w:b w:val="0"/>
                <w:sz w:val="17"/>
              </w:rPr>
              <w:t>3.0 a year</w:t>
            </w:r>
          </w:p>
        </w:tc>
        <w:tc>
          <w:tcPr>
            <w:tcW w:type="dxa" w:w="1814"/>
          </w:tcPr>
          <w:p>
            <w:pPr>
              <w:spacing w:after="20" w:before="0"/>
            </w:pPr>
            <w:r/>
            <w:r>
              <w:rPr>
                <w:rFonts w:ascii="Aptos" w:hAnsi="Aptos"/>
                <w:b w:val="0"/>
                <w:sz w:val="17"/>
              </w:rPr>
              <w:t>3.0 a year</w:t>
            </w:r>
          </w:p>
        </w:tc>
        <w:tc>
          <w:tcPr>
            <w:tcW w:type="dxa" w:w="2041"/>
          </w:tcPr>
          <w:p>
            <w:pPr>
              <w:spacing w:after="20" w:before="0"/>
            </w:pPr>
            <w:r/>
            <w:r>
              <w:rPr>
                <w:rFonts w:ascii="Aptos" w:hAnsi="Aptos"/>
                <w:b w:val="0"/>
                <w:sz w:val="17"/>
              </w:rPr>
              <w:t>0.8 a year</w:t>
            </w:r>
          </w:p>
        </w:tc>
      </w:tr>
      <w:tr>
        <w:tc>
          <w:tcPr>
            <w:tcW w:type="dxa" w:w="1020"/>
          </w:tcPr>
          <w:p>
            <w:pPr>
              <w:spacing w:after="20" w:before="0"/>
            </w:pPr>
            <w:r/>
            <w:r>
              <w:rPr>
                <w:rFonts w:ascii="Aptos" w:hAnsi="Aptos"/>
                <w:b w:val="0"/>
                <w:sz w:val="17"/>
              </w:rPr>
              <w:t>21</w:t>
            </w:r>
          </w:p>
        </w:tc>
        <w:tc>
          <w:tcPr>
            <w:tcW w:type="dxa" w:w="1587"/>
          </w:tcPr>
          <w:p>
            <w:pPr>
              <w:spacing w:after="20" w:before="0"/>
            </w:pPr>
            <w:r/>
            <w:r>
              <w:rPr>
                <w:rFonts w:ascii="Aptos" w:hAnsi="Aptos"/>
                <w:b w:val="0"/>
                <w:sz w:val="17"/>
              </w:rPr>
              <w:t>—</w:t>
            </w:r>
          </w:p>
        </w:tc>
        <w:tc>
          <w:tcPr>
            <w:tcW w:type="dxa" w:w="1814"/>
          </w:tcPr>
          <w:p>
            <w:pPr>
              <w:spacing w:after="20" w:before="0"/>
            </w:pPr>
            <w:r/>
            <w:r>
              <w:rPr>
                <w:rFonts w:ascii="Aptos" w:hAnsi="Aptos"/>
                <w:b w:val="0"/>
                <w:sz w:val="17"/>
              </w:rPr>
              <w:t>—</w:t>
            </w:r>
          </w:p>
        </w:tc>
        <w:tc>
          <w:tcPr>
            <w:tcW w:type="dxa" w:w="1474"/>
          </w:tcPr>
          <w:p>
            <w:pPr>
              <w:spacing w:after="20" w:before="0"/>
            </w:pPr>
            <w:r/>
            <w:r>
              <w:rPr>
                <w:rFonts w:ascii="Aptos" w:hAnsi="Aptos"/>
                <w:b w:val="0"/>
                <w:sz w:val="17"/>
              </w:rPr>
              <w:t>2.5</w:t>
            </w:r>
          </w:p>
        </w:tc>
        <w:tc>
          <w:tcPr>
            <w:tcW w:type="dxa" w:w="1814"/>
          </w:tcPr>
          <w:p>
            <w:pPr>
              <w:spacing w:after="20" w:before="0"/>
            </w:pPr>
            <w:r/>
            <w:r>
              <w:rPr>
                <w:rFonts w:ascii="Aptos" w:hAnsi="Aptos"/>
                <w:b w:val="0"/>
                <w:sz w:val="17"/>
              </w:rPr>
              <w:t>2.5</w:t>
            </w:r>
          </w:p>
        </w:tc>
        <w:tc>
          <w:tcPr>
            <w:tcW w:type="dxa" w:w="2041"/>
          </w:tcPr>
          <w:p>
            <w:pPr>
              <w:spacing w:after="20" w:before="0"/>
            </w:pPr>
            <w:r/>
            <w:r>
              <w:rPr>
                <w:rFonts w:ascii="Aptos" w:hAnsi="Aptos"/>
                <w:b w:val="0"/>
                <w:sz w:val="17"/>
              </w:rPr>
              <w:t>0.7</w:t>
            </w:r>
          </w:p>
        </w:tc>
      </w:tr>
      <w:tr>
        <w:tc>
          <w:tcPr>
            <w:tcW w:type="dxa" w:w="1020"/>
          </w:tcPr>
          <w:p>
            <w:pPr>
              <w:spacing w:after="20" w:before="0"/>
            </w:pPr>
            <w:r/>
            <w:r>
              <w:rPr>
                <w:rFonts w:ascii="Aptos" w:hAnsi="Aptos"/>
                <w:b/>
                <w:sz w:val="17"/>
              </w:rPr>
              <w:t>Total</w:t>
            </w:r>
          </w:p>
        </w:tc>
        <w:tc>
          <w:tcPr>
            <w:tcW w:type="dxa" w:w="1587"/>
          </w:tcPr>
          <w:p>
            <w:pPr>
              <w:spacing w:after="20" w:before="0"/>
            </w:pPr>
            <w:r/>
            <w:r>
              <w:rPr>
                <w:rFonts w:ascii="Aptos" w:hAnsi="Aptos"/>
                <w:b/>
                <w:sz w:val="17"/>
              </w:rPr>
              <w:t>450.0</w:t>
            </w:r>
          </w:p>
        </w:tc>
        <w:tc>
          <w:tcPr>
            <w:tcW w:type="dxa" w:w="1814"/>
          </w:tcPr>
          <w:p>
            <w:pPr>
              <w:spacing w:after="20" w:before="0"/>
            </w:pPr>
            <w:r/>
            <w:r>
              <w:rPr>
                <w:rFonts w:ascii="Aptos" w:hAnsi="Aptos"/>
                <w:b/>
                <w:sz w:val="17"/>
              </w:rPr>
              <w:t>25.0</w:t>
            </w:r>
          </w:p>
        </w:tc>
        <w:tc>
          <w:tcPr>
            <w:tcW w:type="dxa" w:w="1474"/>
          </w:tcPr>
          <w:p>
            <w:pPr>
              <w:spacing w:after="20" w:before="0"/>
            </w:pPr>
            <w:r/>
            <w:r>
              <w:rPr>
                <w:rFonts w:ascii="Aptos" w:hAnsi="Aptos"/>
                <w:b/>
                <w:sz w:val="17"/>
              </w:rPr>
              <w:t>60.0</w:t>
            </w:r>
          </w:p>
        </w:tc>
        <w:tc>
          <w:tcPr>
            <w:tcW w:type="dxa" w:w="1814"/>
          </w:tcPr>
          <w:p>
            <w:pPr>
              <w:spacing w:after="20" w:before="0"/>
            </w:pPr>
            <w:r/>
            <w:r>
              <w:rPr>
                <w:rFonts w:ascii="Aptos" w:hAnsi="Aptos"/>
                <w:b/>
                <w:sz w:val="17"/>
              </w:rPr>
              <w:t>535.0</w:t>
            </w:r>
          </w:p>
        </w:tc>
        <w:tc>
          <w:tcPr>
            <w:tcW w:type="dxa" w:w="2041"/>
          </w:tcPr>
          <w:p>
            <w:pPr>
              <w:spacing w:after="20" w:before="0"/>
            </w:pPr>
            <w:r/>
            <w:r>
              <w:rPr>
                <w:rFonts w:ascii="Aptos" w:hAnsi="Aptos"/>
                <w:b/>
                <w:sz w:val="17"/>
              </w:rPr>
              <w:t>144.4</w:t>
            </w:r>
          </w:p>
        </w:tc>
      </w:tr>
    </w:tbl>
    <w:p>
      <w:pPr>
        <w:spacing w:after="40"/>
      </w:pPr>
    </w:p>
    <w:p>
      <w:pPr>
        <w:spacing w:after="80"/>
      </w:pPr>
      <w:r>
        <w:rPr>
          <w:rFonts w:ascii="Aptos" w:hAnsi="Aptos"/>
          <w:b w:val="0"/>
          <w:i w:val="0"/>
          <w:sz w:val="18"/>
        </w:rPr>
        <w:t>All amounts R'million. 90% of the total deduction falls in years 1 to 3, which is where the value of owning the plant comes from. Discounted, the R144.4 million of tax saved is worth roughly R116 million at 10%, R110 million at 13% and R105 million at 16%. Use the project WACC, not these rates.</w:t>
      </w:r>
    </w:p>
    <w:p>
      <w:pPr>
        <w:pStyle w:val="Heading2"/>
        <w:spacing w:after="80"/>
      </w:pPr>
      <w:r>
        <w:t>E.  Who absorbs the deduction — the structuring choice</w:t>
      </w:r>
    </w:p>
    <w:p>
      <w:pPr>
        <w:spacing w:after="80"/>
      </w:pPr>
      <w:r>
        <w:rPr>
          <w:rFonts w:ascii="Aptos" w:hAnsi="Aptos"/>
          <w:b w:val="0"/>
          <w:i w:val="0"/>
          <w:sz w:val="18"/>
        </w:rPr>
        <w:t>The allowance rate is identical in all three columns. What differs is whose taxable income absorbs it. Document 7 page 20 records that the investment may be made with an experienced technical partner but does not state the structure, so this must be established on the day.</w:t>
      </w:r>
    </w:p>
    <w:tbl>
      <w:tblPr>
        <w:tblStyle w:val="TableGrid"/>
        <w:tblW w:type="auto" w:w="0"/>
        <w:tblLayout w:type="fixed"/>
        <w:tblLook w:firstColumn="1" w:firstRow="1" w:lastColumn="0" w:lastRow="0" w:noHBand="0" w:noVBand="1" w:val="04A0"/>
        <w:tblLayout w:type="fixed"/>
        <w:tblW w:w="5000" w:type="pct"/>
      </w:tblPr>
      <w:tblGrid>
        <w:gridCol w:w="1928"/>
        <w:gridCol w:w="1928"/>
        <w:gridCol w:w="2381"/>
        <w:gridCol w:w="3515"/>
      </w:tblGrid>
      <w:tr>
        <w:tc>
          <w:tcPr>
            <w:tcW w:type="dxa" w:w="1928"/>
            <w:shd w:val="clear" w:fill="DCE6F1"/>
          </w:tcPr>
          <w:p>
            <w:pPr>
              <w:spacing w:after="20"/>
            </w:pPr>
            <w:r/>
            <w:r>
              <w:rPr>
                <w:rFonts w:ascii="Aptos" w:hAnsi="Aptos"/>
                <w:b/>
                <w:sz w:val="17"/>
              </w:rPr>
            </w:r>
          </w:p>
        </w:tc>
        <w:tc>
          <w:tcPr>
            <w:tcW w:type="dxa" w:w="1928"/>
            <w:shd w:val="clear" w:fill="DCE6F1"/>
          </w:tcPr>
          <w:p>
            <w:pPr>
              <w:spacing w:after="20"/>
            </w:pPr>
            <w:r/>
            <w:r>
              <w:rPr>
                <w:rFonts w:ascii="Aptos" w:hAnsi="Aptos"/>
                <w:b/>
                <w:sz w:val="17"/>
              </w:rPr>
              <w:t>Axion owns the plant</w:t>
            </w:r>
          </w:p>
        </w:tc>
        <w:tc>
          <w:tcPr>
            <w:tcW w:type="dxa" w:w="2381"/>
            <w:shd w:val="clear" w:fill="DCE6F1"/>
          </w:tcPr>
          <w:p>
            <w:pPr>
              <w:spacing w:after="20"/>
            </w:pPr>
            <w:r/>
            <w:r>
              <w:rPr>
                <w:rFonts w:ascii="Aptos" w:hAnsi="Aptos"/>
                <w:b/>
                <w:sz w:val="17"/>
              </w:rPr>
              <w:t>Joint operation, 50% share</w:t>
            </w:r>
          </w:p>
        </w:tc>
        <w:tc>
          <w:tcPr>
            <w:tcW w:type="dxa" w:w="3515"/>
            <w:shd w:val="clear" w:fill="DCE6F1"/>
          </w:tcPr>
          <w:p>
            <w:pPr>
              <w:spacing w:after="20"/>
            </w:pPr>
            <w:r/>
            <w:r>
              <w:rPr>
                <w:rFonts w:ascii="Aptos" w:hAnsi="Aptos"/>
                <w:b/>
                <w:sz w:val="17"/>
              </w:rPr>
              <w:t>Separate project company</w:t>
            </w:r>
          </w:p>
        </w:tc>
      </w:tr>
      <w:tr>
        <w:tc>
          <w:tcPr>
            <w:tcW w:type="dxa" w:w="1928"/>
          </w:tcPr>
          <w:p>
            <w:pPr>
              <w:spacing w:after="20" w:before="0"/>
            </w:pPr>
            <w:r/>
            <w:r>
              <w:rPr>
                <w:rFonts w:ascii="Aptos" w:hAnsi="Aptos"/>
                <w:b w:val="0"/>
                <w:sz w:val="17"/>
              </w:rPr>
              <w:t>Who claims</w:t>
            </w:r>
          </w:p>
        </w:tc>
        <w:tc>
          <w:tcPr>
            <w:tcW w:type="dxa" w:w="1928"/>
          </w:tcPr>
          <w:p>
            <w:pPr>
              <w:spacing w:after="20" w:before="0"/>
            </w:pPr>
            <w:r/>
            <w:r>
              <w:rPr>
                <w:rFonts w:ascii="Aptos" w:hAnsi="Aptos"/>
                <w:b w:val="0"/>
                <w:sz w:val="17"/>
              </w:rPr>
              <w:t>Axion</w:t>
            </w:r>
          </w:p>
        </w:tc>
        <w:tc>
          <w:tcPr>
            <w:tcW w:type="dxa" w:w="2381"/>
          </w:tcPr>
          <w:p>
            <w:pPr>
              <w:spacing w:after="20" w:before="0"/>
            </w:pPr>
            <w:r/>
            <w:r>
              <w:rPr>
                <w:rFonts w:ascii="Aptos" w:hAnsi="Aptos"/>
                <w:b w:val="0"/>
                <w:sz w:val="17"/>
              </w:rPr>
              <w:t>Axion 50%, partner 50%</w:t>
            </w:r>
          </w:p>
        </w:tc>
        <w:tc>
          <w:tcPr>
            <w:tcW w:type="dxa" w:w="3515"/>
          </w:tcPr>
          <w:p>
            <w:pPr>
              <w:spacing w:after="20" w:before="0"/>
            </w:pPr>
            <w:r/>
            <w:r>
              <w:rPr>
                <w:rFonts w:ascii="Aptos" w:hAnsi="Aptos"/>
                <w:b w:val="0"/>
                <w:sz w:val="17"/>
              </w:rPr>
              <w:t>The company</w:t>
            </w:r>
          </w:p>
        </w:tc>
      </w:tr>
      <w:tr>
        <w:tc>
          <w:tcPr>
            <w:tcW w:type="dxa" w:w="1928"/>
          </w:tcPr>
          <w:p>
            <w:pPr>
              <w:spacing w:after="20" w:before="0"/>
            </w:pPr>
            <w:r/>
            <w:r>
              <w:rPr>
                <w:rFonts w:ascii="Aptos" w:hAnsi="Aptos"/>
                <w:b w:val="0"/>
                <w:sz w:val="17"/>
              </w:rPr>
              <w:t>Year one allowance to Axion</w:t>
            </w:r>
          </w:p>
        </w:tc>
        <w:tc>
          <w:tcPr>
            <w:tcW w:type="dxa" w:w="1928"/>
          </w:tcPr>
          <w:p>
            <w:pPr>
              <w:spacing w:after="20" w:before="0"/>
            </w:pPr>
            <w:r/>
            <w:r>
              <w:rPr>
                <w:rFonts w:ascii="Aptos" w:hAnsi="Aptos"/>
                <w:b w:val="0"/>
                <w:sz w:val="17"/>
              </w:rPr>
              <w:t>R250.5m</w:t>
            </w:r>
          </w:p>
        </w:tc>
        <w:tc>
          <w:tcPr>
            <w:tcW w:type="dxa" w:w="2381"/>
          </w:tcPr>
          <w:p>
            <w:pPr>
              <w:spacing w:after="20" w:before="0"/>
            </w:pPr>
            <w:r/>
            <w:r>
              <w:rPr>
                <w:rFonts w:ascii="Aptos" w:hAnsi="Aptos"/>
                <w:b w:val="0"/>
                <w:sz w:val="17"/>
              </w:rPr>
              <w:t>R125.25m, subject to the s24H(3) at-risk limit</w:t>
            </w:r>
          </w:p>
        </w:tc>
        <w:tc>
          <w:tcPr>
            <w:tcW w:type="dxa" w:w="3515"/>
          </w:tcPr>
          <w:p>
            <w:pPr>
              <w:spacing w:after="20" w:before="0"/>
            </w:pPr>
            <w:r/>
            <w:r>
              <w:rPr>
                <w:rFonts w:ascii="Aptos" w:hAnsi="Aptos"/>
                <w:b w:val="0"/>
                <w:sz w:val="17"/>
              </w:rPr>
              <w:t>Nil. Axion deducts only s11(a) on electricity bought</w:t>
            </w:r>
          </w:p>
        </w:tc>
      </w:tr>
      <w:tr>
        <w:tc>
          <w:tcPr>
            <w:tcW w:type="dxa" w:w="1928"/>
          </w:tcPr>
          <w:p>
            <w:pPr>
              <w:spacing w:after="20" w:before="0"/>
            </w:pPr>
            <w:r/>
            <w:r>
              <w:rPr>
                <w:rFonts w:ascii="Aptos" w:hAnsi="Aptos"/>
                <w:b w:val="0"/>
                <w:sz w:val="17"/>
              </w:rPr>
              <w:t>Tax saved in year one</w:t>
            </w:r>
          </w:p>
        </w:tc>
        <w:tc>
          <w:tcPr>
            <w:tcW w:type="dxa" w:w="1928"/>
          </w:tcPr>
          <w:p>
            <w:pPr>
              <w:spacing w:after="20" w:before="0"/>
            </w:pPr>
            <w:r/>
            <w:r>
              <w:rPr>
                <w:rFonts w:ascii="Aptos" w:hAnsi="Aptos"/>
                <w:b w:val="0"/>
                <w:sz w:val="17"/>
              </w:rPr>
              <w:t>R67.6m</w:t>
            </w:r>
          </w:p>
        </w:tc>
        <w:tc>
          <w:tcPr>
            <w:tcW w:type="dxa" w:w="2381"/>
          </w:tcPr>
          <w:p>
            <w:pPr>
              <w:spacing w:after="20" w:before="0"/>
            </w:pPr>
            <w:r/>
            <w:r>
              <w:rPr>
                <w:rFonts w:ascii="Aptos" w:hAnsi="Aptos"/>
                <w:b w:val="0"/>
                <w:sz w:val="17"/>
              </w:rPr>
              <w:t>R33.8m, if the at-risk amount is sufficient</w:t>
            </w:r>
          </w:p>
        </w:tc>
        <w:tc>
          <w:tcPr>
            <w:tcW w:type="dxa" w:w="3515"/>
          </w:tcPr>
          <w:p>
            <w:pPr>
              <w:spacing w:after="20" w:before="0"/>
            </w:pPr>
            <w:r/>
            <w:r>
              <w:rPr>
                <w:rFonts w:ascii="Aptos" w:hAnsi="Aptos"/>
                <w:b w:val="0"/>
                <w:sz w:val="17"/>
              </w:rPr>
              <w:t>Nil to Axion</w:t>
            </w:r>
          </w:p>
        </w:tc>
      </w:tr>
      <w:tr>
        <w:tc>
          <w:tcPr>
            <w:tcW w:type="dxa" w:w="1928"/>
          </w:tcPr>
          <w:p>
            <w:pPr>
              <w:spacing w:after="20" w:before="0"/>
            </w:pPr>
            <w:r/>
            <w:r>
              <w:rPr>
                <w:rFonts w:ascii="Aptos" w:hAnsi="Aptos"/>
                <w:b w:val="0"/>
                <w:sz w:val="17"/>
              </w:rPr>
              <w:t>Absorbed against</w:t>
            </w:r>
          </w:p>
        </w:tc>
        <w:tc>
          <w:tcPr>
            <w:tcW w:type="dxa" w:w="1928"/>
          </w:tcPr>
          <w:p>
            <w:pPr>
              <w:spacing w:after="20" w:before="0"/>
            </w:pPr>
            <w:r/>
            <w:r>
              <w:rPr>
                <w:rFonts w:ascii="Aptos" w:hAnsi="Aptos"/>
                <w:b w:val="0"/>
                <w:sz w:val="17"/>
              </w:rPr>
              <w:t>Taxable income of about R350m, so fully used</w:t>
            </w:r>
          </w:p>
        </w:tc>
        <w:tc>
          <w:tcPr>
            <w:tcW w:type="dxa" w:w="2381"/>
          </w:tcPr>
          <w:p>
            <w:pPr>
              <w:spacing w:after="20" w:before="0"/>
            </w:pPr>
            <w:r/>
            <w:r>
              <w:rPr>
                <w:rFonts w:ascii="Aptos" w:hAnsi="Aptos"/>
                <w:b w:val="0"/>
                <w:sz w:val="17"/>
              </w:rPr>
              <w:t>Partly used; the excess is carried forward under s24H(4)</w:t>
            </w:r>
          </w:p>
        </w:tc>
        <w:tc>
          <w:tcPr>
            <w:tcW w:type="dxa" w:w="3515"/>
          </w:tcPr>
          <w:p>
            <w:pPr>
              <w:spacing w:after="20" w:before="0"/>
            </w:pPr>
            <w:r/>
            <w:r>
              <w:rPr>
                <w:rFonts w:ascii="Aptos" w:hAnsi="Aptos"/>
                <w:b w:val="0"/>
                <w:sz w:val="17"/>
              </w:rPr>
              <w:t>The company's own income only</w:t>
            </w:r>
          </w:p>
        </w:tc>
      </w:tr>
      <w:tr>
        <w:tc>
          <w:tcPr>
            <w:tcW w:type="dxa" w:w="1928"/>
          </w:tcPr>
          <w:p>
            <w:pPr>
              <w:spacing w:after="20" w:before="0"/>
            </w:pPr>
            <w:r/>
            <w:r>
              <w:rPr>
                <w:rFonts w:ascii="Aptos" w:hAnsi="Aptos"/>
                <w:b w:val="0"/>
                <w:sz w:val="17"/>
              </w:rPr>
              <w:t>Effect of s20(1)(a)</w:t>
            </w:r>
          </w:p>
        </w:tc>
        <w:tc>
          <w:tcPr>
            <w:tcW w:type="dxa" w:w="1928"/>
          </w:tcPr>
          <w:p>
            <w:pPr>
              <w:spacing w:after="20" w:before="0"/>
            </w:pPr>
            <w:r/>
            <w:r>
              <w:rPr>
                <w:rFonts w:ascii="Aptos" w:hAnsi="Aptos"/>
                <w:b w:val="0"/>
                <w:sz w:val="17"/>
              </w:rPr>
              <w:t>None</w:t>
            </w:r>
          </w:p>
        </w:tc>
        <w:tc>
          <w:tcPr>
            <w:tcW w:type="dxa" w:w="2381"/>
          </w:tcPr>
          <w:p>
            <w:pPr>
              <w:spacing w:after="20" w:before="0"/>
            </w:pPr>
            <w:r/>
            <w:r>
              <w:rPr>
                <w:rFonts w:ascii="Aptos" w:hAnsi="Aptos"/>
                <w:b w:val="0"/>
                <w:sz w:val="17"/>
              </w:rPr>
              <w:t>Possible, on any resulting assessed loss</w:t>
            </w:r>
          </w:p>
        </w:tc>
        <w:tc>
          <w:tcPr>
            <w:tcW w:type="dxa" w:w="3515"/>
          </w:tcPr>
          <w:p>
            <w:pPr>
              <w:spacing w:after="20" w:before="0"/>
            </w:pPr>
            <w:r/>
            <w:r>
              <w:rPr>
                <w:rFonts w:ascii="Aptos" w:hAnsi="Aptos"/>
                <w:b w:val="0"/>
                <w:sz w:val="17"/>
              </w:rPr>
              <w:t>Severe. The allowances create an assessed loss in a company with little other income, and the 80% limitation means tax is still paid on 20% of taxable income above R1m while a large loss is carried forward</w:t>
            </w:r>
          </w:p>
        </w:tc>
      </w:tr>
      <w:tr>
        <w:tc>
          <w:tcPr>
            <w:tcW w:type="dxa" w:w="1928"/>
          </w:tcPr>
          <w:p>
            <w:pPr>
              <w:spacing w:after="20" w:before="0"/>
            </w:pPr>
            <w:r/>
            <w:r>
              <w:rPr>
                <w:rFonts w:ascii="Aptos" w:hAnsi="Aptos"/>
                <w:b w:val="0"/>
                <w:sz w:val="17"/>
              </w:rPr>
              <w:t>If the plant accedes to land Axion does not own</w:t>
            </w:r>
          </w:p>
        </w:tc>
        <w:tc>
          <w:tcPr>
            <w:tcW w:type="dxa" w:w="1928"/>
          </w:tcPr>
          <w:p>
            <w:pPr>
              <w:spacing w:after="20" w:before="0"/>
            </w:pPr>
            <w:r/>
            <w:r>
              <w:rPr>
                <w:rFonts w:ascii="Aptos" w:hAnsi="Aptos"/>
                <w:b w:val="0"/>
                <w:sz w:val="17"/>
              </w:rPr>
              <w:t>Nil to Axion, and nil to the landowner, who incurred no cost</w:t>
            </w:r>
          </w:p>
        </w:tc>
        <w:tc>
          <w:tcPr>
            <w:tcW w:type="dxa" w:w="2381"/>
          </w:tcPr>
          <w:p>
            <w:pPr>
              <w:spacing w:after="20" w:before="0"/>
            </w:pPr>
            <w:r/>
            <w:r>
              <w:rPr>
                <w:rFonts w:ascii="Aptos" w:hAnsi="Aptos"/>
                <w:b w:val="0"/>
                <w:sz w:val="17"/>
              </w:rPr>
              <w:t>Nil to Axion</w:t>
            </w:r>
          </w:p>
        </w:tc>
        <w:tc>
          <w:tcPr>
            <w:tcW w:type="dxa" w:w="3515"/>
          </w:tcPr>
          <w:p>
            <w:pPr>
              <w:spacing w:after="20" w:before="0"/>
            </w:pPr>
            <w:r/>
            <w:r>
              <w:rPr>
                <w:rFonts w:ascii="Aptos" w:hAnsi="Aptos"/>
                <w:b w:val="0"/>
                <w:sz w:val="17"/>
              </w:rPr>
              <w:t>Unaffected, provided the company owns the plant</w:t>
            </w:r>
          </w:p>
        </w:tc>
      </w:tr>
    </w:tbl>
    <w:p>
      <w:pPr>
        <w:spacing w:after="40"/>
      </w:pPr>
    </w:p>
    <w:p>
      <w:pPr>
        <w:spacing w:after="80"/>
      </w:pPr>
      <w:r>
        <w:rPr>
          <w:rFonts w:ascii="Aptos" w:hAnsi="Aptos"/>
          <w:b/>
          <w:i w:val="0"/>
          <w:sz w:val="18"/>
        </w:rPr>
        <w:t>The conclusion this drives: holding the plant where there is existing taxable income to shelter converts a deferred deduction into an immediate one. On these figures that is worth the difference between R67.6 million of tax saved in year one and nil. Structure is worth more than the rate.</w:t>
      </w:r>
    </w:p>
    <w:p>
      <w:pPr>
        <w:pStyle w:val="Heading2"/>
        <w:spacing w:after="80"/>
      </w:pPr>
      <w:r>
        <w:t>F.  Tax assumptions and the risk if they are wrong</w:t>
      </w:r>
    </w:p>
    <w:tbl>
      <w:tblPr>
        <w:tblStyle w:val="TableGrid"/>
        <w:tblW w:type="auto" w:w="0"/>
        <w:tblLayout w:type="fixed"/>
        <w:tblLook w:firstColumn="1" w:firstRow="1" w:lastColumn="0" w:lastRow="0" w:noHBand="0" w:noVBand="1" w:val="04A0"/>
        <w:tblLayout w:type="fixed"/>
        <w:tblW w:w="5000" w:type="pct"/>
      </w:tblPr>
      <w:tblGrid>
        <w:gridCol w:w="2608"/>
        <w:gridCol w:w="3288"/>
        <w:gridCol w:w="3855"/>
      </w:tblGrid>
      <w:tr>
        <w:tc>
          <w:tcPr>
            <w:tcW w:type="dxa" w:w="2608"/>
            <w:shd w:val="clear" w:fill="DCE6F1"/>
          </w:tcPr>
          <w:p>
            <w:pPr>
              <w:spacing w:after="20"/>
            </w:pPr>
            <w:r/>
            <w:r>
              <w:rPr>
                <w:rFonts w:ascii="Aptos" w:hAnsi="Aptos"/>
                <w:b/>
                <w:sz w:val="17"/>
              </w:rPr>
              <w:t>Assumption</w:t>
            </w:r>
          </w:p>
        </w:tc>
        <w:tc>
          <w:tcPr>
            <w:tcW w:type="dxa" w:w="3288"/>
            <w:shd w:val="clear" w:fill="DCE6F1"/>
          </w:tcPr>
          <w:p>
            <w:pPr>
              <w:spacing w:after="20"/>
            </w:pPr>
            <w:r/>
            <w:r>
              <w:rPr>
                <w:rFonts w:ascii="Aptos" w:hAnsi="Aptos"/>
                <w:b/>
                <w:sz w:val="17"/>
              </w:rPr>
              <w:t>Risk if the assumption is incorrect</w:t>
            </w:r>
          </w:p>
        </w:tc>
        <w:tc>
          <w:tcPr>
            <w:tcW w:type="dxa" w:w="3855"/>
            <w:shd w:val="clear" w:fill="DCE6F1"/>
          </w:tcPr>
          <w:p>
            <w:pPr>
              <w:spacing w:after="20"/>
            </w:pPr>
            <w:r/>
            <w:r>
              <w:rPr>
                <w:rFonts w:ascii="Aptos" w:hAnsi="Aptos"/>
                <w:b/>
                <w:sz w:val="17"/>
              </w:rPr>
              <w:t>Impact</w:t>
            </w:r>
          </w:p>
        </w:tc>
      </w:tr>
      <w:tr>
        <w:tc>
          <w:tcPr>
            <w:tcW w:type="dxa" w:w="2608"/>
          </w:tcPr>
          <w:p>
            <w:pPr>
              <w:spacing w:after="20" w:before="0"/>
            </w:pPr>
            <w:r/>
            <w:r>
              <w:rPr>
                <w:rFonts w:ascii="Aptos" w:hAnsi="Aptos"/>
                <w:b w:val="0"/>
                <w:sz w:val="17"/>
              </w:rPr>
              <w:t>Axion owns the generation plant and brings it into use for the first time in its own trade.</w:t>
            </w:r>
          </w:p>
        </w:tc>
        <w:tc>
          <w:tcPr>
            <w:tcW w:type="dxa" w:w="3288"/>
          </w:tcPr>
          <w:p>
            <w:pPr>
              <w:spacing w:after="20" w:before="0"/>
            </w:pPr>
            <w:r/>
            <w:r>
              <w:rPr>
                <w:rFonts w:ascii="Aptos" w:hAnsi="Aptos"/>
                <w:b w:val="0"/>
                <w:sz w:val="17"/>
              </w:rPr>
              <w:t>The plant is owned by the technical partner or a project company, or it accedes to land Axion does not own under superficies solo cedit.</w:t>
            </w:r>
          </w:p>
        </w:tc>
        <w:tc>
          <w:tcPr>
            <w:tcW w:type="dxa" w:w="3855"/>
          </w:tcPr>
          <w:p>
            <w:pPr>
              <w:spacing w:after="20" w:before="0"/>
            </w:pPr>
            <w:r/>
            <w:r>
              <w:rPr>
                <w:rFonts w:ascii="Aptos" w:hAnsi="Aptos"/>
                <w:b w:val="0"/>
                <w:sz w:val="17"/>
              </w:rPr>
              <w:t>No s12B allowance to Axion at all. Where the plant accedes to land owned by another party, there is also no deduction to the landowner, who incurred no cost. The entire R144.4 million tax benefit falls away.</w:t>
            </w:r>
          </w:p>
        </w:tc>
      </w:tr>
      <w:tr>
        <w:tc>
          <w:tcPr>
            <w:tcW w:type="dxa" w:w="2608"/>
          </w:tcPr>
          <w:p>
            <w:pPr>
              <w:spacing w:after="20" w:before="0"/>
            </w:pPr>
            <w:r/>
            <w:r>
              <w:rPr>
                <w:rFonts w:ascii="Aptos" w:hAnsi="Aptos"/>
                <w:b w:val="0"/>
                <w:sz w:val="17"/>
              </w:rPr>
              <w:t>Each generating asset draws only on a specified renewable source.</w:t>
            </w:r>
          </w:p>
        </w:tc>
        <w:tc>
          <w:tcPr>
            <w:tcW w:type="dxa" w:w="3288"/>
          </w:tcPr>
          <w:p>
            <w:pPr>
              <w:spacing w:after="20" w:before="0"/>
            </w:pPr>
            <w:r/>
            <w:r>
              <w:rPr>
                <w:rFonts w:ascii="Aptos" w:hAnsi="Aptos"/>
                <w:b w:val="0"/>
                <w:sz w:val="17"/>
              </w:rPr>
              <w:t>An individual asset draws on both renewable and non-renewable sources, for example a hybrid inverter, a shared direct current bus, or a battery charged from both the plant and the diesel generators.</w:t>
            </w:r>
          </w:p>
        </w:tc>
        <w:tc>
          <w:tcPr>
            <w:tcW w:type="dxa" w:w="3855"/>
          </w:tcPr>
          <w:p>
            <w:pPr>
              <w:spacing w:after="20" w:before="0"/>
            </w:pPr>
            <w:r/>
            <w:r>
              <w:rPr>
                <w:rFonts w:ascii="Aptos" w:hAnsi="Aptos"/>
                <w:b w:val="0"/>
                <w:sz w:val="17"/>
              </w:rPr>
              <w:t>That asset qualifies for no deduction at all, with no apportionment. The risk attaches to the individual asset, not to the site, so separate diesel generators elsewhere on site do not taint a standalone renewable plant.</w:t>
            </w:r>
          </w:p>
        </w:tc>
      </w:tr>
      <w:tr>
        <w:tc>
          <w:tcPr>
            <w:tcW w:type="dxa" w:w="2608"/>
          </w:tcPr>
          <w:p>
            <w:pPr>
              <w:spacing w:after="20" w:before="0"/>
            </w:pPr>
            <w:r/>
            <w:r>
              <w:rPr>
                <w:rFonts w:ascii="Aptos" w:hAnsi="Aptos"/>
                <w:b w:val="0"/>
                <w:sz w:val="17"/>
              </w:rPr>
              <w:t>The generation trade test in s12U is met.</w:t>
            </w:r>
          </w:p>
        </w:tc>
        <w:tc>
          <w:tcPr>
            <w:tcW w:type="dxa" w:w="3288"/>
          </w:tcPr>
          <w:p>
            <w:pPr>
              <w:spacing w:after="20" w:before="0"/>
            </w:pPr>
            <w:r/>
            <w:r>
              <w:rPr>
                <w:rFonts w:ascii="Aptos" w:hAnsi="Aptos"/>
                <w:b w:val="0"/>
                <w:sz w:val="17"/>
              </w:rPr>
              <w:t>Generation is solely for Axion's own consumption and no trade of generating electricity is carried on, or capacity does not exceed 5MW.</w:t>
            </w:r>
          </w:p>
        </w:tc>
        <w:tc>
          <w:tcPr>
            <w:tcW w:type="dxa" w:w="3855"/>
          </w:tcPr>
          <w:p>
            <w:pPr>
              <w:spacing w:after="20" w:before="0"/>
            </w:pPr>
            <w:r/>
            <w:r>
              <w:rPr>
                <w:rFonts w:ascii="Aptos" w:hAnsi="Aptos"/>
                <w:b w:val="0"/>
                <w:sz w:val="17"/>
              </w:rPr>
              <w:t>The 100% deduction on roads and fencing is lost and that expenditure falls outside every allowance section. On the illustrative figures, R25 million of year-one deduction and R6.8 million of tax.</w:t>
            </w:r>
          </w:p>
        </w:tc>
      </w:tr>
      <w:tr>
        <w:tc>
          <w:tcPr>
            <w:tcW w:type="dxa" w:w="2608"/>
          </w:tcPr>
          <w:p>
            <w:pPr>
              <w:spacing w:after="20" w:before="0"/>
            </w:pPr>
            <w:r/>
            <w:r>
              <w:rPr>
                <w:rFonts w:ascii="Aptos" w:hAnsi="Aptos"/>
                <w:b w:val="0"/>
                <w:sz w:val="17"/>
              </w:rPr>
              <w:t>Axion has sufficient taxable income in years one to three to absorb the allowances.</w:t>
            </w:r>
          </w:p>
        </w:tc>
        <w:tc>
          <w:tcPr>
            <w:tcW w:type="dxa" w:w="3288"/>
          </w:tcPr>
          <w:p>
            <w:pPr>
              <w:spacing w:after="20" w:before="0"/>
            </w:pPr>
            <w:r/>
            <w:r>
              <w:rPr>
                <w:rFonts w:ascii="Aptos" w:hAnsi="Aptos"/>
                <w:b w:val="0"/>
                <w:sz w:val="17"/>
              </w:rPr>
              <w:t>The plant is held in a structure with little other income, or Axion's own taxable income falls.</w:t>
            </w:r>
          </w:p>
        </w:tc>
        <w:tc>
          <w:tcPr>
            <w:tcW w:type="dxa" w:w="3855"/>
          </w:tcPr>
          <w:p>
            <w:pPr>
              <w:spacing w:after="20" w:before="0"/>
            </w:pPr>
            <w:r/>
            <w:r>
              <w:rPr>
                <w:rFonts w:ascii="Aptos" w:hAnsi="Aptos"/>
                <w:b w:val="0"/>
                <w:sz w:val="17"/>
              </w:rPr>
              <w:t>An assessed loss arises and s20(1)(a) restricts its use to the higher of R1 million or 80% of later taxable income. The tax benefit is deferred over several years and its present value falls sharply.</w:t>
            </w:r>
          </w:p>
        </w:tc>
      </w:tr>
      <w:tr>
        <w:tc>
          <w:tcPr>
            <w:tcW w:type="dxa" w:w="2608"/>
          </w:tcPr>
          <w:p>
            <w:pPr>
              <w:spacing w:after="20" w:before="0"/>
            </w:pPr>
            <w:r/>
            <w:r>
              <w:rPr>
                <w:rFonts w:ascii="Aptos" w:hAnsi="Aptos"/>
                <w:b w:val="0"/>
                <w:sz w:val="17"/>
              </w:rPr>
              <w:t>The plant is funded by a lender that is subject to South African tax on the interest.</w:t>
            </w:r>
          </w:p>
        </w:tc>
        <w:tc>
          <w:tcPr>
            <w:tcW w:type="dxa" w:w="3288"/>
          </w:tcPr>
          <w:p>
            <w:pPr>
              <w:spacing w:after="20" w:before="0"/>
            </w:pPr>
            <w:r/>
            <w:r>
              <w:rPr>
                <w:rFonts w:ascii="Aptos" w:hAnsi="Aptos"/>
                <w:b w:val="0"/>
                <w:sz w:val="17"/>
              </w:rPr>
              <w:t>Funding is provided by a shareholder, the technical partner or an offshore group company in a controlling relationship that is not subject to South African tax on the interest.</w:t>
            </w:r>
          </w:p>
        </w:tc>
        <w:tc>
          <w:tcPr>
            <w:tcW w:type="dxa" w:w="3855"/>
          </w:tcPr>
          <w:p>
            <w:pPr>
              <w:spacing w:after="20" w:before="0"/>
            </w:pPr>
            <w:r/>
            <w:r>
              <w:rPr>
                <w:rFonts w:ascii="Aptos" w:hAnsi="Aptos"/>
                <w:b w:val="0"/>
                <w:sz w:val="17"/>
              </w:rPr>
              <w:t>s23M caps the interest deduction by reference to adjusted taxable income. The excess is carried forward rather than forfeited, so the effect is deferral, but the post-tax cost of debt in the WACC rises.</w:t>
            </w:r>
          </w:p>
        </w:tc>
      </w:tr>
      <w:tr>
        <w:tc>
          <w:tcPr>
            <w:tcW w:type="dxa" w:w="2608"/>
          </w:tcPr>
          <w:p>
            <w:pPr>
              <w:spacing w:after="20" w:before="0"/>
            </w:pPr>
            <w:r/>
            <w:r>
              <w:rPr>
                <w:rFonts w:ascii="Aptos" w:hAnsi="Aptos"/>
                <w:b w:val="0"/>
                <w:sz w:val="17"/>
              </w:rPr>
              <w:t>Assets outside the generation system are correctly classified.</w:t>
            </w:r>
          </w:p>
        </w:tc>
        <w:tc>
          <w:tcPr>
            <w:tcW w:type="dxa" w:w="3288"/>
          </w:tcPr>
          <w:p>
            <w:pPr>
              <w:spacing w:after="20" w:before="0"/>
            </w:pPr>
            <w:r/>
            <w:r>
              <w:rPr>
                <w:rFonts w:ascii="Aptos" w:hAnsi="Aptos"/>
                <w:b w:val="0"/>
                <w:sz w:val="17"/>
              </w:rPr>
              <w:t>Transmission lines, transformers and grid-charged batteries are treated as qualifying for s12B.</w:t>
            </w:r>
          </w:p>
        </w:tc>
        <w:tc>
          <w:tcPr>
            <w:tcW w:type="dxa" w:w="3855"/>
          </w:tcPr>
          <w:p>
            <w:pPr>
              <w:spacing w:after="20" w:before="0"/>
            </w:pPr>
            <w:r/>
            <w:r>
              <w:rPr>
                <w:rFonts w:ascii="Aptos" w:hAnsi="Aptos"/>
                <w:b w:val="0"/>
                <w:sz w:val="17"/>
              </w:rPr>
              <w:t>These assets do not generate electricity and generally fall to s11(e) over a much longer write-off period. Classifying them as s12B overstates early deductions and the NPV.</w:t>
            </w:r>
          </w:p>
        </w:tc>
      </w:tr>
      <w:tr>
        <w:tc>
          <w:tcPr>
            <w:tcW w:type="dxa" w:w="2608"/>
          </w:tcPr>
          <w:p>
            <w:pPr>
              <w:spacing w:after="20" w:before="0"/>
            </w:pPr>
            <w:r/>
            <w:r>
              <w:rPr>
                <w:rFonts w:ascii="Aptos" w:hAnsi="Aptos"/>
                <w:b w:val="0"/>
                <w:sz w:val="17"/>
              </w:rPr>
              <w:t>The write-off period used for s11(e) assets is correct.</w:t>
            </w:r>
          </w:p>
        </w:tc>
        <w:tc>
          <w:tcPr>
            <w:tcW w:type="dxa" w:w="3288"/>
          </w:tcPr>
          <w:p>
            <w:pPr>
              <w:spacing w:after="20" w:before="0"/>
            </w:pPr>
            <w:r/>
            <w:r>
              <w:rPr>
                <w:rFonts w:ascii="Aptos" w:hAnsi="Aptos"/>
                <w:b w:val="0"/>
                <w:sz w:val="17"/>
              </w:rPr>
              <w:t>The IN 47 period for the transmission line and related assets differs from the 20 years assumed.</w:t>
            </w:r>
          </w:p>
        </w:tc>
        <w:tc>
          <w:tcPr>
            <w:tcW w:type="dxa" w:w="3855"/>
          </w:tcPr>
          <w:p>
            <w:pPr>
              <w:spacing w:after="20" w:before="0"/>
            </w:pPr>
            <w:r/>
            <w:r>
              <w:rPr>
                <w:rFonts w:ascii="Aptos" w:hAnsi="Aptos"/>
                <w:b w:val="0"/>
                <w:sz w:val="17"/>
              </w:rPr>
              <w:t>A modelling error only, but it shifts the timing of a R60 million deduction.</w:t>
            </w:r>
          </w:p>
        </w:tc>
      </w:tr>
    </w:tbl>
    <w:p>
      <w:pPr>
        <w:spacing w:after="40"/>
      </w:pPr>
    </w:p>
    <w:p>
      <w:pPr>
        <w:pStyle w:val="Heading2"/>
        <w:spacing w:after="80"/>
      </w:pPr>
      <w:r>
        <w:t>G.  Read-across to the decision</w:t>
      </w:r>
    </w:p>
    <w:tbl>
      <w:tblPr>
        <w:tblStyle w:val="TableGrid"/>
        <w:tblW w:type="auto" w:w="0"/>
        <w:tblLayout w:type="fixed"/>
        <w:tblLook w:firstColumn="1" w:firstRow="1" w:lastColumn="0" w:lastRow="0" w:noHBand="0" w:noVBand="1" w:val="04A0"/>
        <w:tblLayout w:type="fixed"/>
        <w:tblW w:w="5000" w:type="pct"/>
      </w:tblPr>
      <w:tblGrid>
        <w:gridCol w:w="1701"/>
        <w:gridCol w:w="3742"/>
        <w:gridCol w:w="4309"/>
      </w:tblGrid>
      <w:tr>
        <w:tc>
          <w:tcPr>
            <w:tcW w:type="dxa" w:w="1701"/>
            <w:shd w:val="clear" w:fill="DCE6F1"/>
          </w:tcPr>
          <w:p>
            <w:pPr>
              <w:spacing w:after="20"/>
            </w:pPr>
            <w:r/>
            <w:r>
              <w:rPr>
                <w:rFonts w:ascii="Aptos" w:hAnsi="Aptos"/>
                <w:b/>
                <w:sz w:val="17"/>
              </w:rPr>
            </w:r>
          </w:p>
        </w:tc>
        <w:tc>
          <w:tcPr>
            <w:tcW w:type="dxa" w:w="3742"/>
            <w:shd w:val="clear" w:fill="DCE6F1"/>
          </w:tcPr>
          <w:p>
            <w:pPr>
              <w:spacing w:after="20"/>
            </w:pPr>
            <w:r/>
            <w:r>
              <w:rPr>
                <w:rFonts w:ascii="Aptos" w:hAnsi="Aptos"/>
                <w:b/>
                <w:sz w:val="17"/>
              </w:rPr>
              <w:t>Additional PPAs</w:t>
            </w:r>
          </w:p>
        </w:tc>
        <w:tc>
          <w:tcPr>
            <w:tcW w:type="dxa" w:w="4309"/>
            <w:shd w:val="clear" w:fill="DCE6F1"/>
          </w:tcPr>
          <w:p>
            <w:pPr>
              <w:spacing w:after="20"/>
            </w:pPr>
            <w:r/>
            <w:r>
              <w:rPr>
                <w:rFonts w:ascii="Aptos" w:hAnsi="Aptos"/>
                <w:b/>
                <w:sz w:val="17"/>
              </w:rPr>
              <w:t>Direct investment</w:t>
            </w:r>
          </w:p>
        </w:tc>
      </w:tr>
      <w:tr>
        <w:tc>
          <w:tcPr>
            <w:tcW w:type="dxa" w:w="1701"/>
          </w:tcPr>
          <w:p>
            <w:pPr>
              <w:spacing w:after="20" w:before="0"/>
            </w:pPr>
            <w:r/>
            <w:r>
              <w:rPr>
                <w:rFonts w:ascii="Aptos" w:hAnsi="Aptos"/>
                <w:b/>
                <w:sz w:val="17"/>
              </w:rPr>
              <w:t>Value</w:t>
            </w:r>
          </w:p>
        </w:tc>
        <w:tc>
          <w:tcPr>
            <w:tcW w:type="dxa" w:w="3742"/>
          </w:tcPr>
          <w:p>
            <w:pPr>
              <w:spacing w:after="20" w:before="0"/>
            </w:pPr>
            <w:r/>
            <w:r>
              <w:rPr>
                <w:rFonts w:ascii="Aptos" w:hAnsi="Aptos"/>
                <w:b w:val="0"/>
                <w:sz w:val="17"/>
              </w:rPr>
              <w:t>Tax scales the cost and nothing more. A tariff of R1.10 per kWh is R0.803 per kWh after tax. No present value gain, no present value cost.</w:t>
            </w:r>
          </w:p>
        </w:tc>
        <w:tc>
          <w:tcPr>
            <w:tcW w:type="dxa" w:w="4309"/>
          </w:tcPr>
          <w:p>
            <w:pPr>
              <w:spacing w:after="20" w:before="0"/>
            </w:pPr>
            <w:r/>
            <w:r>
              <w:rPr>
                <w:rFonts w:ascii="Aptos" w:hAnsi="Aptos"/>
                <w:b w:val="0"/>
                <w:sz w:val="17"/>
              </w:rPr>
              <w:t>Front-loaded allowances create a genuine present value gain, because 90% of the deduction falls in years one to three. Against this, the recoupment on exit is a real cash cost in the final year.</w:t>
            </w:r>
          </w:p>
        </w:tc>
      </w:tr>
      <w:tr>
        <w:tc>
          <w:tcPr>
            <w:tcW w:type="dxa" w:w="1701"/>
          </w:tcPr>
          <w:p>
            <w:pPr>
              <w:spacing w:after="20" w:before="0"/>
            </w:pPr>
            <w:r/>
            <w:r>
              <w:rPr>
                <w:rFonts w:ascii="Aptos" w:hAnsi="Aptos"/>
                <w:b/>
                <w:sz w:val="17"/>
              </w:rPr>
              <w:t>Risk</w:t>
            </w:r>
          </w:p>
        </w:tc>
        <w:tc>
          <w:tcPr>
            <w:tcW w:type="dxa" w:w="3742"/>
          </w:tcPr>
          <w:p>
            <w:pPr>
              <w:spacing w:after="20" w:before="0"/>
            </w:pPr>
            <w:r/>
            <w:r>
              <w:rPr>
                <w:rFonts w:ascii="Aptos" w:hAnsi="Aptos"/>
                <w:b w:val="0"/>
                <w:sz w:val="17"/>
              </w:rPr>
              <w:t>Low tax risk. The only real exposure is that the producer must be a registered vendor for the input tax to be deductible.</w:t>
            </w:r>
          </w:p>
        </w:tc>
        <w:tc>
          <w:tcPr>
            <w:tcW w:type="dxa" w:w="4309"/>
          </w:tcPr>
          <w:p>
            <w:pPr>
              <w:spacing w:after="20" w:before="0"/>
            </w:pPr>
            <w:r/>
            <w:r>
              <w:rPr>
                <w:rFonts w:ascii="Aptos" w:hAnsi="Aptos"/>
                <w:b w:val="0"/>
                <w:sz w:val="17"/>
              </w:rPr>
              <w:t>Four conditions each carry the whole allowance: ownership, asset-level source purity, the s12U trade test, and sufficient taxable income to absorb the deduction. Each is binary.</w:t>
            </w:r>
          </w:p>
        </w:tc>
      </w:tr>
      <w:tr>
        <w:tc>
          <w:tcPr>
            <w:tcW w:type="dxa" w:w="1701"/>
          </w:tcPr>
          <w:p>
            <w:pPr>
              <w:spacing w:after="20" w:before="0"/>
            </w:pPr>
            <w:r/>
            <w:r>
              <w:rPr>
                <w:rFonts w:ascii="Aptos" w:hAnsi="Aptos"/>
                <w:b/>
                <w:sz w:val="17"/>
              </w:rPr>
              <w:t>Strategic</w:t>
            </w:r>
          </w:p>
        </w:tc>
        <w:tc>
          <w:tcPr>
            <w:tcW w:type="dxa" w:w="3742"/>
          </w:tcPr>
          <w:p>
            <w:pPr>
              <w:spacing w:after="20" w:before="0"/>
            </w:pPr>
            <w:r/>
            <w:r>
              <w:rPr>
                <w:rFonts w:ascii="Aptos" w:hAnsi="Aptos"/>
                <w:b w:val="0"/>
                <w:sz w:val="17"/>
              </w:rPr>
              <w:t>Predictable and stable tax position over a contract of three to five years. No reliance on an incentive that may change.</w:t>
            </w:r>
          </w:p>
        </w:tc>
        <w:tc>
          <w:tcPr>
            <w:tcW w:type="dxa" w:w="4309"/>
          </w:tcPr>
          <w:p>
            <w:pPr>
              <w:spacing w:after="20" w:before="0"/>
            </w:pPr>
            <w:r/>
            <w:r>
              <w:rPr>
                <w:rFonts w:ascii="Aptos" w:hAnsi="Aptos"/>
                <w:b w:val="0"/>
                <w:sz w:val="17"/>
              </w:rPr>
              <w:t>The s12BA window, which gave 125% in the year of first use, closed on 28 February 2025. Plant brought into use now receives 50 / 30 / 20. The tax case for owning is weaker than it was two years ago and must not be built on s12BA. Separately, confirm whether the existing on-site solar plant was first brought into use between 1 March 2023 and 28 February 2025, which would have entitled Axion to 125% of its cost in that year.</w:t>
            </w:r>
          </w:p>
        </w:tc>
      </w:tr>
      <w:tr>
        <w:tc>
          <w:tcPr>
            <w:tcW w:type="dxa" w:w="1701"/>
          </w:tcPr>
          <w:p>
            <w:pPr>
              <w:spacing w:after="20" w:before="0"/>
            </w:pPr>
            <w:r/>
            <w:r>
              <w:rPr>
                <w:rFonts w:ascii="Aptos" w:hAnsi="Aptos"/>
                <w:b/>
                <w:sz w:val="17"/>
              </w:rPr>
              <w:t>Capital allocation</w:t>
            </w:r>
          </w:p>
        </w:tc>
        <w:tc>
          <w:tcPr>
            <w:tcW w:type="dxa" w:w="3742"/>
          </w:tcPr>
          <w:p>
            <w:pPr>
              <w:spacing w:after="20" w:before="0"/>
            </w:pPr>
            <w:r/>
            <w:r>
              <w:rPr>
                <w:rFonts w:ascii="Aptos" w:hAnsi="Aptos"/>
                <w:b w:val="0"/>
                <w:sz w:val="17"/>
              </w:rPr>
              <w:t>No capital required, so no capital is diverted from the remaining 5MW of saleable IT capacity or the undeveloped land.</w:t>
            </w:r>
          </w:p>
        </w:tc>
        <w:tc>
          <w:tcPr>
            <w:tcW w:type="dxa" w:w="4309"/>
          </w:tcPr>
          <w:p>
            <w:pPr>
              <w:spacing w:after="20" w:before="0"/>
            </w:pPr>
            <w:r/>
            <w:r>
              <w:rPr>
                <w:rFonts w:ascii="Aptos" w:hAnsi="Aptos"/>
                <w:b w:val="0"/>
                <w:sz w:val="17"/>
              </w:rPr>
              <w:t>Of the R550 million illustrated, R15 million of land attracts no allowance under any section. The tax benefit of the remaining R535 million is realised early only if the plant sits where there is taxable income to absorb it.</w:t>
            </w:r>
          </w:p>
        </w:tc>
      </w:tr>
    </w:tbl>
    <w:p>
      <w:pPr>
        <w:spacing w:after="40"/>
      </w:pPr>
    </w:p>
    <w:sectPr w:rsidR="00FC693F" w:rsidRPr="0006063C" w:rsidSect="00034616">
      <w:footerReference w:type="default" r:id="rId9"/>
      <w:pgSz w:w="11906" w:h="16838"/>
      <w:pgMar w:top="107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8C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