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2"/>
          <w:szCs w:val="32"/>
        </w:rPr>
        <w:t xml:space="preserve">Axion — Renewable Energy Tax Research</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9  |  APC 2026 September Qualifying Exam  |  Axion Digital Infrastructure (Pty) Ltd  |  Document 7, page 18</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Left column, black</w:t>
            </w:r>
            <w:r>
              <w:rPr>
                <w:rFonts w:ascii="Arial" w:cs="Arial" w:eastAsia="Arial" w:hAnsi="Arial"/>
                <w:b w:val="false"/>
                <w:bCs w:val="false"/>
                <w:i w:val="false"/>
                <w:iCs w:val="false"/>
                <w:color w:val="000000"/>
                <w:sz w:val="18"/>
                <w:szCs w:val="18"/>
              </w:rPr>
              <w:t xml:space="preserve"> — the legislation, paraphrased. </w:t>
            </w:r>
            <w:r>
              <w:rPr>
                <w:rFonts w:ascii="Arial" w:cs="Arial" w:eastAsia="Arial" w:hAnsi="Arial"/>
                <w:b/>
                <w:bCs/>
                <w:i w:val="false"/>
                <w:iCs w:val="false"/>
                <w:color w:val="000000"/>
                <w:sz w:val="18"/>
                <w:szCs w:val="18"/>
              </w:rPr>
              <w:t xml:space="preserve">Right column</w:t>
            </w:r>
            <w:r>
              <w:rPr>
                <w:rFonts w:ascii="Arial" w:cs="Arial" w:eastAsia="Arial" w:hAnsi="Arial"/>
                <w:b w:val="false"/>
                <w:bCs w:val="false"/>
                <w:i w:val="false"/>
                <w:iCs w:val="false"/>
                <w:color w:val="000000"/>
                <w:sz w:val="18"/>
                <w:szCs w:val="18"/>
              </w:rPr>
              <w:t xml:space="preserve"> — </w:t>
            </w:r>
            <w:r>
              <w:rPr>
                <w:rFonts w:ascii="Arial" w:cs="Arial" w:eastAsia="Arial" w:hAnsi="Arial"/>
                <w:b w:val="false"/>
                <w:bCs w:val="false"/>
                <w:i w:val="false"/>
                <w:iCs w:val="false"/>
                <w:color w:val="0070C0"/>
                <w:sz w:val="18"/>
                <w:szCs w:val="18"/>
              </w:rPr>
              <w:t xml:space="preserve">applied to Axion, in blue, with a worked number.</w:t>
            </w:r>
          </w:p>
          <w:p>
            <w:pPr>
              <w:keepNext w:val="false"/>
              <w:spacing w:after="60" w:before="0" w:line="250" w:lineRule="auto"/>
            </w:pPr>
            <w:r>
              <w:rPr>
                <w:rFonts w:ascii="Arial" w:cs="Arial" w:eastAsia="Arial" w:hAnsi="Arial"/>
                <w:b w:val="false"/>
                <w:bCs w:val="false"/>
                <w:i w:val="false"/>
                <w:iCs w:val="false"/>
                <w:color w:val="0070C0"/>
                <w:sz w:val="18"/>
                <w:szCs w:val="18"/>
              </w:rPr>
              <w:t xml:space="preserve">[WAITING FOR INPUT — information on the day</w:t>
            </w:r>
            <w:r>
              <w:rPr>
                <w:rFonts w:ascii="Arial" w:cs="Arial" w:eastAsia="Arial" w:hAnsi="Arial"/>
                <w:b w:val="false"/>
                <w:bCs w:val="false"/>
                <w:i w:val="false"/>
                <w:iCs w:val="false"/>
                <w:color w:val="000000"/>
                <w:sz w:val="18"/>
                <w:szCs w:val="18"/>
              </w:rPr>
              <w:t xml:space="preserve">] marks a missing fact. The law is still applied on an assumed figure, so on the day you replace one number and the answer falls out.</w:t>
            </w:r>
          </w:p>
          <w:p>
            <w:pPr>
              <w:keepNext w:val="false"/>
              <w:spacing w:after="0" w:before="0" w:line="250" w:lineRule="auto"/>
            </w:pPr>
            <w:r>
              <w:rPr>
                <w:rFonts w:ascii="Arial" w:cs="Arial" w:eastAsia="Arial" w:hAnsi="Arial"/>
                <w:b w:val="false"/>
                <w:bCs w:val="false"/>
                <w:i w:val="false"/>
                <w:iCs w:val="false"/>
                <w:color w:val="000000"/>
                <w:sz w:val="18"/>
                <w:szCs w:val="18"/>
              </w:rPr>
              <w:t xml:space="preserve">Sections A to J cover </w:t>
            </w:r>
            <w:r>
              <w:rPr>
                <w:rFonts w:ascii="Arial" w:cs="Arial" w:eastAsia="Arial" w:hAnsi="Arial"/>
                <w:b/>
                <w:bCs/>
                <w:i w:val="false"/>
                <w:iCs w:val="false"/>
                <w:color w:val="000000"/>
                <w:sz w:val="18"/>
                <w:szCs w:val="18"/>
              </w:rPr>
              <w:t xml:space="preserve">Document 7</w:t>
            </w:r>
            <w:r>
              <w:rPr>
                <w:rFonts w:ascii="Arial" w:cs="Arial" w:eastAsia="Arial" w:hAnsi="Arial"/>
                <w:b w:val="false"/>
                <w:bCs w:val="false"/>
                <w:i w:val="false"/>
                <w:iCs w:val="false"/>
                <w:color w:val="000000"/>
                <w:sz w:val="18"/>
                <w:szCs w:val="18"/>
              </w:rPr>
              <w:t xml:space="preserve">. Section K covers the tax consequences arising from the </w:t>
            </w:r>
            <w:r>
              <w:rPr>
                <w:rFonts w:ascii="Arial" w:cs="Arial" w:eastAsia="Arial" w:hAnsi="Arial"/>
                <w:b/>
                <w:bCs/>
                <w:i w:val="false"/>
                <w:iCs w:val="false"/>
                <w:color w:val="000000"/>
                <w:sz w:val="18"/>
                <w:szCs w:val="18"/>
              </w:rPr>
              <w:t xml:space="preserve">other pre-release documents</w:t>
            </w: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Rate card — verified, current for the 2026/27 year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2266"/>
        <w:gridCol w:w="3708"/>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Rate</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Note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income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27%</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Years ending on or after 31 March 2023. Unchanged in the February 2026 Budget</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Dividends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Unchanged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CGT inclusion rate — company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CGT rate </w:t>
            </w:r>
            <w:r>
              <w:rPr>
                <w:rFonts w:ascii="Arial" w:cs="Arial" w:eastAsia="Arial" w:hAnsi="Arial"/>
                <w:b/>
                <w:bCs/>
                <w:i w:val="false"/>
                <w:iCs w:val="false"/>
                <w:color w:val="000000"/>
                <w:sz w:val="18"/>
                <w:szCs w:val="18"/>
              </w:rPr>
              <w:t xml:space="preserve">21.6%</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Standard rate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renewable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50 / 30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Over three years. Not apportioned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PV solar not exceeding 1MW</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Full write-off in year brought into use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s12BA — enhanced allowance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EXPIRED.</w:t>
            </w:r>
            <w:r>
              <w:rPr>
                <w:rFonts w:ascii="Arial" w:cs="Arial" w:eastAsia="Arial" w:hAnsi="Arial"/>
                <w:b w:val="false"/>
                <w:bCs w:val="false"/>
                <w:i w:val="false"/>
                <w:iCs w:val="false"/>
                <w:color w:val="000000"/>
                <w:sz w:val="18"/>
                <w:szCs w:val="18"/>
              </w:rPr>
              <w:t xml:space="preserve"> Brought into use before 1 March 2025 only</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 roads and fences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 year incurred. Only where generation exceeds 5MW</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s12L — energy efficiency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95c per kWh</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Verified savings. Extended to 31 December 2030</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s12C — manufacturing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40 / 20 / 20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relevant to Axion — see Table 7</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s13quin — commercial buildings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 buildings and improvements</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s20 — assessed loss set-off</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Higher of R1m or 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Of taxable income</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Decision tree — answer these five before you write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721"/>
        <w:gridCol w:w="4120"/>
        <w:gridCol w:w="5459"/>
      </w:tblGrid>
      <w:tr>
        <w:trPr>
          <w:tblHeader/>
        </w:trPr>
        <w:tc>
          <w:tcPr>
            <w:tcW w:type="dxa" w:w="72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Question</w:t>
            </w:r>
          </w:p>
        </w:tc>
        <w:tc>
          <w:tcPr>
            <w:tcW w:type="dxa" w:w="545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Where it takes you</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Who owns the generation plant?</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w:t>
            </w:r>
            <w:r>
              <w:rPr>
                <w:rFonts w:ascii="Arial" w:cs="Arial" w:eastAsia="Arial" w:hAnsi="Arial"/>
                <w:b w:val="false"/>
                <w:bCs w:val="false"/>
                <w:i w:val="false"/>
                <w:iCs w:val="false"/>
                <w:color w:val="0070C0"/>
                <w:sz w:val="18"/>
                <w:szCs w:val="18"/>
              </w:rPr>
              <w:t xml:space="preserve"> → Axion claims s12B, s12U, s12L. Tables 1–5.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Partnership or joint operation</w:t>
            </w:r>
            <w:r>
              <w:rPr>
                <w:rFonts w:ascii="Arial" w:cs="Arial" w:eastAsia="Arial" w:hAnsi="Arial"/>
                <w:b w:val="false"/>
                <w:bCs w:val="false"/>
                <w:i w:val="false"/>
                <w:iCs w:val="false"/>
                <w:color w:val="0070C0"/>
                <w:sz w:val="18"/>
                <w:szCs w:val="18"/>
              </w:rPr>
              <w:t xml:space="preserve"> → s24H, Axion claims its </w:t>
            </w:r>
            <w:r>
              <w:rPr>
                <w:rFonts w:ascii="Arial" w:cs="Arial" w:eastAsia="Arial" w:hAnsi="Arial"/>
                <w:b/>
                <w:bCs/>
                <w:i w:val="false"/>
                <w:iCs w:val="false"/>
                <w:color w:val="0070C0"/>
                <w:sz w:val="18"/>
                <w:szCs w:val="18"/>
              </w:rPr>
              <w:t xml:space="preserve">share</w:t>
            </w:r>
            <w:r>
              <w:rPr>
                <w:rFonts w:ascii="Arial" w:cs="Arial" w:eastAsia="Arial" w:hAnsi="Arial"/>
                <w:b w:val="false"/>
                <w:bCs w:val="false"/>
                <w:i w:val="false"/>
                <w:iCs w:val="false"/>
                <w:color w:val="0070C0"/>
                <w:sz w:val="18"/>
                <w:szCs w:val="18"/>
              </w:rPr>
              <w:t xml:space="preserve">. Table 14.</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Separate company or PPA only</w:t>
            </w:r>
            <w:r>
              <w:rPr>
                <w:rFonts w:ascii="Arial" w:cs="Arial" w:eastAsia="Arial" w:hAnsi="Arial"/>
                <w:b w:val="false"/>
                <w:bCs w:val="false"/>
                <w:i w:val="false"/>
                <w:iCs w:val="false"/>
                <w:color w:val="0070C0"/>
                <w:sz w:val="18"/>
                <w:szCs w:val="18"/>
              </w:rPr>
              <w:t xml:space="preserve"> → Axion claims </w:t>
            </w:r>
            <w:r>
              <w:rPr>
                <w:rFonts w:ascii="Arial" w:cs="Arial" w:eastAsia="Arial" w:hAnsi="Arial"/>
                <w:b/>
                <w:bCs/>
                <w:i w:val="false"/>
                <w:iCs w:val="false"/>
                <w:color w:val="0070C0"/>
                <w:sz w:val="18"/>
                <w:szCs w:val="18"/>
              </w:rPr>
              <w:t xml:space="preserve">no allowance</w:t>
            </w:r>
            <w:r>
              <w:rPr>
                <w:rFonts w:ascii="Arial" w:cs="Arial" w:eastAsia="Arial" w:hAnsi="Arial"/>
                <w:b w:val="false"/>
                <w:bCs w:val="false"/>
                <w:i w:val="false"/>
                <w:iCs w:val="false"/>
                <w:color w:val="0070C0"/>
                <w:sz w:val="18"/>
                <w:szCs w:val="18"/>
              </w:rPr>
              <w:t xml:space="preserve">, only s11(a) on electricity bought. Tables 9 and 14.</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What capacity in MW, and what technology?</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PV solar ≤ 1MW</w:t>
            </w:r>
            <w:r>
              <w:rPr>
                <w:rFonts w:ascii="Arial" w:cs="Arial" w:eastAsia="Arial" w:hAnsi="Arial"/>
                <w:b w:val="false"/>
                <w:bCs w:val="false"/>
                <w:i w:val="false"/>
                <w:iCs w:val="false"/>
                <w:color w:val="0070C0"/>
                <w:sz w:val="18"/>
                <w:szCs w:val="18"/>
              </w:rPr>
              <w:t xml:space="preserve"> → 100% under s12B. </w:t>
            </w:r>
            <w:r>
              <w:rPr>
                <w:rFonts w:ascii="Arial" w:cs="Arial" w:eastAsia="Arial" w:hAnsi="Arial"/>
                <w:b/>
                <w:bCs/>
                <w:i w:val="false"/>
                <w:iCs w:val="false"/>
                <w:color w:val="0070C0"/>
                <w:sz w:val="18"/>
                <w:szCs w:val="18"/>
              </w:rPr>
              <w:t xml:space="preserve">Above 1MW, wind, CSP, hydro ≤ 30MW, biomass</w:t>
            </w:r>
            <w:r>
              <w:rPr>
                <w:rFonts w:ascii="Arial" w:cs="Arial" w:eastAsia="Arial" w:hAnsi="Arial"/>
                <w:b w:val="false"/>
                <w:bCs w:val="false"/>
                <w:i w:val="false"/>
                <w:iCs w:val="false"/>
                <w:color w:val="0070C0"/>
                <w:sz w:val="18"/>
                <w:szCs w:val="18"/>
              </w:rPr>
              <w:t xml:space="preserve"> → 50/30/20.</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Generation exceeds 5MW</w:t>
            </w:r>
            <w:r>
              <w:rPr>
                <w:rFonts w:ascii="Arial" w:cs="Arial" w:eastAsia="Arial" w:hAnsi="Arial"/>
                <w:b w:val="false"/>
                <w:bCs w:val="false"/>
                <w:i w:val="false"/>
                <w:iCs w:val="false"/>
                <w:color w:val="0070C0"/>
                <w:sz w:val="18"/>
                <w:szCs w:val="18"/>
              </w:rPr>
              <w:t xml:space="preserve"> → s12U also available. Below 5MW it is not.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Hydro above 30MW</w:t>
            </w:r>
            <w:r>
              <w:rPr>
                <w:rFonts w:ascii="Arial" w:cs="Arial" w:eastAsia="Arial" w:hAnsi="Arial"/>
                <w:b w:val="false"/>
                <w:bCs w:val="false"/>
                <w:i w:val="false"/>
                <w:iCs w:val="false"/>
                <w:color w:val="0070C0"/>
                <w:sz w:val="18"/>
                <w:szCs w:val="18"/>
              </w:rPr>
              <w:t xml:space="preserve"> → outside s12B entirely → s11(e), Table 6.</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When is it brought into use, against 30 June?</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No apportionment. A day either side of year end moves the </w:t>
            </w:r>
            <w:r>
              <w:rPr>
                <w:rFonts w:ascii="Arial" w:cs="Arial" w:eastAsia="Arial" w:hAnsi="Arial"/>
                <w:b/>
                <w:bCs/>
                <w:i w:val="false"/>
                <w:iCs w:val="false"/>
                <w:color w:val="0070C0"/>
                <w:sz w:val="18"/>
                <w:szCs w:val="18"/>
              </w:rPr>
              <w:t xml:space="preserve">whole</w:t>
            </w:r>
            <w:r>
              <w:rPr>
                <w:rFonts w:ascii="Arial" w:cs="Arial" w:eastAsia="Arial" w:hAnsi="Arial"/>
                <w:b w:val="false"/>
                <w:bCs w:val="false"/>
                <w:i w:val="false"/>
                <w:iCs w:val="false"/>
                <w:color w:val="0070C0"/>
                <w:sz w:val="18"/>
                <w:szCs w:val="18"/>
              </w:rPr>
              <w:t xml:space="preserve"> first-year allowance. Quantify it.</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If the grid connection delays commissioning, </w:t>
            </w:r>
            <w:r>
              <w:rPr>
                <w:rFonts w:ascii="Arial" w:cs="Arial" w:eastAsia="Arial" w:hAnsi="Arial"/>
                <w:b/>
                <w:bCs/>
                <w:i w:val="false"/>
                <w:iCs w:val="false"/>
                <w:color w:val="0070C0"/>
                <w:sz w:val="18"/>
                <w:szCs w:val="18"/>
              </w:rPr>
              <w:t xml:space="preserve">no allowance arises at all</w:t>
            </w:r>
            <w:r>
              <w:rPr>
                <w:rFonts w:ascii="Arial" w:cs="Arial" w:eastAsia="Arial" w:hAnsi="Arial"/>
                <w:b w:val="false"/>
                <w:bCs w:val="false"/>
                <w:i w:val="false"/>
                <w:iCs w:val="false"/>
                <w:color w:val="0070C0"/>
                <w:sz w:val="18"/>
                <w:szCs w:val="18"/>
              </w:rPr>
              <w:t xml:space="preserve"> until the asset is brought into use.</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Is the asset new and unused?</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s12B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require this — second-hand qualifies. s12BA did, but it has expired.</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Is there taxable income to absorb it?</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FY2026 profit before tax was R325m, so on the face of it yes. A large first-year allowance can still create an assessed loss → s20, Table 15.</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Assumed facts used throughout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These numbers are invented.</w:t>
            </w:r>
            <w:r>
              <w:rPr>
                <w:rFonts w:ascii="Arial" w:cs="Arial" w:eastAsia="Arial" w:hAnsi="Arial"/>
                <w:b w:val="false"/>
                <w:bCs w:val="false"/>
                <w:i w:val="false"/>
                <w:iCs w:val="false"/>
                <w:color w:val="000000"/>
                <w:sz w:val="18"/>
                <w:szCs w:val="18"/>
              </w:rPr>
              <w:t xml:space="preserve"> The pre-release gives no capacity, cost or structure for any renewable option. They exist so every example connects to the same facts.</w:t>
            </w:r>
          </w:p>
          <w:p>
            <w:pPr>
              <w:keepNext w:val="false"/>
              <w:spacing w:after="60" w:before="0" w:line="250" w:lineRule="auto"/>
            </w:pPr>
            <w:r>
              <w:rPr>
                <w:rFonts w:ascii="Arial" w:cs="Arial" w:eastAsia="Arial" w:hAnsi="Arial"/>
                <w:b/>
                <w:bCs/>
                <w:i w:val="false"/>
                <w:iCs w:val="false"/>
                <w:color w:val="000000"/>
                <w:sz w:val="18"/>
                <w:szCs w:val="18"/>
              </w:rPr>
              <w:t xml:space="preserve">Project X.</w:t>
            </w:r>
            <w:r>
              <w:rPr>
                <w:rFonts w:ascii="Arial" w:cs="Arial" w:eastAsia="Arial" w:hAnsi="Arial"/>
                <w:b w:val="false"/>
                <w:bCs w:val="false"/>
                <w:i w:val="false"/>
                <w:iCs w:val="false"/>
                <w:color w:val="000000"/>
                <w:sz w:val="18"/>
                <w:szCs w:val="18"/>
              </w:rPr>
              <w:t xml:space="preserve"> Off-site solar PV, 30MW. Plant R450m. Roads and perimeter fencing R25m. Grid connection R60m. Land R15m. Brought into use 1 May 2027, i.e. </w:t>
            </w:r>
            <w:r>
              <w:rPr>
                <w:rFonts w:ascii="Arial" w:cs="Arial" w:eastAsia="Arial" w:hAnsi="Arial"/>
                <w:b/>
                <w:bCs/>
                <w:i w:val="false"/>
                <w:iCs w:val="false"/>
                <w:color w:val="000000"/>
                <w:sz w:val="18"/>
                <w:szCs w:val="18"/>
              </w:rPr>
              <w:t xml:space="preserve">FY2027</w:t>
            </w:r>
            <w:r>
              <w:rPr>
                <w:rFonts w:ascii="Arial" w:cs="Arial" w:eastAsia="Arial" w:hAnsi="Arial"/>
                <w:b w:val="false"/>
                <w:bCs w:val="false"/>
                <w:i w:val="false"/>
                <w:iCs w:val="false"/>
                <w:color w:val="000000"/>
                <w:sz w:val="18"/>
                <w:szCs w:val="18"/>
              </w:rPr>
              <w:t xml:space="preserve">. Axion taxable income before the project: R350m.</w:t>
            </w:r>
          </w:p>
          <w:p>
            <w:pPr>
              <w:keepNext w:val="false"/>
              <w:spacing w:after="0" w:before="0" w:line="250" w:lineRule="auto"/>
            </w:pPr>
            <w:r>
              <w:rPr>
                <w:rFonts w:ascii="Arial" w:cs="Arial" w:eastAsia="Arial" w:hAnsi="Arial"/>
                <w:b/>
                <w:bCs/>
                <w:i w:val="false"/>
                <w:iCs w:val="false"/>
                <w:color w:val="000000"/>
                <w:sz w:val="18"/>
                <w:szCs w:val="18"/>
              </w:rPr>
              <w:t xml:space="preserve">Asset Y.</w:t>
            </w:r>
            <w:r>
              <w:rPr>
                <w:rFonts w:ascii="Arial" w:cs="Arial" w:eastAsia="Arial" w:hAnsi="Arial"/>
                <w:b w:val="false"/>
                <w:bCs w:val="false"/>
                <w:i w:val="false"/>
                <w:iCs w:val="false"/>
                <w:color w:val="000000"/>
                <w:sz w:val="18"/>
                <w:szCs w:val="18"/>
              </w:rPr>
              <w:t xml:space="preserve"> 800kW rooftop PV at Johannesburg 1, new and unused, cost R18m, brought into use 1 October 2024.</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A. The renewable-specific allowances</w:t>
      </w:r>
    </w:p>
    <w:p>
      <w:pPr>
        <w:keepNext/>
        <w:spacing w:after="70" w:before="200" w:line="250" w:lineRule="auto"/>
      </w:pPr>
      <w:r>
        <w:rPr>
          <w:rFonts w:ascii="Arial" w:cs="Arial" w:eastAsia="Arial" w:hAnsi="Arial"/>
          <w:b/>
          <w:bCs/>
          <w:i w:val="false"/>
          <w:iCs w:val="false"/>
          <w:color w:val="000000"/>
          <w:sz w:val="22"/>
          <w:szCs w:val="22"/>
        </w:rPr>
        <w:t xml:space="preserve">Table 1 — Section 12B: renewable energy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Deduction for </w:t>
            </w:r>
            <w:r>
              <w:rPr>
                <w:rFonts w:ascii="Arial" w:cs="Arial" w:eastAsia="Arial" w:hAnsi="Arial"/>
                <w:b/>
                <w:bCs/>
                <w:i w:val="false"/>
                <w:iCs w:val="false"/>
                <w:color w:val="000000"/>
                <w:sz w:val="18"/>
                <w:szCs w:val="18"/>
              </w:rPr>
              <w:t xml:space="preserve">machinery, plant, implement, utensil or article</w:t>
            </w:r>
            <w:r>
              <w:rPr>
                <w:rFonts w:ascii="Arial" w:cs="Arial" w:eastAsia="Arial" w:hAnsi="Arial"/>
                <w:b w:val="false"/>
                <w:bCs w:val="false"/>
                <w:i w:val="false"/>
                <w:iCs w:val="false"/>
                <w:color w:val="000000"/>
                <w:sz w:val="18"/>
                <w:szCs w:val="18"/>
              </w:rPr>
              <w:t xml:space="preserve"> which is: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by that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for the purposes of that taxpayer’s </w:t>
            </w:r>
            <w:r>
              <w:rPr>
                <w:rFonts w:ascii="Arial" w:cs="Arial" w:eastAsia="Arial" w:hAnsi="Arial"/>
                <w:b/>
                <w:bCs/>
                <w:i w:val="false"/>
                <w:iCs w:val="false"/>
                <w:color w:val="000000"/>
                <w:sz w:val="18"/>
                <w:szCs w:val="18"/>
              </w:rPr>
              <w:t xml:space="preserve">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used in the </w:t>
            </w:r>
            <w:r>
              <w:rPr>
                <w:rFonts w:ascii="Arial" w:cs="Arial" w:eastAsia="Arial" w:hAnsi="Arial"/>
                <w:b/>
                <w:bCs/>
                <w:i w:val="false"/>
                <w:iCs w:val="false"/>
                <w:color w:val="000000"/>
                <w:sz w:val="18"/>
                <w:szCs w:val="18"/>
              </w:rPr>
              <w:t xml:space="preserve">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Specified sources:</w:t>
            </w:r>
            <w:r>
              <w:rPr>
                <w:rFonts w:ascii="Arial" w:cs="Arial" w:eastAsia="Arial" w:hAnsi="Arial"/>
                <w:b w:val="false"/>
                <w:bCs w:val="false"/>
                <w:i w:val="false"/>
                <w:iCs w:val="false"/>
                <w:color w:val="000000"/>
                <w:sz w:val="18"/>
                <w:szCs w:val="18"/>
              </w:rPr>
              <w:t xml:space="preserve"> wind; photovoltaic solar; concentrated solar; hydropower </w:t>
            </w:r>
            <w:r>
              <w:rPr>
                <w:rFonts w:ascii="Arial" w:cs="Arial" w:eastAsia="Arial" w:hAnsi="Arial"/>
                <w:b/>
                <w:bCs/>
                <w:i w:val="false"/>
                <w:iCs w:val="false"/>
                <w:color w:val="000000"/>
                <w:sz w:val="18"/>
                <w:szCs w:val="18"/>
              </w:rPr>
              <w:t xml:space="preserve">not exceeding 30MW</w:t>
            </w:r>
            <w:r>
              <w:rPr>
                <w:rFonts w:ascii="Arial" w:cs="Arial" w:eastAsia="Arial" w:hAnsi="Arial"/>
                <w:b w:val="false"/>
                <w:bCs w:val="false"/>
                <w:i w:val="false"/>
                <w:iCs w:val="false"/>
                <w:color w:val="000000"/>
                <w:sz w:val="18"/>
                <w:szCs w:val="18"/>
              </w:rPr>
              <w:t xml:space="preserve">; biomass.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50 / 30 / 20</w:t>
            </w:r>
            <w:r>
              <w:rPr>
                <w:rFonts w:ascii="Arial" w:cs="Arial" w:eastAsia="Arial" w:hAnsi="Arial"/>
                <w:b w:val="false"/>
                <w:bCs w:val="false"/>
                <w:i w:val="false"/>
                <w:iCs w:val="false"/>
                <w:color w:val="000000"/>
                <w:sz w:val="18"/>
                <w:szCs w:val="18"/>
              </w:rPr>
              <w:t xml:space="preserve"> over three years for wind, PV solar </w:t>
            </w:r>
            <w:r>
              <w:rPr>
                <w:rFonts w:ascii="Arial" w:cs="Arial" w:eastAsia="Arial" w:hAnsi="Arial"/>
                <w:b/>
                <w:bCs/>
                <w:i w:val="false"/>
                <w:iCs w:val="false"/>
                <w:color w:val="000000"/>
                <w:sz w:val="18"/>
                <w:szCs w:val="18"/>
              </w:rPr>
              <w:t xml:space="preserve">above 1MW</w:t>
            </w:r>
            <w:r>
              <w:rPr>
                <w:rFonts w:ascii="Arial" w:cs="Arial" w:eastAsia="Arial" w:hAnsi="Arial"/>
                <w:b w:val="false"/>
                <w:bCs w:val="false"/>
                <w:i w:val="false"/>
                <w:iCs w:val="false"/>
                <w:color w:val="000000"/>
                <w:sz w:val="18"/>
                <w:szCs w:val="18"/>
              </w:rPr>
              <w:t xml:space="preserve">, concentrated solar, hydro ≤ 30MW and biomass.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100%</w:t>
            </w:r>
            <w:r>
              <w:rPr>
                <w:rFonts w:ascii="Arial" w:cs="Arial" w:eastAsia="Arial" w:hAnsi="Arial"/>
                <w:b w:val="false"/>
                <w:bCs w:val="false"/>
                <w:i w:val="false"/>
                <w:iCs w:val="false"/>
                <w:color w:val="000000"/>
                <w:sz w:val="18"/>
                <w:szCs w:val="18"/>
              </w:rPr>
              <w:t xml:space="preserve"> in year one for PV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for part of a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Cost base:</w:t>
            </w:r>
            <w:r>
              <w:rPr>
                <w:rFonts w:ascii="Arial" w:cs="Arial" w:eastAsia="Arial" w:hAnsi="Arial"/>
                <w:b w:val="false"/>
                <w:bCs w:val="false"/>
                <w:i w:val="false"/>
                <w:iCs w:val="false"/>
                <w:color w:val="000000"/>
                <w:sz w:val="18"/>
                <w:szCs w:val="18"/>
              </w:rPr>
              <w:t xml:space="preserve"> acquisition cost, </w:t>
            </w:r>
            <w:r>
              <w:rPr>
                <w:rFonts w:ascii="Arial" w:cs="Arial" w:eastAsia="Arial" w:hAnsi="Arial"/>
                <w:b/>
                <w:bCs/>
                <w:i w:val="false"/>
                <w:iCs w:val="false"/>
                <w:color w:val="000000"/>
                <w:sz w:val="18"/>
                <w:szCs w:val="18"/>
              </w:rPr>
              <w:t xml:space="preserve">plus</w:t>
            </w:r>
            <w:r>
              <w:rPr>
                <w:rFonts w:ascii="Arial" w:cs="Arial" w:eastAsia="Arial" w:hAnsi="Arial"/>
                <w:b w:val="false"/>
                <w:bCs w:val="false"/>
                <w:i w:val="false"/>
                <w:iCs w:val="false"/>
                <w:color w:val="000000"/>
                <w:sz w:val="18"/>
                <w:szCs w:val="18"/>
              </w:rPr>
              <w:t xml:space="preserve"> erection, installation and construction, </w:t>
            </w:r>
            <w:r>
              <w:rPr>
                <w:rFonts w:ascii="Arial" w:cs="Arial" w:eastAsia="Arial" w:hAnsi="Arial"/>
                <w:b/>
                <w:bCs/>
                <w:i w:val="false"/>
                <w:iCs w:val="false"/>
                <w:color w:val="000000"/>
                <w:sz w:val="18"/>
                <w:szCs w:val="18"/>
              </w:rPr>
              <w:t xml:space="preserve">plus</w:t>
            </w:r>
            <w:r>
              <w:rPr>
                <w:rFonts w:ascii="Arial" w:cs="Arial" w:eastAsia="Arial" w:hAnsi="Arial"/>
                <w:b w:val="false"/>
                <w:bCs w:val="false"/>
                <w:i w:val="false"/>
                <w:iCs w:val="false"/>
                <w:color w:val="000000"/>
                <w:sz w:val="18"/>
                <w:szCs w:val="18"/>
              </w:rPr>
              <w:t xml:space="preserve"> any foundation or supporting structure to which the asset is affixed.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Extends to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(not repairs). Asset need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 new and unused.</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Of the three Document 7 routes, only </w:t>
            </w:r>
            <w:r>
              <w:rPr>
                <w:rFonts w:ascii="Arial" w:cs="Arial" w:eastAsia="Arial" w:hAnsi="Arial"/>
                <w:b/>
                <w:bCs/>
                <w:i w:val="false"/>
                <w:iCs w:val="false"/>
                <w:color w:val="0070C0"/>
                <w:sz w:val="18"/>
                <w:szCs w:val="18"/>
              </w:rPr>
              <w:t xml:space="preserve">direct investment in generation</w:t>
            </w:r>
            <w:r>
              <w:rPr>
                <w:rFonts w:ascii="Arial" w:cs="Arial" w:eastAsia="Arial" w:hAnsi="Arial"/>
                <w:b w:val="false"/>
                <w:bCs w:val="false"/>
                <w:i w:val="false"/>
                <w:iCs w:val="false"/>
                <w:color w:val="0070C0"/>
                <w:sz w:val="18"/>
                <w:szCs w:val="18"/>
              </w:rPr>
              <w:t xml:space="preserve"> triggers s12B. A PPA gives Axion no asset. Wheeling gives Axion no asset unless it owns the off-site plant.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capacity in MW, technology, plant cost, ownership, date brought into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Project X.</w:t>
            </w:r>
            <w:r>
              <w:rPr>
                <w:rFonts w:ascii="Arial" w:cs="Arial" w:eastAsia="Arial" w:hAnsi="Arial"/>
                <w:b w:val="false"/>
                <w:bCs w:val="false"/>
                <w:i w:val="false"/>
                <w:iCs w:val="false"/>
                <w:color w:val="0070C0"/>
                <w:sz w:val="18"/>
                <w:szCs w:val="18"/>
              </w:rPr>
              <w:t xml:space="preserve"> 30MW PV is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so 50/30/20 applies, not 100%. Plant of R450m qualifies. The R60m grid connection qualifies only if it forms part of the plant — Table 4. Land never qualifies.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Axion owns directly:</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FY2027: R450m × 50% = </w:t>
            </w:r>
            <w:r>
              <w:rPr>
                <w:rFonts w:ascii="Arial" w:cs="Arial" w:eastAsia="Arial" w:hAnsi="Arial"/>
                <w:b/>
                <w:bCs/>
                <w:i w:val="false"/>
                <w:iCs w:val="false"/>
                <w:color w:val="0070C0"/>
                <w:sz w:val="18"/>
                <w:szCs w:val="18"/>
              </w:rPr>
              <w:t xml:space="preserve">R225.0m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FY2028: R450m × 30% = </w:t>
            </w:r>
            <w:r>
              <w:rPr>
                <w:rFonts w:ascii="Arial" w:cs="Arial" w:eastAsia="Arial" w:hAnsi="Arial"/>
                <w:b/>
                <w:bCs/>
                <w:i w:val="false"/>
                <w:iCs w:val="false"/>
                <w:color w:val="0070C0"/>
                <w:sz w:val="18"/>
                <w:szCs w:val="18"/>
              </w:rPr>
              <w:t xml:space="preserve">R135.0m</w:t>
            </w:r>
            <w:r>
              <w:rPr>
                <w:rFonts w:ascii="Arial" w:cs="Arial" w:eastAsia="Arial" w:hAnsi="Arial"/>
                <w:b w:val="false"/>
                <w:bCs w:val="false"/>
                <w:i w:val="false"/>
                <w:iCs w:val="false"/>
                <w:color w:val="0070C0"/>
                <w:sz w:val="18"/>
                <w:szCs w:val="18"/>
              </w:rPr>
              <w:t xml:space="preserve"> · tax = </w:t>
            </w:r>
            <w:r>
              <w:rPr>
                <w:rFonts w:ascii="Arial" w:cs="Arial" w:eastAsia="Arial" w:hAnsi="Arial"/>
                <w:b/>
                <w:bCs/>
                <w:i w:val="false"/>
                <w:iCs w:val="false"/>
                <w:color w:val="0070C0"/>
                <w:sz w:val="18"/>
                <w:szCs w:val="18"/>
              </w:rPr>
              <w:t xml:space="preserve">R36.45m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FY2029: R450m × 20% = </w:t>
            </w:r>
            <w:r>
              <w:rPr>
                <w:rFonts w:ascii="Arial" w:cs="Arial" w:eastAsia="Arial" w:hAnsi="Arial"/>
                <w:b/>
                <w:bCs/>
                <w:i w:val="false"/>
                <w:iCs w:val="false"/>
                <w:color w:val="0070C0"/>
                <w:sz w:val="18"/>
                <w:szCs w:val="18"/>
              </w:rPr>
              <w:t xml:space="preserve">R90.0m</w:t>
            </w:r>
            <w:r>
              <w:rPr>
                <w:rFonts w:ascii="Arial" w:cs="Arial" w:eastAsia="Arial" w:hAnsi="Arial"/>
                <w:b w:val="false"/>
                <w:bCs w:val="false"/>
                <w:i w:val="false"/>
                <w:iCs w:val="false"/>
                <w:color w:val="0070C0"/>
                <w:sz w:val="18"/>
                <w:szCs w:val="18"/>
              </w:rPr>
              <w:t xml:space="preserve"> · tax = </w:t>
            </w:r>
            <w:r>
              <w:rPr>
                <w:rFonts w:ascii="Arial" w:cs="Arial" w:eastAsia="Arial" w:hAnsi="Arial"/>
                <w:b/>
                <w:bCs/>
                <w:i w:val="false"/>
                <w:iCs w:val="false"/>
                <w:color w:val="0070C0"/>
                <w:sz w:val="18"/>
                <w:szCs w:val="18"/>
              </w:rPr>
              <w:t xml:space="preserve">R24.30m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Total allowances R450m; total tax benefit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 apportionment, quantified.</w:t>
            </w:r>
            <w:r>
              <w:rPr>
                <w:rFonts w:ascii="Arial" w:cs="Arial" w:eastAsia="Arial" w:hAnsi="Arial"/>
                <w:b w:val="false"/>
                <w:bCs w:val="false"/>
                <w:i w:val="false"/>
                <w:iCs w:val="false"/>
                <w:color w:val="0070C0"/>
                <w:sz w:val="18"/>
                <w:szCs w:val="18"/>
              </w:rPr>
              <w:t xml:space="preserve"> Brought into use 1 May 2027 gives the full R225m in FY2027. Slip to 1 July 2027 and the whole R225m moves to FY2028, deferring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of cash tax by a year. That is a concrete recommendation on commissioning timing.</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Contrast Asset Y.</w:t>
            </w:r>
            <w:r>
              <w:rPr>
                <w:rFonts w:ascii="Arial" w:cs="Arial" w:eastAsia="Arial" w:hAnsi="Arial"/>
                <w:b w:val="false"/>
                <w:bCs w:val="false"/>
                <w:i w:val="false"/>
                <w:iCs w:val="false"/>
                <w:color w:val="0070C0"/>
                <w:sz w:val="18"/>
                <w:szCs w:val="18"/>
              </w:rPr>
              <w:t xml:space="preserve"> 800kW is </w:t>
            </w:r>
            <w:r>
              <w:rPr>
                <w:rFonts w:ascii="Arial" w:cs="Arial" w:eastAsia="Arial" w:hAnsi="Arial"/>
                <w:b/>
                <w:bCs/>
                <w:i w:val="false"/>
                <w:iCs w:val="false"/>
                <w:color w:val="0070C0"/>
                <w:sz w:val="18"/>
                <w:szCs w:val="18"/>
              </w:rPr>
              <w:t xml:space="preserve">not exceeding 1MW</w:t>
            </w:r>
            <w:r>
              <w:rPr>
                <w:rFonts w:ascii="Arial" w:cs="Arial" w:eastAsia="Arial" w:hAnsi="Arial"/>
                <w:b w:val="false"/>
                <w:bCs w:val="false"/>
                <w:i w:val="false"/>
                <w:iCs w:val="false"/>
                <w:color w:val="0070C0"/>
                <w:sz w:val="18"/>
                <w:szCs w:val="18"/>
              </w:rPr>
              <w:t xml:space="preserve">, so s12B would give </w:t>
            </w:r>
            <w:r>
              <w:rPr>
                <w:rFonts w:ascii="Arial" w:cs="Arial" w:eastAsia="Arial" w:hAnsi="Arial"/>
                <w:b/>
                <w:bCs/>
                <w:i w:val="false"/>
                <w:iCs w:val="false"/>
                <w:color w:val="0070C0"/>
                <w:sz w:val="18"/>
                <w:szCs w:val="18"/>
              </w:rPr>
              <w:t xml:space="preserve">100%</w:t>
            </w:r>
            <w:r>
              <w:rPr>
                <w:rFonts w:ascii="Arial" w:cs="Arial" w:eastAsia="Arial" w:hAnsi="Arial"/>
                <w:b w:val="false"/>
                <w:bCs w:val="false"/>
                <w:i w:val="false"/>
                <w:iCs w:val="false"/>
                <w:color w:val="0070C0"/>
                <w:sz w:val="18"/>
                <w:szCs w:val="18"/>
              </w:rPr>
              <w:t xml:space="preserve"> of R18m in FY2025 — R18m deduction, R4.86m of tax, in one year.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2 — Section 12BA: the enhanced 125% allowance (EXPIRED)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125% of cost</w:t>
            </w:r>
            <w:r>
              <w:rPr>
                <w:rFonts w:ascii="Arial" w:cs="Arial" w:eastAsia="Arial" w:hAnsi="Arial"/>
                <w:b w:val="false"/>
                <w:bCs w:val="false"/>
                <w:i w:val="false"/>
                <w:iCs w:val="false"/>
                <w:color w:val="000000"/>
                <w:sz w:val="18"/>
                <w:szCs w:val="18"/>
              </w:rPr>
              <w:t xml:space="preserve">, deducted </w:t>
            </w:r>
            <w:r>
              <w:rPr>
                <w:rFonts w:ascii="Arial" w:cs="Arial" w:eastAsia="Arial" w:hAnsi="Arial"/>
                <w:b/>
                <w:bCs/>
                <w:i w:val="false"/>
                <w:iCs w:val="false"/>
                <w:color w:val="000000"/>
                <w:sz w:val="18"/>
                <w:szCs w:val="18"/>
              </w:rPr>
              <w:t xml:space="preserve">in full in the year brought into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Asset must be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for the taxpayer’s trade, and used to generate electricity from the </w:t>
            </w:r>
            <w:r>
              <w:rPr>
                <w:rFonts w:ascii="Arial" w:cs="Arial" w:eastAsia="Arial" w:hAnsi="Arial"/>
                <w:b/>
                <w:bCs/>
                <w:i w:val="false"/>
                <w:iCs w:val="false"/>
                <w:color w:val="000000"/>
                <w:sz w:val="18"/>
                <w:szCs w:val="18"/>
              </w:rPr>
              <w:t xml:space="preserve">same sources</w:t>
            </w:r>
            <w:r>
              <w:rPr>
                <w:rFonts w:ascii="Arial" w:cs="Arial" w:eastAsia="Arial" w:hAnsi="Arial"/>
                <w:b w:val="false"/>
                <w:bCs w:val="false"/>
                <w:i w:val="false"/>
                <w:iCs w:val="false"/>
                <w:color w:val="000000"/>
                <w:sz w:val="18"/>
                <w:szCs w:val="18"/>
              </w:rPr>
              <w:t xml:space="preserve"> as s12B.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capacity threshold</w:t>
            </w:r>
            <w:r>
              <w:rPr>
                <w:rFonts w:ascii="Arial" w:cs="Arial" w:eastAsia="Arial" w:hAnsi="Arial"/>
                <w:b w:val="false"/>
                <w:bCs w:val="false"/>
                <w:i w:val="false"/>
                <w:iCs w:val="false"/>
                <w:color w:val="000000"/>
                <w:sz w:val="18"/>
                <w:szCs w:val="18"/>
              </w:rPr>
              <w:t xml:space="preserve"> — unlike s12B’s 30MW hydro limit.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Cost base: acquisition, installation and erection, plus foundation or supporting structure.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Only for assets brought into use on or after 1 March 2023 and before 1 March 2025.</w:t>
            </w:r>
            <w:r>
              <w:rPr>
                <w:rFonts w:ascii="Arial" w:cs="Arial" w:eastAsia="Arial" w:hAnsi="Arial"/>
                <w:b w:val="false"/>
                <w:bCs w:val="false"/>
                <w:i w:val="false"/>
                <w:iCs w:val="false"/>
                <w:color w:val="000000"/>
                <w:sz w:val="18"/>
                <w:szCs w:val="18"/>
              </w:rPr>
              <w:t xml:space="preserve"> Not renewed.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s12B and s12BA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 for the same asset.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Recoupment — s8(4)(nA):</w:t>
            </w:r>
            <w:r>
              <w:rPr>
                <w:rFonts w:ascii="Arial" w:cs="Arial" w:eastAsia="Arial" w:hAnsi="Arial"/>
                <w:b w:val="false"/>
                <w:bCs w:val="false"/>
                <w:i w:val="false"/>
                <w:iCs w:val="false"/>
                <w:color w:val="000000"/>
                <w:sz w:val="18"/>
                <w:szCs w:val="18"/>
              </w:rPr>
              <w:t xml:space="preserve"> disposal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 if proceeds ≥ cost, </w:t>
            </w:r>
            <w:r>
              <w:rPr>
                <w:rFonts w:ascii="Arial" w:cs="Arial" w:eastAsia="Arial" w:hAnsi="Arial"/>
                <w:b/>
                <w:bCs/>
                <w:i w:val="false"/>
                <w:iCs w:val="false"/>
                <w:color w:val="000000"/>
                <w:sz w:val="18"/>
                <w:szCs w:val="18"/>
              </w:rPr>
              <w:t xml:space="preserve">full 125%</w:t>
            </w:r>
            <w:r>
              <w:rPr>
                <w:rFonts w:ascii="Arial" w:cs="Arial" w:eastAsia="Arial" w:hAnsi="Arial"/>
                <w:b w:val="false"/>
                <w:bCs w:val="false"/>
                <w:i w:val="false"/>
                <w:iCs w:val="false"/>
                <w:color w:val="000000"/>
                <w:sz w:val="18"/>
                <w:szCs w:val="18"/>
              </w:rPr>
              <w:t xml:space="preserve"> into income; if proceeds &lt; cost, </w:t>
            </w:r>
            <w:r>
              <w:rPr>
                <w:rFonts w:ascii="Arial" w:cs="Arial" w:eastAsia="Arial" w:hAnsi="Arial"/>
                <w:b/>
                <w:bCs/>
                <w:i w:val="false"/>
                <w:iCs w:val="false"/>
                <w:color w:val="000000"/>
                <w:sz w:val="18"/>
                <w:szCs w:val="18"/>
              </w:rPr>
              <w:t xml:space="preserve">125% of proceeds</w:t>
            </w:r>
            <w:r>
              <w:rPr>
                <w:rFonts w:ascii="Arial" w:cs="Arial" w:eastAsia="Arial" w:hAnsi="Arial"/>
                <w:b w:val="false"/>
                <w:bCs w:val="false"/>
                <w:i w:val="false"/>
                <w:iCs w:val="false"/>
                <w:color w:val="000000"/>
                <w:sz w:val="18"/>
                <w:szCs w:val="18"/>
              </w:rPr>
              <w:t xml:space="preserve">. Disposal </w:t>
            </w:r>
            <w:r>
              <w:rPr>
                <w:rFonts w:ascii="Arial" w:cs="Arial" w:eastAsia="Arial" w:hAnsi="Arial"/>
                <w:b/>
                <w:bCs/>
                <w:i w:val="false"/>
                <w:iCs w:val="false"/>
                <w:color w:val="000000"/>
                <w:sz w:val="18"/>
                <w:szCs w:val="18"/>
              </w:rPr>
              <w:t xml:space="preserve">on or after 1 March 2026</w:t>
            </w:r>
            <w:r>
              <w:rPr>
                <w:rFonts w:ascii="Arial" w:cs="Arial" w:eastAsia="Arial" w:hAnsi="Arial"/>
                <w:b w:val="false"/>
                <w:bCs w:val="false"/>
                <w:i w:val="false"/>
                <w:iCs w:val="false"/>
                <w:color w:val="000000"/>
                <w:sz w:val="18"/>
                <w:szCs w:val="18"/>
              </w:rPr>
              <w:t xml:space="preserve"> → </w:t>
            </w:r>
            <w:r>
              <w:rPr>
                <w:rFonts w:ascii="Arial" w:cs="Arial" w:eastAsia="Arial" w:hAnsi="Arial"/>
                <w:b/>
                <w:bCs/>
                <w:i w:val="false"/>
                <w:iCs w:val="false"/>
                <w:color w:val="000000"/>
                <w:sz w:val="18"/>
                <w:szCs w:val="18"/>
              </w:rPr>
              <w:t xml:space="preserve">lesser of proceeds and the allowance</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 available for any new project.</w:t>
            </w:r>
            <w:r>
              <w:rPr>
                <w:rFonts w:ascii="Arial" w:cs="Arial" w:eastAsia="Arial" w:hAnsi="Arial"/>
                <w:b w:val="false"/>
                <w:bCs w:val="false"/>
                <w:i w:val="false"/>
                <w:iCs w:val="false"/>
                <w:color w:val="0070C0"/>
                <w:sz w:val="18"/>
                <w:szCs w:val="18"/>
              </w:rPr>
              <w:t xml:space="preserve"> The window closed 28 February 2025; anything from Document 7 is FY2027 at the earliest. </w:t>
            </w:r>
            <w:r>
              <w:rPr>
                <w:rFonts w:ascii="Arial" w:cs="Arial" w:eastAsia="Arial" w:hAnsi="Arial"/>
                <w:b/>
                <w:bCs/>
                <w:i w:val="false"/>
                <w:iCs w:val="false"/>
                <w:color w:val="0070C0"/>
                <w:sz w:val="18"/>
                <w:szCs w:val="18"/>
              </w:rPr>
              <w:t xml:space="preserve">State that it has expired rather than claiming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it may already sit in an earlier computation.</w:t>
            </w:r>
            <w:r>
              <w:rPr>
                <w:rFonts w:ascii="Arial" w:cs="Arial" w:eastAsia="Arial" w:hAnsi="Arial"/>
                <w:b w:val="false"/>
                <w:bCs w:val="false"/>
                <w:i w:val="false"/>
                <w:iCs w:val="false"/>
                <w:color w:val="0070C0"/>
                <w:sz w:val="18"/>
                <w:szCs w:val="18"/>
              </w:rPr>
              <w:t xml:space="preserve"> [WAITING FOR INPUT]: when was the existing on-site solar brought into use, and what was claimed?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Asset Y, brought into use 1 October 2024, inside the window:</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R18m × 125% = </w:t>
            </w:r>
            <w:r>
              <w:rPr>
                <w:rFonts w:ascii="Arial" w:cs="Arial" w:eastAsia="Arial" w:hAnsi="Arial"/>
                <w:b/>
                <w:bCs/>
                <w:i w:val="false"/>
                <w:iCs w:val="false"/>
                <w:color w:val="0070C0"/>
                <w:sz w:val="18"/>
                <w:szCs w:val="18"/>
              </w:rPr>
              <w:t xml:space="preserve">R22.5m</w:t>
            </w:r>
            <w:r>
              <w:rPr>
                <w:rFonts w:ascii="Arial" w:cs="Arial" w:eastAsia="Arial" w:hAnsi="Arial"/>
                <w:b w:val="false"/>
                <w:bCs w:val="false"/>
                <w:i w:val="false"/>
                <w:iCs w:val="false"/>
                <w:color w:val="0070C0"/>
                <w:sz w:val="18"/>
                <w:szCs w:val="18"/>
              </w:rPr>
              <w:t xml:space="preserve"> deduction in FY2025 · tax at 27% =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Against s12B at 100%: R18m deduction, R4.86m. The enhanced allowance was worth an extra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extra 25% (R4.5m)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 total deductions exceed cost. It reduced the FY2025 effective rate and is a reconciling item, not deferred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Disposal of Asset Y — the date decides the answer.</w:t>
            </w:r>
            <w:r>
              <w:rPr>
                <w:rFonts w:ascii="Arial" w:cs="Arial" w:eastAsia="Arial" w:hAnsi="Arial"/>
                <w:b w:val="false"/>
                <w:bCs w:val="false"/>
                <w:i w:val="false"/>
                <w:iCs w:val="false"/>
                <w:color w:val="0070C0"/>
                <w:sz w:val="18"/>
                <w:szCs w:val="18"/>
              </w:rPr>
              <w:t xml:space="preserve"> Assume sold for R15m, below cost of R18m: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Before</w:t>
            </w:r>
            <w:r>
              <w:rPr>
                <w:rFonts w:ascii="Arial" w:cs="Arial" w:eastAsia="Arial" w:hAnsi="Arial"/>
                <w:b w:val="false"/>
                <w:bCs w:val="false"/>
                <w:i w:val="false"/>
                <w:iCs w:val="false"/>
                <w:color w:val="0070C0"/>
                <w:sz w:val="18"/>
                <w:szCs w:val="18"/>
              </w:rPr>
              <w:t xml:space="preserve"> 1 March 2026 → recoup 125% × R15m = </w:t>
            </w:r>
            <w:r>
              <w:rPr>
                <w:rFonts w:ascii="Arial" w:cs="Arial" w:eastAsia="Arial" w:hAnsi="Arial"/>
                <w:b/>
                <w:bCs/>
                <w:i w:val="false"/>
                <w:iCs w:val="false"/>
                <w:color w:val="0070C0"/>
                <w:sz w:val="18"/>
                <w:szCs w:val="18"/>
              </w:rPr>
              <w:t xml:space="preserve">R18.75m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R5.06m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or after</w:t>
            </w:r>
            <w:r>
              <w:rPr>
                <w:rFonts w:ascii="Arial" w:cs="Arial" w:eastAsia="Arial" w:hAnsi="Arial"/>
                <w:b w:val="false"/>
                <w:bCs w:val="false"/>
                <w:i w:val="false"/>
                <w:iCs w:val="false"/>
                <w:color w:val="0070C0"/>
                <w:sz w:val="18"/>
                <w:szCs w:val="18"/>
              </w:rPr>
              <w:t xml:space="preserve"> 1 March 2026 → recoup the </w:t>
            </w:r>
            <w:r>
              <w:rPr>
                <w:rFonts w:ascii="Arial" w:cs="Arial" w:eastAsia="Arial" w:hAnsi="Arial"/>
                <w:b/>
                <w:bCs/>
                <w:i w:val="false"/>
                <w:iCs w:val="false"/>
                <w:color w:val="0070C0"/>
                <w:sz w:val="18"/>
                <w:szCs w:val="18"/>
              </w:rPr>
              <w:t xml:space="preserve">lesser</w:t>
            </w:r>
            <w:r>
              <w:rPr>
                <w:rFonts w:ascii="Arial" w:cs="Arial" w:eastAsia="Arial" w:hAnsi="Arial"/>
                <w:b w:val="false"/>
                <w:bCs w:val="false"/>
                <w:i w:val="false"/>
                <w:iCs w:val="false"/>
                <w:color w:val="0070C0"/>
                <w:sz w:val="18"/>
                <w:szCs w:val="18"/>
              </w:rPr>
              <w:t xml:space="preserve"> of R15m and R22.5m =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R4.05m</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Axion’s FY2026 ended 30 June 2026, </w:t>
            </w:r>
            <w:r>
              <w:rPr>
                <w:rFonts w:ascii="Arial" w:cs="Arial" w:eastAsia="Arial" w:hAnsi="Arial"/>
                <w:b/>
                <w:bCs/>
                <w:i w:val="false"/>
                <w:iCs w:val="false"/>
                <w:color w:val="0070C0"/>
                <w:sz w:val="18"/>
                <w:szCs w:val="18"/>
              </w:rPr>
              <w:t xml:space="preserve">after</w:t>
            </w:r>
            <w:r>
              <w:rPr>
                <w:rFonts w:ascii="Arial" w:cs="Arial" w:eastAsia="Arial" w:hAnsi="Arial"/>
                <w:b w:val="false"/>
                <w:bCs w:val="false"/>
                <w:i w:val="false"/>
                <w:iCs w:val="false"/>
                <w:color w:val="0070C0"/>
                <w:sz w:val="18"/>
                <w:szCs w:val="18"/>
              </w:rPr>
              <w:t xml:space="preserve"> 1 March 2026, so the milder rule applies to any disposal now.</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3 — Section 12U: roads and fences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 force from </w:t>
            </w:r>
            <w:r>
              <w:rPr>
                <w:rFonts w:ascii="Arial" w:cs="Arial" w:eastAsia="Arial" w:hAnsi="Arial"/>
                <w:b/>
                <w:bCs/>
                <w:i w:val="false"/>
                <w:iCs w:val="false"/>
                <w:color w:val="000000"/>
                <w:sz w:val="18"/>
                <w:szCs w:val="18"/>
              </w:rPr>
              <w:t xml:space="preserve">1 April 2016</w:t>
            </w:r>
            <w:r>
              <w:rPr>
                <w:rFonts w:ascii="Arial" w:cs="Arial" w:eastAsia="Arial" w:hAnsi="Arial"/>
                <w:b w:val="false"/>
                <w:bCs w:val="false"/>
                <w:i w:val="false"/>
                <w:iCs w:val="false"/>
                <w:color w:val="000000"/>
                <w:sz w:val="18"/>
                <w:szCs w:val="18"/>
              </w:rPr>
              <w:t xml:space="preserve">, covering supporting infrastructure that s12B does not.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100% write-off in the year incurred</w:t>
            </w:r>
            <w:r>
              <w:rPr>
                <w:rFonts w:ascii="Arial" w:cs="Arial" w:eastAsia="Arial" w:hAnsi="Arial"/>
                <w:b w:val="false"/>
                <w:bCs w:val="false"/>
                <w:i w:val="false"/>
                <w:iCs w:val="false"/>
                <w:color w:val="000000"/>
                <w:sz w:val="18"/>
                <w:szCs w:val="18"/>
              </w:rPr>
              <w:t xml:space="preserve"> of expenditure on: the </w:t>
            </w:r>
            <w:r>
              <w:rPr>
                <w:rFonts w:ascii="Arial" w:cs="Arial" w:eastAsia="Arial" w:hAnsi="Arial"/>
                <w:b/>
                <w:bCs/>
                <w:i w:val="false"/>
                <w:iCs w:val="false"/>
                <w:color w:val="000000"/>
                <w:sz w:val="18"/>
                <w:szCs w:val="18"/>
              </w:rPr>
              <w:t xml:space="preserve">construction of any road</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erection of any fence</w:t>
            </w:r>
            <w:r>
              <w:rPr>
                <w:rFonts w:ascii="Arial" w:cs="Arial" w:eastAsia="Arial" w:hAnsi="Arial"/>
                <w:b w:val="false"/>
                <w:bCs w:val="false"/>
                <w:i w:val="false"/>
                <w:iCs w:val="false"/>
                <w:color w:val="000000"/>
                <w:sz w:val="18"/>
                <w:szCs w:val="18"/>
              </w:rPr>
              <w:t xml:space="preserve">; a </w:t>
            </w:r>
            <w:r>
              <w:rPr>
                <w:rFonts w:ascii="Arial" w:cs="Arial" w:eastAsia="Arial" w:hAnsi="Arial"/>
                <w:b/>
                <w:bCs/>
                <w:i w:val="false"/>
                <w:iCs w:val="false"/>
                <w:color w:val="000000"/>
                <w:sz w:val="18"/>
                <w:szCs w:val="18"/>
              </w:rPr>
              <w:t xml:space="preserve">foundation or supporting structure designed for such a fence</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any of these.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Available only where the taxpayer’s trade is generating electricity </w:t>
            </w:r>
            <w:r>
              <w:rPr>
                <w:rFonts w:ascii="Arial" w:cs="Arial" w:eastAsia="Arial" w:hAnsi="Arial"/>
                <w:b/>
                <w:bCs/>
                <w:i w:val="false"/>
                <w:iCs w:val="false"/>
                <w:color w:val="000000"/>
                <w:sz w:val="18"/>
                <w:szCs w:val="18"/>
              </w:rPr>
              <w:t xml:space="preserve">exceeding 5MW</w:t>
            </w:r>
            <w:r>
              <w:rPr>
                <w:rFonts w:ascii="Arial" w:cs="Arial" w:eastAsia="Arial" w:hAnsi="Arial"/>
                <w:b w:val="false"/>
                <w:bCs w:val="false"/>
                <w:i w:val="false"/>
                <w:iCs w:val="false"/>
                <w:color w:val="000000"/>
                <w:sz w:val="18"/>
                <w:szCs w:val="18"/>
              </w:rPr>
              <w:t xml:space="preserve"> from solar or wind, hydro not exceeding 30MW, or biomass.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Scope limit.</w:t>
            </w:r>
            <w:r>
              <w:rPr>
                <w:rFonts w:ascii="Arial" w:cs="Arial" w:eastAsia="Arial" w:hAnsi="Arial"/>
                <w:b w:val="false"/>
                <w:bCs w:val="false"/>
                <w:i w:val="false"/>
                <w:iCs w:val="false"/>
                <w:color w:val="000000"/>
                <w:sz w:val="18"/>
                <w:szCs w:val="18"/>
              </w:rPr>
              <w:t xml:space="preserve"> s12U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cover transmission lines, substations or grid connection infrastructure.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threshold provision, and the pre-release gives no capacity.</w:t>
            </w:r>
            <w:r>
              <w:rPr>
                <w:rFonts w:ascii="Arial" w:cs="Arial" w:eastAsia="Arial" w:hAnsi="Arial"/>
                <w:b w:val="false"/>
                <w:bCs w:val="false"/>
                <w:i w:val="false"/>
                <w:iCs w:val="false"/>
                <w:color w:val="0070C0"/>
                <w:sz w:val="18"/>
                <w:szCs w:val="18"/>
              </w:rPr>
              <w:t xml:space="preserve"> [WAITING FOR INPUT]: capacity in MW. Below 5MW, s12U is simply unavailable and you must say so.</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Project X.</w:t>
            </w:r>
            <w:r>
              <w:rPr>
                <w:rFonts w:ascii="Arial" w:cs="Arial" w:eastAsia="Arial" w:hAnsi="Arial"/>
                <w:b w:val="false"/>
                <w:bCs w:val="false"/>
                <w:i w:val="false"/>
                <w:iCs w:val="false"/>
                <w:color w:val="0070C0"/>
                <w:sz w:val="18"/>
                <w:szCs w:val="18"/>
              </w:rPr>
              <w:t xml:space="preserve"> 30MW exceeds 5MW, so s12U covers the R25m of roads and fencing.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R25m × 100% in FY2027 = </w:t>
            </w:r>
            <w:r>
              <w:rPr>
                <w:rFonts w:ascii="Arial" w:cs="Arial" w:eastAsia="Arial" w:hAnsi="Arial"/>
                <w:b/>
                <w:bCs/>
                <w:i w:val="false"/>
                <w:iCs w:val="false"/>
                <w:color w:val="0070C0"/>
                <w:sz w:val="18"/>
                <w:szCs w:val="18"/>
              </w:rPr>
              <w:t xml:space="preserve">R25.0m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all in year one.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Do not sweep the grid connection in here.</w:t>
            </w:r>
            <w:r>
              <w:rPr>
                <w:rFonts w:ascii="Arial" w:cs="Arial" w:eastAsia="Arial" w:hAnsi="Arial"/>
                <w:b w:val="false"/>
                <w:bCs w:val="false"/>
                <w:i w:val="false"/>
                <w:iCs w:val="false"/>
                <w:color w:val="0070C0"/>
                <w:sz w:val="18"/>
                <w:szCs w:val="18"/>
              </w:rPr>
              <w:t xml:space="preserve"> Document 7 refers to “supporting transmission and distribution infrastructure”, so the cost is real and potentially large. It is outside s12U and must be analysed separately — Table 4.</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4 — The grid connection and transmission infrastructure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the options, in order</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First — s12B.</w:t>
            </w:r>
            <w:r>
              <w:rPr>
                <w:rFonts w:ascii="Arial" w:cs="Arial" w:eastAsia="Arial" w:hAnsi="Arial"/>
                <w:b w:val="false"/>
                <w:bCs w:val="false"/>
                <w:i w:val="false"/>
                <w:iCs w:val="false"/>
                <w:color w:val="000000"/>
                <w:sz w:val="18"/>
                <w:szCs w:val="18"/>
              </w:rPr>
              <w:t xml:space="preserve"> Is it “machinery, plant, implement, utensil or article” </w:t>
            </w:r>
            <w:r>
              <w:rPr>
                <w:rFonts w:ascii="Arial" w:cs="Arial" w:eastAsia="Arial" w:hAnsi="Arial"/>
                <w:b/>
                <w:bCs/>
                <w:i w:val="false"/>
                <w:iCs w:val="false"/>
                <w:color w:val="000000"/>
                <w:sz w:val="18"/>
                <w:szCs w:val="18"/>
              </w:rPr>
              <w:t xml:space="preserve">used in the generation</w:t>
            </w:r>
            <w:r>
              <w:rPr>
                <w:rFonts w:ascii="Arial" w:cs="Arial" w:eastAsia="Arial" w:hAnsi="Arial"/>
                <w:b w:val="false"/>
                <w:bCs w:val="false"/>
                <w:i w:val="false"/>
                <w:iCs w:val="false"/>
                <w:color w:val="000000"/>
                <w:sz w:val="18"/>
                <w:szCs w:val="18"/>
              </w:rPr>
              <w:t xml:space="preserve"> of electricity? A transformer, inverter or switchgear integral to generating forms part of the qualifying plant. The cost base expressly includes foundations and supporting structures.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Second — s12U.</w:t>
            </w:r>
            <w:r>
              <w:rPr>
                <w:rFonts w:ascii="Arial" w:cs="Arial" w:eastAsia="Arial" w:hAnsi="Arial"/>
                <w:b w:val="false"/>
                <w:bCs w:val="false"/>
                <w:i w:val="false"/>
                <w:iCs w:val="false"/>
                <w:color w:val="000000"/>
                <w:sz w:val="18"/>
                <w:szCs w:val="18"/>
              </w:rPr>
              <w:t xml:space="preserve"> Only a road, a fence, or a foundation for a fence. A transmission line is none of these.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Third — s13quin.</w:t>
            </w:r>
            <w:r>
              <w:rPr>
                <w:rFonts w:ascii="Arial" w:cs="Arial" w:eastAsia="Arial" w:hAnsi="Arial"/>
                <w:b w:val="false"/>
                <w:bCs w:val="false"/>
                <w:i w:val="false"/>
                <w:iCs w:val="false"/>
                <w:color w:val="000000"/>
                <w:sz w:val="18"/>
                <w:szCs w:val="18"/>
              </w:rPr>
              <w:t xml:space="preserve"> 5% a year if it is a </w:t>
            </w:r>
            <w:r>
              <w:rPr>
                <w:rFonts w:ascii="Arial" w:cs="Arial" w:eastAsia="Arial" w:hAnsi="Arial"/>
                <w:b/>
                <w:bCs/>
                <w:i w:val="false"/>
                <w:iCs w:val="false"/>
                <w:color w:val="000000"/>
                <w:sz w:val="18"/>
                <w:szCs w:val="18"/>
              </w:rPr>
              <w:t xml:space="preserve">new and unused building or improvement</w:t>
            </w:r>
            <w:r>
              <w:rPr>
                <w:rFonts w:ascii="Arial" w:cs="Arial" w:eastAsia="Arial" w:hAnsi="Arial"/>
                <w:b w:val="false"/>
                <w:bCs w:val="false"/>
                <w:i w:val="false"/>
                <w:iCs w:val="false"/>
                <w:color w:val="000000"/>
                <w:sz w:val="18"/>
                <w:szCs w:val="18"/>
              </w:rPr>
              <w:t xml:space="preserve"> used wholly or mainly in producing income in the course of trade. A substation building could fall here.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Fourth — s11(e).</w:t>
            </w:r>
            <w:r>
              <w:rPr>
                <w:rFonts w:ascii="Arial" w:cs="Arial" w:eastAsia="Arial" w:hAnsi="Arial"/>
                <w:b w:val="false"/>
                <w:bCs w:val="false"/>
                <w:i w:val="false"/>
                <w:iCs w:val="false"/>
                <w:color w:val="000000"/>
                <w:sz w:val="18"/>
                <w:szCs w:val="18"/>
              </w:rPr>
              <w:t xml:space="preserve"> Wear and tear where no specific allowance applies.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Write-off periods in Interpretation Note 47.</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If none apply:</w:t>
            </w:r>
            <w:r>
              <w:rPr>
                <w:rFonts w:ascii="Arial" w:cs="Arial" w:eastAsia="Arial" w:hAnsi="Arial"/>
                <w:b w:val="false"/>
                <w:bCs w:val="false"/>
                <w:i w:val="false"/>
                <w:iCs w:val="false"/>
                <w:color w:val="000000"/>
                <w:sz w:val="18"/>
                <w:szCs w:val="18"/>
              </w:rPr>
              <w:t xml:space="preserve"> capital, no allowance, and it goes to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 for CGT.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cost split between plant, roads and fences, transmission and connection infrastructure, buildings and land. </w:t>
            </w:r>
            <w:r>
              <w:rPr>
                <w:rFonts w:ascii="Arial" w:cs="Arial" w:eastAsia="Arial" w:hAnsi="Arial"/>
                <w:b/>
                <w:bCs/>
                <w:i w:val="false"/>
                <w:iCs w:val="false"/>
                <w:color w:val="0070C0"/>
                <w:sz w:val="18"/>
                <w:szCs w:val="18"/>
              </w:rPr>
              <w:t xml:space="preserve">Make this your first information request on this trigger.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Project X — R60m grid connection.</w:t>
            </w:r>
            <w:r>
              <w:rPr>
                <w:rFonts w:ascii="Arial" w:cs="Arial" w:eastAsia="Arial" w:hAnsi="Arial"/>
                <w:b w:val="false"/>
                <w:bCs w:val="false"/>
                <w:i w:val="false"/>
                <w:iCs w:val="false"/>
                <w:color w:val="0070C0"/>
                <w:sz w:val="18"/>
                <w:szCs w:val="18"/>
              </w:rPr>
              <w:t xml:space="preserve"> Work the order and show the reasoning: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Transformers and switchgear integral to generation</w:t>
            </w:r>
            <w:r>
              <w:rPr>
                <w:rFonts w:ascii="Arial" w:cs="Arial" w:eastAsia="Arial" w:hAnsi="Arial"/>
                <w:b w:val="false"/>
                <w:bCs w:val="false"/>
                <w:i w:val="false"/>
                <w:iCs w:val="false"/>
                <w:color w:val="0070C0"/>
                <w:sz w:val="18"/>
                <w:szCs w:val="18"/>
              </w:rPr>
              <w:t xml:space="preserve"> → s12B → FY2027 deduction R30m · tax </w:t>
            </w:r>
            <w:r>
              <w:rPr>
                <w:rFonts w:ascii="Arial" w:cs="Arial" w:eastAsia="Arial" w:hAnsi="Arial"/>
                <w:b/>
                <w:bCs/>
                <w:i w:val="false"/>
                <w:iCs w:val="false"/>
                <w:color w:val="0070C0"/>
                <w:sz w:val="18"/>
                <w:szCs w:val="18"/>
              </w:rPr>
              <w:t xml:space="preserve">R8.1m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substation building</w:t>
            </w:r>
            <w:r>
              <w:rPr>
                <w:rFonts w:ascii="Arial" w:cs="Arial" w:eastAsia="Arial" w:hAnsi="Arial"/>
                <w:b w:val="false"/>
                <w:bCs w:val="false"/>
                <w:i w:val="false"/>
                <w:iCs w:val="false"/>
                <w:color w:val="0070C0"/>
                <w:sz w:val="18"/>
                <w:szCs w:val="18"/>
              </w:rPr>
              <w:t xml:space="preserve"> → s13quin → FY2027 deduction R3m · tax </w:t>
            </w:r>
            <w:r>
              <w:rPr>
                <w:rFonts w:ascii="Arial" w:cs="Arial" w:eastAsia="Arial" w:hAnsi="Arial"/>
                <w:b/>
                <w:bCs/>
                <w:i w:val="false"/>
                <w:iCs w:val="false"/>
                <w:color w:val="0070C0"/>
                <w:sz w:val="18"/>
                <w:szCs w:val="18"/>
              </w:rPr>
              <w:t xml:space="preserve">R0.81m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transmission line with no specific allowance</w:t>
            </w:r>
            <w:r>
              <w:rPr>
                <w:rFonts w:ascii="Arial" w:cs="Arial" w:eastAsia="Arial" w:hAnsi="Arial"/>
                <w:b w:val="false"/>
                <w:bCs w:val="false"/>
                <w:i w:val="false"/>
                <w:iCs w:val="false"/>
                <w:color w:val="0070C0"/>
                <w:sz w:val="18"/>
                <w:szCs w:val="18"/>
              </w:rPr>
              <w:t xml:space="preserve"> → s11(e), apportioned. On a 20-year period and 2 months of use: R60m ÷ 20 × 2/12 = R0.5m · tax </w:t>
            </w:r>
            <w:r>
              <w:rPr>
                <w:rFonts w:ascii="Arial" w:cs="Arial" w:eastAsia="Arial" w:hAnsi="Arial"/>
                <w:b/>
                <w:bCs/>
                <w:i w:val="false"/>
                <w:iCs w:val="false"/>
                <w:color w:val="0070C0"/>
                <w:sz w:val="18"/>
                <w:szCs w:val="18"/>
              </w:rPr>
              <w:t xml:space="preserve">R0.135m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R8.1m against R0.135m of first-year tax on the same R60m.</w:t>
            </w:r>
            <w:r>
              <w:rPr>
                <w:rFonts w:ascii="Arial" w:cs="Arial" w:eastAsia="Arial" w:hAnsi="Arial"/>
                <w:b w:val="false"/>
                <w:bCs w:val="false"/>
                <w:i w:val="false"/>
                <w:iCs w:val="false"/>
                <w:color w:val="0070C0"/>
                <w:sz w:val="18"/>
                <w:szCs w:val="18"/>
              </w:rPr>
              <w:t xml:space="preserve"> That is why the split matters, and why a range with reasons is the right answer until you have it.</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Land of R15m: </w:t>
            </w:r>
            <w:r>
              <w:rPr>
                <w:rFonts w:ascii="Arial" w:cs="Arial" w:eastAsia="Arial" w:hAnsi="Arial"/>
                <w:b/>
                <w:bCs/>
                <w:i w:val="false"/>
                <w:iCs w:val="false"/>
                <w:color w:val="0070C0"/>
                <w:sz w:val="18"/>
                <w:szCs w:val="18"/>
              </w:rPr>
              <w:t xml:space="preserve">no allowance under any section</w:t>
            </w:r>
            <w:r>
              <w:rPr>
                <w:rFonts w:ascii="Arial" w:cs="Arial" w:eastAsia="Arial" w:hAnsi="Arial"/>
                <w:b w:val="false"/>
                <w:bCs w:val="false"/>
                <w:i w:val="false"/>
                <w:iCs w:val="false"/>
                <w:color w:val="0070C0"/>
                <w:sz w:val="18"/>
                <w:szCs w:val="18"/>
              </w:rPr>
              <w:t xml:space="preserve"> — base cost only.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5 — Section 12L: energy efficiency savings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verified energy efficiency savings</w:t>
            </w:r>
            <w:r>
              <w:rPr>
                <w:rFonts w:ascii="Arial" w:cs="Arial" w:eastAsia="Arial" w:hAnsi="Arial"/>
                <w:b w:val="false"/>
                <w:bCs w:val="false"/>
                <w:i w:val="false"/>
                <w:iCs w:val="false"/>
                <w:color w:val="000000"/>
                <w:sz w:val="18"/>
                <w:szCs w:val="18"/>
              </w:rPr>
              <w:t xml:space="preserve"> achieved in the year of assessment.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Computed at </w:t>
            </w:r>
            <w:r>
              <w:rPr>
                <w:rFonts w:ascii="Arial" w:cs="Arial" w:eastAsia="Arial" w:hAnsi="Arial"/>
                <w:b/>
                <w:bCs/>
                <w:i w:val="false"/>
                <w:iCs w:val="false"/>
                <w:color w:val="000000"/>
                <w:sz w:val="18"/>
                <w:szCs w:val="18"/>
              </w:rPr>
              <w:t xml:space="preserve">95 cents per kilowatt-hour</w:t>
            </w:r>
            <w:r>
              <w:rPr>
                <w:rFonts w:ascii="Arial" w:cs="Arial" w:eastAsia="Arial" w:hAnsi="Arial"/>
                <w:b w:val="false"/>
                <w:bCs w:val="false"/>
                <w:i w:val="false"/>
                <w:iCs w:val="false"/>
                <w:color w:val="000000"/>
                <w:sz w:val="18"/>
                <w:szCs w:val="18"/>
              </w:rPr>
              <w:t xml:space="preserve"> (or kWh equivalent) saved.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measurement and verification by a </w:t>
            </w:r>
            <w:r>
              <w:rPr>
                <w:rFonts w:ascii="Arial" w:cs="Arial" w:eastAsia="Arial" w:hAnsi="Arial"/>
                <w:b/>
                <w:bCs/>
                <w:i w:val="false"/>
                <w:iCs w:val="false"/>
                <w:color w:val="000000"/>
                <w:sz w:val="18"/>
                <w:szCs w:val="18"/>
              </w:rPr>
              <w:t xml:space="preserve">SANAS-accredited M&amp;V body</w:t>
            </w:r>
            <w:r>
              <w:rPr>
                <w:rFonts w:ascii="Arial" w:cs="Arial" w:eastAsia="Arial" w:hAnsi="Arial"/>
                <w:b w:val="false"/>
                <w:bCs w:val="false"/>
                <w:i w:val="false"/>
                <w:iCs w:val="false"/>
                <w:color w:val="000000"/>
                <w:sz w:val="18"/>
                <w:szCs w:val="18"/>
              </w:rPr>
              <w:t xml:space="preserve"> and a </w:t>
            </w:r>
            <w:r>
              <w:rPr>
                <w:rFonts w:ascii="Arial" w:cs="Arial" w:eastAsia="Arial" w:hAnsi="Arial"/>
                <w:b/>
                <w:bCs/>
                <w:i w:val="false"/>
                <w:iCs w:val="false"/>
                <w:color w:val="000000"/>
                <w:sz w:val="18"/>
                <w:szCs w:val="18"/>
              </w:rPr>
              <w:t xml:space="preserve">certificate issued by SANEDI</w:t>
            </w:r>
            <w:r>
              <w:rPr>
                <w:rFonts w:ascii="Arial" w:cs="Arial" w:eastAsia="Arial" w:hAnsi="Arial"/>
                <w:b w:val="false"/>
                <w:bCs w:val="false"/>
                <w:i w:val="false"/>
                <w:iCs w:val="false"/>
                <w:color w:val="000000"/>
                <w:sz w:val="18"/>
                <w:szCs w:val="18"/>
              </w:rPr>
              <w:t xml:space="preserve">. No certificate, no deduction.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Savings are measured against a </w:t>
            </w:r>
            <w:r>
              <w:rPr>
                <w:rFonts w:ascii="Arial" w:cs="Arial" w:eastAsia="Arial" w:hAnsi="Arial"/>
                <w:b/>
                <w:bCs/>
                <w:i w:val="false"/>
                <w:iCs w:val="false"/>
                <w:color w:val="000000"/>
                <w:sz w:val="18"/>
                <w:szCs w:val="18"/>
              </w:rPr>
              <w:t xml:space="preserve">baseline</w:t>
            </w:r>
            <w:r>
              <w:rPr>
                <w:rFonts w:ascii="Arial" w:cs="Arial" w:eastAsia="Arial" w:hAnsi="Arial"/>
                <w:b w:val="false"/>
                <w:bCs w:val="false"/>
                <w:i w:val="false"/>
                <w:iCs w:val="false"/>
                <w:color w:val="000000"/>
                <w:sz w:val="18"/>
                <w:szCs w:val="18"/>
              </w:rPr>
              <w:t xml:space="preserve">, which must be established before the intervention.</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Sunset extended from 31 December 2025 to 31 December 2030</w:t>
            </w:r>
            <w:r>
              <w:rPr>
                <w:rFonts w:ascii="Arial" w:cs="Arial" w:eastAsia="Arial" w:hAnsi="Arial"/>
                <w:b w:val="false"/>
                <w:bCs w:val="false"/>
                <w:i w:val="false"/>
                <w:iCs w:val="false"/>
                <w:color w:val="000000"/>
                <w:sz w:val="18"/>
                <w:szCs w:val="18"/>
              </w:rPr>
              <w:t xml:space="preserve"> — the incentive is </w:t>
            </w:r>
            <w:r>
              <w:rPr>
                <w:rFonts w:ascii="Arial" w:cs="Arial" w:eastAsia="Arial" w:hAnsi="Arial"/>
                <w:b/>
                <w:bCs/>
                <w:i w:val="false"/>
                <w:iCs w:val="false"/>
                <w:color w:val="000000"/>
                <w:sz w:val="18"/>
                <w:szCs w:val="18"/>
              </w:rPr>
              <w:t xml:space="preserve">available</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one incentive that applies to the existing five facilities, not only to a new project.</w:t>
            </w:r>
            <w:r>
              <w:rPr>
                <w:rFonts w:ascii="Arial" w:cs="Arial" w:eastAsia="Arial" w:hAnsi="Arial"/>
                <w:b w:val="false"/>
                <w:bCs w:val="false"/>
                <w:i w:val="false"/>
                <w:iCs w:val="false"/>
                <w:color w:val="0070C0"/>
                <w:sz w:val="18"/>
                <w:szCs w:val="18"/>
              </w:rPr>
              <w:t xml:space="preserve"> It rewards </w:t>
            </w:r>
            <w:r>
              <w:rPr>
                <w:rFonts w:ascii="Arial" w:cs="Arial" w:eastAsia="Arial" w:hAnsi="Arial"/>
                <w:b/>
                <w:bCs/>
                <w:i w:val="false"/>
                <w:iCs w:val="false"/>
                <w:color w:val="0070C0"/>
                <w:sz w:val="18"/>
                <w:szCs w:val="18"/>
              </w:rPr>
              <w:t xml:space="preserve">using less</w:t>
            </w:r>
            <w:r>
              <w:rPr>
                <w:rFonts w:ascii="Arial" w:cs="Arial" w:eastAsia="Arial" w:hAnsi="Arial"/>
                <w:b w:val="false"/>
                <w:bCs w:val="false"/>
                <w:i w:val="false"/>
                <w:iCs w:val="false"/>
                <w:color w:val="0070C0"/>
                <w:sz w:val="18"/>
                <w:szCs w:val="18"/>
              </w:rPr>
              <w:t xml:space="preserve"> electricity rather than generating it, so it sits alongside the renewable options rather than competing with them.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Electricity is one of Axion’s most significant operating costs (Document 7), data centres measure efficiency continuously, and the </w:t>
            </w:r>
            <w:r>
              <w:rPr>
                <w:rFonts w:ascii="Arial" w:cs="Arial" w:eastAsia="Arial" w:hAnsi="Arial"/>
                <w:b/>
                <w:bCs/>
                <w:i w:val="false"/>
                <w:iCs w:val="false"/>
                <w:color w:val="0070C0"/>
                <w:sz w:val="18"/>
                <w:szCs w:val="18"/>
              </w:rPr>
              <w:t xml:space="preserve">AI-enabled maintenance tool piloted at Johannesburg 1</w:t>
            </w:r>
            <w:r>
              <w:rPr>
                <w:rFonts w:ascii="Arial" w:cs="Arial" w:eastAsia="Arial" w:hAnsi="Arial"/>
                <w:b w:val="false"/>
                <w:bCs w:val="false"/>
                <w:i w:val="false"/>
                <w:iCs w:val="false"/>
                <w:color w:val="0070C0"/>
                <w:sz w:val="18"/>
                <w:szCs w:val="18"/>
              </w:rPr>
              <w:t xml:space="preserve"> is an intervention of exactly this kind.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has Axion claimed s12L before; is a measured baseline in place; are efficiency projects planned?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 cooling optimisation saving 3 000 000 kWh in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3 000 000 kWh × 95c = </w:t>
            </w:r>
            <w:r>
              <w:rPr>
                <w:rFonts w:ascii="Arial" w:cs="Arial" w:eastAsia="Arial" w:hAnsi="Arial"/>
                <w:b/>
                <w:bCs/>
                <w:i w:val="false"/>
                <w:iCs w:val="false"/>
                <w:color w:val="0070C0"/>
                <w:sz w:val="18"/>
                <w:szCs w:val="18"/>
              </w:rPr>
              <w:t xml:space="preserve">R2.85m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R769 500</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Modest against s12B, but it recurs annually while the savings persist and needs no capital.</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Practical caution:</w:t>
            </w:r>
            <w:r>
              <w:rPr>
                <w:rFonts w:ascii="Arial" w:cs="Arial" w:eastAsia="Arial" w:hAnsi="Arial"/>
                <w:b w:val="false"/>
                <w:bCs w:val="false"/>
                <w:i w:val="false"/>
                <w:iCs w:val="false"/>
                <w:color w:val="0070C0"/>
                <w:sz w:val="18"/>
                <w:szCs w:val="18"/>
              </w:rPr>
              <w:t xml:space="preserve"> no retrospective claim. Without M&amp;V and SANEDI certification there is no deduction, however real the saving.</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B. Other capital allowances</w:t>
      </w:r>
    </w:p>
    <w:p>
      <w:pPr>
        <w:keepNext/>
        <w:spacing w:after="70" w:before="200" w:line="250" w:lineRule="auto"/>
      </w:pPr>
      <w:r>
        <w:rPr>
          <w:rFonts w:ascii="Arial" w:cs="Arial" w:eastAsia="Arial" w:hAnsi="Arial"/>
          <w:b/>
          <w:bCs/>
          <w:i w:val="false"/>
          <w:iCs w:val="false"/>
          <w:color w:val="000000"/>
          <w:sz w:val="22"/>
          <w:szCs w:val="22"/>
        </w:rPr>
        <w:t xml:space="preserve">Table 6 — Section 11(e): wear and tear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wear and tear</w:t>
            </w:r>
            <w:r>
              <w:rPr>
                <w:rFonts w:ascii="Arial" w:cs="Arial" w:eastAsia="Arial" w:hAnsi="Arial"/>
                <w:b w:val="false"/>
                <w:bCs w:val="false"/>
                <w:i w:val="false"/>
                <w:iCs w:val="false"/>
                <w:color w:val="000000"/>
                <w:sz w:val="18"/>
                <w:szCs w:val="18"/>
              </w:rPr>
              <w:t xml:space="preserve"> of machinery, plant, implements, utensils and articles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under an instalment credit agreement, and </w:t>
            </w:r>
            <w:r>
              <w:rPr>
                <w:rFonts w:ascii="Arial" w:cs="Arial" w:eastAsia="Arial" w:hAnsi="Arial"/>
                <w:b/>
                <w:bCs/>
                <w:i w:val="false"/>
                <w:iCs w:val="false"/>
                <w:color w:val="000000"/>
                <w:sz w:val="18"/>
                <w:szCs w:val="18"/>
              </w:rPr>
              <w:t xml:space="preserve">used for the purposes of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where </w:t>
            </w:r>
            <w:r>
              <w:rPr>
                <w:rFonts w:ascii="Arial" w:cs="Arial" w:eastAsia="Arial" w:hAnsi="Arial"/>
                <w:b/>
                <w:bCs/>
                <w:i w:val="false"/>
                <w:iCs w:val="false"/>
                <w:color w:val="000000"/>
                <w:sz w:val="18"/>
                <w:szCs w:val="18"/>
              </w:rPr>
              <w:t xml:space="preserve">no other specific allowance</w:t>
            </w:r>
            <w:r>
              <w:rPr>
                <w:rFonts w:ascii="Arial" w:cs="Arial" w:eastAsia="Arial" w:hAnsi="Arial"/>
                <w:b w:val="false"/>
                <w:bCs w:val="false"/>
                <w:i w:val="false"/>
                <w:iCs w:val="false"/>
                <w:color w:val="000000"/>
                <w:sz w:val="18"/>
                <w:szCs w:val="18"/>
              </w:rPr>
              <w:t xml:space="preserve"> applies — it is the residual provision.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unlike s12B, s12BA and s12C.</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Write-off periods in </w:t>
            </w:r>
            <w:r>
              <w:rPr>
                <w:rFonts w:ascii="Arial" w:cs="Arial" w:eastAsia="Arial" w:hAnsi="Arial"/>
                <w:b/>
                <w:bCs/>
                <w:i w:val="false"/>
                <w:iCs w:val="false"/>
                <w:color w:val="000000"/>
                <w:sz w:val="18"/>
                <w:szCs w:val="18"/>
              </w:rPr>
              <w:t xml:space="preserve">Interpretation Note 47</w:t>
            </w:r>
            <w:r>
              <w:rPr>
                <w:rFonts w:ascii="Arial" w:cs="Arial" w:eastAsia="Arial" w:hAnsi="Arial"/>
                <w:b w:val="false"/>
                <w:bCs w:val="false"/>
                <w:i w:val="false"/>
                <w:iCs w:val="false"/>
                <w:color w:val="000000"/>
                <w:sz w:val="18"/>
                <w:szCs w:val="18"/>
              </w:rPr>
              <w:t xml:space="preserve">, or a shorter period the taxpayer can justify.</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Excludes buildings and structures of a permanent nature.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default for most of Axion’s asset base</w:t>
            </w:r>
            <w:r>
              <w:rPr>
                <w:rFonts w:ascii="Arial" w:cs="Arial" w:eastAsia="Arial" w:hAnsi="Arial"/>
                <w:b w:val="false"/>
                <w:bCs w:val="false"/>
                <w:i w:val="false"/>
                <w:iCs w:val="false"/>
                <w:color w:val="0070C0"/>
                <w:sz w:val="18"/>
                <w:szCs w:val="18"/>
              </w:rPr>
              <w:t xml:space="preserve"> — cooling plant, UPS and batteries, backup generators, network and security equipment — where no specific section applies.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apportionment difference is worth a sentence.</w:t>
            </w:r>
            <w:r>
              <w:rPr>
                <w:rFonts w:ascii="Arial" w:cs="Arial" w:eastAsia="Arial" w:hAnsi="Arial"/>
                <w:b w:val="false"/>
                <w:bCs w:val="false"/>
                <w:i w:val="false"/>
                <w:iCs w:val="false"/>
                <w:color w:val="0070C0"/>
                <w:sz w:val="18"/>
                <w:szCs w:val="18"/>
              </w:rPr>
              <w:t xml:space="preserve"> Under s12B, commissioning on 29 June gives a full 50%. Under s11(e), the same date gives about one month. Two assets commissioned on the same day can produce very different first-year deductions.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the R60m transmission line if it falls here.</w:t>
            </w:r>
            <w:r>
              <w:rPr>
                <w:rFonts w:ascii="Arial" w:cs="Arial" w:eastAsia="Arial" w:hAnsi="Arial"/>
                <w:b w:val="false"/>
                <w:bCs w:val="false"/>
                <w:i w:val="false"/>
                <w:iCs w:val="false"/>
                <w:color w:val="0070C0"/>
                <w:sz w:val="18"/>
                <w:szCs w:val="18"/>
              </w:rPr>
              <w:t xml:space="preserve"> On a 20-year period and 2 of 12 months in FY2027: R60m ÷ 20 × 2/12 = </w:t>
            </w:r>
            <w:r>
              <w:rPr>
                <w:rFonts w:ascii="Arial" w:cs="Arial" w:eastAsia="Arial" w:hAnsi="Arial"/>
                <w:b/>
                <w:bCs/>
                <w:i w:val="false"/>
                <w:iCs w:val="false"/>
                <w:color w:val="0070C0"/>
                <w:sz w:val="18"/>
                <w:szCs w:val="18"/>
              </w:rPr>
              <w:t xml:space="preserve">R500 000</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R135 000</w:t>
            </w:r>
            <w:r>
              <w:rPr>
                <w:rFonts w:ascii="Arial" w:cs="Arial" w:eastAsia="Arial" w:hAnsi="Arial"/>
                <w:b w:val="false"/>
                <w:bCs w:val="false"/>
                <w:i w:val="false"/>
                <w:iCs w:val="false"/>
                <w:color w:val="0070C0"/>
                <w:sz w:val="18"/>
                <w:szCs w:val="18"/>
              </w:rPr>
              <w:t xml:space="preserve">, against R8.1m under s12B.</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nature of the connection asset and the IN47 write-off period.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7 — Section 12C: plant used in a process of manufacture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40 / 20 / 20 / 20</w:t>
            </w:r>
            <w:r>
              <w:rPr>
                <w:rFonts w:ascii="Arial" w:cs="Arial" w:eastAsia="Arial" w:hAnsi="Arial"/>
                <w:b w:val="false"/>
                <w:bCs w:val="false"/>
                <w:i w:val="false"/>
                <w:iCs w:val="false"/>
                <w:color w:val="000000"/>
                <w:sz w:val="18"/>
                <w:szCs w:val="18"/>
              </w:rPr>
              <w:t xml:space="preserve"> over four years for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machinery or plant used </w:t>
            </w:r>
            <w:r>
              <w:rPr>
                <w:rFonts w:ascii="Arial" w:cs="Arial" w:eastAsia="Arial" w:hAnsi="Arial"/>
                <w:b/>
                <w:bCs/>
                <w:i w:val="false"/>
                <w:iCs w:val="false"/>
                <w:color w:val="000000"/>
                <w:sz w:val="18"/>
                <w:szCs w:val="18"/>
              </w:rPr>
              <w:t xml:space="preserve">directly in a process of manufacture</w:t>
            </w:r>
            <w:r>
              <w:rPr>
                <w:rFonts w:ascii="Arial" w:cs="Arial" w:eastAsia="Arial" w:hAnsi="Arial"/>
                <w:b w:val="false"/>
                <w:bCs w:val="false"/>
                <w:i w:val="false"/>
                <w:iCs w:val="false"/>
                <w:color w:val="000000"/>
                <w:sz w:val="18"/>
                <w:szCs w:val="18"/>
              </w:rPr>
              <w:t xml:space="preserve"> or similar process.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20% over five years for used or second-hand qualifying plant. </w:t>
            </w:r>
            <w:r>
              <w:rPr>
                <w:rFonts w:ascii="Arial" w:cs="Arial" w:eastAsia="Arial" w:hAnsi="Arial"/>
                <w:b/>
                <w:bCs/>
                <w:i w:val="false"/>
                <w:iCs w:val="false"/>
                <w:color w:val="000000"/>
                <w:sz w:val="18"/>
                <w:szCs w:val="18"/>
              </w:rPr>
              <w:t xml:space="preserve">Not apportioned.</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Rule it out, and say why.</w:t>
            </w:r>
            <w:r>
              <w:rPr>
                <w:rFonts w:ascii="Arial" w:cs="Arial" w:eastAsia="Arial" w:hAnsi="Arial"/>
                <w:b w:val="false"/>
                <w:bCs w:val="false"/>
                <w:i w:val="false"/>
                <w:iCs w:val="false"/>
                <w:color w:val="0070C0"/>
                <w:sz w:val="18"/>
                <w:szCs w:val="18"/>
              </w:rPr>
              <w:t xml:space="preserve"> Axion provides colocation and interconnection services — it houses and powers other people’s computing equipment. It carries on no process of manufacture, so </w:t>
            </w:r>
            <w:r>
              <w:rPr>
                <w:rFonts w:ascii="Arial" w:cs="Arial" w:eastAsia="Arial" w:hAnsi="Arial"/>
                <w:b/>
                <w:bCs/>
                <w:i w:val="false"/>
                <w:iCs w:val="false"/>
                <w:color w:val="0070C0"/>
                <w:sz w:val="18"/>
                <w:szCs w:val="18"/>
              </w:rPr>
              <w:t xml:space="preserve">s12C applies to none of its assets.</w:t>
            </w:r>
            <w:r>
              <w:rPr>
                <w:rFonts w:ascii="Arial" w:cs="Arial" w:eastAsia="Arial" w:hAnsi="Arial"/>
                <w:b w:val="false"/>
                <w:bCs w:val="false"/>
                <w:i w:val="false"/>
                <w:iCs w:val="false"/>
                <w:color w:val="0070C0"/>
                <w:sz w:val="18"/>
                <w:szCs w:val="18"/>
              </w:rPr>
              <w:t xml:space="preserve"> One clear sentence disposes of it.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Do not</w:t>
            </w:r>
            <w:r>
              <w:rPr>
                <w:rFonts w:ascii="Arial" w:cs="Arial" w:eastAsia="Arial" w:hAnsi="Arial"/>
                <w:b w:val="false"/>
                <w:bCs w:val="false"/>
                <w:i w:val="false"/>
                <w:iCs w:val="false"/>
                <w:color w:val="0070C0"/>
                <w:sz w:val="18"/>
                <w:szCs w:val="18"/>
              </w:rPr>
              <w:t xml:space="preserve"> argue that data processing is manufacture. A wrong technical claim costs more than an omitted one.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8 — Section 13quin: commercial buildings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5% per year</w:t>
            </w:r>
            <w:r>
              <w:rPr>
                <w:rFonts w:ascii="Arial" w:cs="Arial" w:eastAsia="Arial" w:hAnsi="Arial"/>
                <w:b w:val="false"/>
                <w:bCs w:val="false"/>
                <w:i w:val="false"/>
                <w:iCs w:val="false"/>
                <w:color w:val="000000"/>
                <w:sz w:val="18"/>
                <w:szCs w:val="18"/>
              </w:rPr>
              <w:t xml:space="preserve"> of the cost of any </w:t>
            </w:r>
            <w:r>
              <w:rPr>
                <w:rFonts w:ascii="Arial" w:cs="Arial" w:eastAsia="Arial" w:hAnsi="Arial"/>
                <w:b/>
                <w:bCs/>
                <w:i w:val="false"/>
                <w:iCs w:val="false"/>
                <w:color w:val="000000"/>
                <w:sz w:val="18"/>
                <w:szCs w:val="18"/>
              </w:rPr>
              <w:t xml:space="preserve">new and unused building</w:t>
            </w:r>
            <w:r>
              <w:rPr>
                <w:rFonts w:ascii="Arial" w:cs="Arial" w:eastAsia="Arial" w:hAnsi="Arial"/>
                <w:b w:val="false"/>
                <w:bCs w:val="false"/>
                <w:i w:val="false"/>
                <w:iCs w:val="false"/>
                <w:color w:val="000000"/>
                <w:sz w:val="18"/>
                <w:szCs w:val="18"/>
              </w:rPr>
              <w:t xml:space="preserve">, or </w:t>
            </w:r>
            <w:r>
              <w:rPr>
                <w:rFonts w:ascii="Arial" w:cs="Arial" w:eastAsia="Arial" w:hAnsi="Arial"/>
                <w:b/>
                <w:bCs/>
                <w:i w:val="false"/>
                <w:iCs w:val="false"/>
                <w:color w:val="000000"/>
                <w:sz w:val="18"/>
                <w:szCs w:val="18"/>
              </w:rPr>
              <w:t xml:space="preserve">new and unused improvement</w:t>
            </w:r>
            <w:r>
              <w:rPr>
                <w:rFonts w:ascii="Arial" w:cs="Arial" w:eastAsia="Arial" w:hAnsi="Arial"/>
                <w:b w:val="false"/>
                <w:bCs w:val="false"/>
                <w:i w:val="false"/>
                <w:iCs w:val="false"/>
                <w:color w:val="000000"/>
                <w:sz w:val="18"/>
                <w:szCs w:val="18"/>
              </w:rPr>
              <w:t xml:space="preserve"> to a building,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building must be used </w:t>
            </w:r>
            <w:r>
              <w:rPr>
                <w:rFonts w:ascii="Arial" w:cs="Arial" w:eastAsia="Arial" w:hAnsi="Arial"/>
                <w:b/>
                <w:bCs/>
                <w:i w:val="false"/>
                <w:iCs w:val="false"/>
                <w:color w:val="000000"/>
                <w:sz w:val="18"/>
                <w:szCs w:val="18"/>
              </w:rPr>
              <w:t xml:space="preserve">wholly or mainly for producing income in the course of a trade</w:t>
            </w:r>
            <w:r>
              <w:rPr>
                <w:rFonts w:ascii="Arial" w:cs="Arial" w:eastAsia="Arial" w:hAnsi="Arial"/>
                <w:b w:val="false"/>
                <w:bCs w:val="false"/>
                <w:i w:val="false"/>
                <w:iCs w:val="false"/>
                <w:color w:val="000000"/>
                <w:sz w:val="18"/>
                <w:szCs w:val="18"/>
              </w:rPr>
              <w:t xml:space="preserve">, other than residential accommodation.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Special rules apply where a building or part of one is </w:t>
            </w:r>
            <w:r>
              <w:rPr>
                <w:rFonts w:ascii="Arial" w:cs="Arial" w:eastAsia="Arial" w:hAnsi="Arial"/>
                <w:b/>
                <w:bCs/>
                <w:i w:val="false"/>
                <w:iCs w:val="false"/>
                <w:color w:val="000000"/>
                <w:sz w:val="18"/>
                <w:szCs w:val="18"/>
              </w:rPr>
              <w:t xml:space="preserve">acquired from another person</w:t>
            </w:r>
            <w:r>
              <w:rPr>
                <w:rFonts w:ascii="Arial" w:cs="Arial" w:eastAsia="Arial" w:hAnsi="Arial"/>
                <w:b w:val="false"/>
                <w:bCs w:val="false"/>
                <w:i w:val="false"/>
                <w:iCs w:val="false"/>
                <w:color w:val="000000"/>
                <w:sz w:val="18"/>
                <w:szCs w:val="18"/>
              </w:rPr>
              <w:t xml:space="preserve"> rather than constructed.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Land is excluded — the allowance is on the building only.</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Relevant to Document 7 where part of the project cost is a </w:t>
            </w:r>
            <w:r>
              <w:rPr>
                <w:rFonts w:ascii="Arial" w:cs="Arial" w:eastAsia="Arial" w:hAnsi="Arial"/>
                <w:b/>
                <w:bCs/>
                <w:i w:val="false"/>
                <w:iCs w:val="false"/>
                <w:color w:val="0070C0"/>
                <w:sz w:val="18"/>
                <w:szCs w:val="18"/>
              </w:rPr>
              <w:t xml:space="preserve">substation or plant-room building</w:t>
            </w:r>
            <w:r>
              <w:rPr>
                <w:rFonts w:ascii="Arial" w:cs="Arial" w:eastAsia="Arial" w:hAnsi="Arial"/>
                <w:b w:val="false"/>
                <w:bCs w:val="false"/>
                <w:i w:val="false"/>
                <w:iCs w:val="false"/>
                <w:color w:val="0070C0"/>
                <w:sz w:val="18"/>
                <w:szCs w:val="18"/>
              </w:rPr>
              <w:t xml:space="preserve"> rather than plant — see Table 4.</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 R900m data centre building brought into use in FY2027: R900m × 5% = </w:t>
            </w:r>
            <w:r>
              <w:rPr>
                <w:rFonts w:ascii="Arial" w:cs="Arial" w:eastAsia="Arial" w:hAnsi="Arial"/>
                <w:b/>
                <w:bCs/>
                <w:i w:val="false"/>
                <w:iCs w:val="false"/>
                <w:color w:val="0070C0"/>
                <w:sz w:val="18"/>
                <w:szCs w:val="18"/>
              </w:rPr>
              <w:t xml:space="preserve">R45m</w:t>
            </w:r>
            <w:r>
              <w:rPr>
                <w:rFonts w:ascii="Arial" w:cs="Arial" w:eastAsia="Arial" w:hAnsi="Arial"/>
                <w:b w:val="false"/>
                <w:bCs w:val="false"/>
                <w:i w:val="false"/>
                <w:iCs w:val="false"/>
                <w:color w:val="0070C0"/>
                <w:sz w:val="18"/>
                <w:szCs w:val="18"/>
              </w:rPr>
              <w:t xml:space="preserve"> a year · tax at 27% =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 a year, for 20 years.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contrast a good answer draws.</w:t>
            </w:r>
            <w:r>
              <w:rPr>
                <w:rFonts w:ascii="Arial" w:cs="Arial" w:eastAsia="Arial" w:hAnsi="Arial"/>
                <w:b w:val="false"/>
                <w:bCs w:val="false"/>
                <w:i w:val="false"/>
                <w:iCs w:val="false"/>
                <w:color w:val="0070C0"/>
                <w:sz w:val="18"/>
                <w:szCs w:val="18"/>
              </w:rPr>
              <w:t xml:space="preserve"> The building gets 5% a year over 20 years; the renewable plant inside gets 50% in year one. The same rand spent on generation plant rather than on building shell produces a far more front-loaded deduction.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JHB4 is the live s13quin asset</w:t>
            </w:r>
            <w:r>
              <w:rPr>
                <w:rFonts w:ascii="Arial" w:cs="Arial" w:eastAsia="Arial" w:hAnsi="Arial"/>
                <w:b w:val="false"/>
                <w:bCs w:val="false"/>
                <w:i w:val="false"/>
                <w:iCs w:val="false"/>
                <w:color w:val="0070C0"/>
                <w:sz w:val="18"/>
                <w:szCs w:val="18"/>
              </w:rPr>
              <w:t xml:space="preserve">, and it comes from Document 6 — see </w:t>
            </w:r>
            <w:r>
              <w:rPr>
                <w:rFonts w:ascii="Arial" w:cs="Arial" w:eastAsia="Arial" w:hAnsi="Arial"/>
                <w:b/>
                <w:bCs/>
                <w:i w:val="false"/>
                <w:iCs w:val="false"/>
                <w:color w:val="0070C0"/>
                <w:sz w:val="18"/>
                <w:szCs w:val="18"/>
              </w:rPr>
              <w:t xml:space="preserve">Table 21</w:t>
            </w:r>
            <w:r>
              <w:rPr>
                <w:rFonts w:ascii="Arial" w:cs="Arial" w:eastAsia="Arial" w:hAnsi="Arial"/>
                <w:b w:val="false"/>
                <w:bCs w:val="false"/>
                <w:i w:val="false"/>
                <w:iCs w:val="false"/>
                <w:color w:val="0070C0"/>
                <w:sz w:val="18"/>
                <w:szCs w:val="18"/>
              </w:rPr>
              <w:t xml:space="preserve"> in Section K, including the phased bring-into-service question.</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C. Operating deductions and finance costs</w:t>
      </w:r>
    </w:p>
    <w:p>
      <w:pPr>
        <w:keepNext/>
        <w:spacing w:after="70" w:before="200" w:line="250" w:lineRule="auto"/>
      </w:pPr>
      <w:r>
        <w:rPr>
          <w:rFonts w:ascii="Arial" w:cs="Arial" w:eastAsia="Arial" w:hAnsi="Arial"/>
          <w:b/>
          <w:bCs/>
          <w:i w:val="false"/>
          <w:iCs w:val="false"/>
          <w:color w:val="000000"/>
          <w:sz w:val="22"/>
          <w:szCs w:val="22"/>
        </w:rPr>
        <w:t xml:space="preserve">Table 9 — Section 11(a): the general deduction formula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expenditure and losses actually incurred</w:t>
            </w:r>
            <w:r>
              <w:rPr>
                <w:rFonts w:ascii="Arial" w:cs="Arial" w:eastAsia="Arial" w:hAnsi="Arial"/>
                <w:b w:val="false"/>
                <w:bCs w:val="false"/>
                <w:i w:val="false"/>
                <w:iCs w:val="false"/>
                <w:color w:val="000000"/>
                <w:sz w:val="18"/>
                <w:szCs w:val="18"/>
              </w:rPr>
              <w:t xml:space="preserve"> in the Republic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 provided they are </w:t>
            </w: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 only to the extent laid out for the purposes of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“Actually incurred” means an unconditional legal obligation has arisen, not that payment has been made.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only deduction Axion gets on the PPA route.</w:t>
            </w:r>
            <w:r>
              <w:rPr>
                <w:rFonts w:ascii="Arial" w:cs="Arial" w:eastAsia="Arial" w:hAnsi="Arial"/>
                <w:b w:val="false"/>
                <w:bCs w:val="false"/>
                <w:i w:val="false"/>
                <w:iCs w:val="false"/>
                <w:color w:val="0070C0"/>
                <w:sz w:val="18"/>
                <w:szCs w:val="18"/>
              </w:rPr>
              <w:t xml:space="preserve"> No asset, no allowance — just the cost of electricity as incurred. That is the single most important tax difference between buying and building.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Also covers</w:t>
            </w:r>
            <w:r>
              <w:rPr>
                <w:rFonts w:ascii="Arial" w:cs="Arial" w:eastAsia="Arial" w:hAnsi="Arial"/>
                <w:b w:val="false"/>
                <w:bCs w:val="false"/>
                <w:i w:val="false"/>
                <w:iCs w:val="false"/>
                <w:color w:val="0070C0"/>
                <w:sz w:val="18"/>
                <w:szCs w:val="18"/>
              </w:rPr>
              <w:t xml:space="preserve"> wheeling charges, network charges and transmission losses borne by Axion, and the electricity it already buys from the grid.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the PPA route on Project X economics.</w:t>
            </w:r>
            <w:r>
              <w:rPr>
                <w:rFonts w:ascii="Arial" w:cs="Arial" w:eastAsia="Arial" w:hAnsi="Arial"/>
                <w:b w:val="false"/>
                <w:bCs w:val="false"/>
                <w:i w:val="false"/>
                <w:iCs w:val="false"/>
                <w:color w:val="0070C0"/>
                <w:sz w:val="18"/>
                <w:szCs w:val="18"/>
              </w:rPr>
              <w:t xml:space="preserve"> Assume a PPA price of R88m a year:</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FY2027 deduction </w:t>
            </w:r>
            <w:r>
              <w:rPr>
                <w:rFonts w:ascii="Arial" w:cs="Arial" w:eastAsia="Arial" w:hAnsi="Arial"/>
                <w:b/>
                <w:bCs/>
                <w:i w:val="false"/>
                <w:iCs w:val="false"/>
                <w:color w:val="0070C0"/>
                <w:sz w:val="18"/>
                <w:szCs w:val="18"/>
              </w:rPr>
              <w:t xml:space="preserve">R88m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R23.76m</w:t>
            </w:r>
            <w:r>
              <w:rPr>
                <w:rFonts w:ascii="Arial" w:cs="Arial" w:eastAsia="Arial" w:hAnsi="Arial"/>
                <w:b w:val="false"/>
                <w:bCs w:val="false"/>
                <w:i w:val="false"/>
                <w:iCs w:val="false"/>
                <w:color w:val="0070C0"/>
                <w:sz w:val="18"/>
                <w:szCs w:val="18"/>
              </w:rPr>
              <w:t xml:space="preserve">, and the same every year of the contract.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Against owning:</w:t>
            </w:r>
            <w:r>
              <w:rPr>
                <w:rFonts w:ascii="Arial" w:cs="Arial" w:eastAsia="Arial" w:hAnsi="Arial"/>
                <w:b w:val="false"/>
                <w:bCs w:val="false"/>
                <w:i w:val="false"/>
                <w:iCs w:val="false"/>
                <w:color w:val="0070C0"/>
                <w:sz w:val="18"/>
                <w:szCs w:val="18"/>
              </w:rPr>
              <w:t xml:space="preserve"> R250m of deductions in FY2027 (s12B R225m + s12U R25m), tax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 but they run out after three years, while the PPA deduction continues for the life of the contract. </w:t>
            </w:r>
            <w:r>
              <w:rPr>
                <w:rFonts w:ascii="Arial" w:cs="Arial" w:eastAsia="Arial" w:hAnsi="Arial"/>
                <w:b/>
                <w:bCs/>
                <w:i w:val="false"/>
                <w:iCs w:val="false"/>
                <w:color w:val="0070C0"/>
                <w:sz w:val="18"/>
                <w:szCs w:val="18"/>
              </w:rPr>
              <w:t xml:space="preserve">The tax shield is front-loaded on ownership and level on a PPA.</w:t>
            </w:r>
            <w:r>
              <w:rPr>
                <w:rFonts w:ascii="Arial" w:cs="Arial" w:eastAsia="Arial" w:hAnsi="Arial"/>
                <w:b w:val="false"/>
                <w:bCs w:val="false"/>
                <w:i w:val="false"/>
                <w:iCs w:val="false"/>
                <w:color w:val="0070C0"/>
                <w:sz w:val="18"/>
                <w:szCs w:val="18"/>
              </w:rPr>
              <w:t xml:space="preserve"> That is the shape of the answer, not just its size.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Onerous commitment.</w:t>
            </w:r>
            <w:r>
              <w:rPr>
                <w:rFonts w:ascii="Arial" w:cs="Arial" w:eastAsia="Arial" w:hAnsi="Arial"/>
                <w:b w:val="false"/>
                <w:bCs w:val="false"/>
                <w:i w:val="false"/>
                <w:iCs w:val="false"/>
                <w:color w:val="0070C0"/>
                <w:sz w:val="18"/>
                <w:szCs w:val="18"/>
              </w:rPr>
              <w:t xml:space="preserve"> Document 7 warns that purchase commitments may begin before the new facility is fully utilised. Electricity paid for but not used remains deductible, but it is a real cash cost — flag it commercially as well as technically.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10 — Section 11(d): repairs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expenditure on repairs</w:t>
            </w:r>
            <w:r>
              <w:rPr>
                <w:rFonts w:ascii="Arial" w:cs="Arial" w:eastAsia="Arial" w:hAnsi="Arial"/>
                <w:b w:val="false"/>
                <w:bCs w:val="false"/>
                <w:i w:val="false"/>
                <w:iCs w:val="false"/>
                <w:color w:val="000000"/>
                <w:sz w:val="18"/>
                <w:szCs w:val="18"/>
              </w:rPr>
              <w:t xml:space="preserve"> to property occupied for trade or from which income is derived, including machinery and plant used for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repair</w:t>
            </w:r>
            <w:r>
              <w:rPr>
                <w:rFonts w:ascii="Arial" w:cs="Arial" w:eastAsia="Arial" w:hAnsi="Arial"/>
                <w:b w:val="false"/>
                <w:bCs w:val="false"/>
                <w:i w:val="false"/>
                <w:iCs w:val="false"/>
                <w:color w:val="000000"/>
                <w:sz w:val="18"/>
                <w:szCs w:val="18"/>
              </w:rPr>
              <w:t xml:space="preserve"> restores an asset to its former condition. An </w:t>
            </w:r>
            <w:r>
              <w:rPr>
                <w:rFonts w:ascii="Arial" w:cs="Arial" w:eastAsia="Arial" w:hAnsi="Arial"/>
                <w:b/>
                <w:bCs/>
                <w:i w:val="false"/>
                <w:iCs w:val="false"/>
                <w:color w:val="000000"/>
                <w:sz w:val="18"/>
                <w:szCs w:val="18"/>
              </w:rPr>
              <w:t xml:space="preserve">improvement</w:t>
            </w:r>
            <w:r>
              <w:rPr>
                <w:rFonts w:ascii="Arial" w:cs="Arial" w:eastAsia="Arial" w:hAnsi="Arial"/>
                <w:b w:val="false"/>
                <w:bCs w:val="false"/>
                <w:i w:val="false"/>
                <w:iCs w:val="false"/>
                <w:color w:val="000000"/>
                <w:sz w:val="18"/>
                <w:szCs w:val="18"/>
              </w:rPr>
              <w:t xml:space="preserve"> creates a better asset and is </w:t>
            </w:r>
            <w:r>
              <w:rPr>
                <w:rFonts w:ascii="Arial" w:cs="Arial" w:eastAsia="Arial" w:hAnsi="Arial"/>
                <w:b/>
                <w:bCs/>
                <w:i w:val="false"/>
                <w:iCs w:val="false"/>
                <w:color w:val="000000"/>
                <w:sz w:val="18"/>
                <w:szCs w:val="18"/>
              </w:rPr>
              <w:t xml:space="preserve">capital</w:t>
            </w:r>
            <w:r>
              <w:rPr>
                <w:rFonts w:ascii="Arial" w:cs="Arial" w:eastAsia="Arial" w:hAnsi="Arial"/>
                <w:b w:val="false"/>
                <w:bCs w:val="false"/>
                <w:i w:val="false"/>
                <w:iCs w:val="false"/>
                <w:color w:val="000000"/>
                <w:sz w:val="18"/>
                <w:szCs w:val="18"/>
              </w:rPr>
              <w:t xml:space="preserve"> — no s11(d) deduction.</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Routine maintenance of generation plant, cooling equipment and generators is deductible.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Draw the line explicitly.</w:t>
            </w:r>
            <w:r>
              <w:rPr>
                <w:rFonts w:ascii="Arial" w:cs="Arial" w:eastAsia="Arial" w:hAnsi="Arial"/>
                <w:b w:val="false"/>
                <w:bCs w:val="false"/>
                <w:i w:val="false"/>
                <w:iCs w:val="false"/>
                <w:color w:val="0070C0"/>
                <w:sz w:val="18"/>
                <w:szCs w:val="18"/>
              </w:rPr>
              <w:t xml:space="preserve"> Replacing failed solar panels with equivalent panels is a repair, deductible in full. Replacing them with higher-output panels is an improvement — capital, and it goes to s12B, which expressly covers </w:t>
            </w:r>
            <w:r>
              <w:rPr>
                <w:rFonts w:ascii="Arial" w:cs="Arial" w:eastAsia="Arial" w:hAnsi="Arial"/>
                <w:b/>
                <w:bCs/>
                <w:i w:val="false"/>
                <w:iCs w:val="false"/>
                <w:color w:val="0070C0"/>
                <w:sz w:val="18"/>
                <w:szCs w:val="18"/>
              </w:rPr>
              <w:t xml:space="preserve">improvements</w:t>
            </w:r>
            <w:r>
              <w:rPr>
                <w:rFonts w:ascii="Arial" w:cs="Arial" w:eastAsia="Arial" w:hAnsi="Arial"/>
                <w:b w:val="false"/>
                <w:bCs w:val="false"/>
                <w:i w:val="false"/>
                <w:iCs w:val="false"/>
                <w:color w:val="0070C0"/>
                <w:sz w:val="18"/>
                <w:szCs w:val="18"/>
              </w:rPr>
              <w:t xml:space="preserve"> to a qualifying asset.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AI maintenance tool (Document 7) connects here.</w:t>
            </w:r>
            <w:r>
              <w:rPr>
                <w:rFonts w:ascii="Arial" w:cs="Arial" w:eastAsia="Arial" w:hAnsi="Arial"/>
                <w:b w:val="false"/>
                <w:bCs w:val="false"/>
                <w:i w:val="false"/>
                <w:iCs w:val="false"/>
                <w:color w:val="0070C0"/>
                <w:sz w:val="18"/>
                <w:szCs w:val="18"/>
              </w:rPr>
              <w:t xml:space="preserve"> Shifting from reactive replacement to preventative maintenance moves spend from capitalised replacement into deductible repairs — a genuine tax consequence of an operational decision.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11 — Section 24J: interest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over the term of the instrument, regardless of when it is paid.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tax treatment is </w:t>
            </w:r>
            <w:r>
              <w:rPr>
                <w:rFonts w:ascii="Arial" w:cs="Arial" w:eastAsia="Arial" w:hAnsi="Arial"/>
                <w:b/>
                <w:bCs/>
                <w:i w:val="false"/>
                <w:iCs w:val="false"/>
                <w:color w:val="000000"/>
                <w:sz w:val="18"/>
                <w:szCs w:val="18"/>
              </w:rPr>
              <w:t xml:space="preserve">independent of the accounting treatment</w:t>
            </w:r>
            <w:r>
              <w:rPr>
                <w:rFonts w:ascii="Arial" w:cs="Arial" w:eastAsia="Arial" w:hAnsi="Arial"/>
                <w:b w:val="false"/>
                <w:bCs w:val="false"/>
                <w:i w:val="false"/>
                <w:iCs w:val="false"/>
                <w:color w:val="000000"/>
                <w:sz w:val="18"/>
                <w:szCs w:val="18"/>
              </w:rPr>
              <w:t xml:space="preserve">. Interest capitalised into the cost of an asset for accounting is still </w:t>
            </w:r>
            <w:r>
              <w:rPr>
                <w:rFonts w:ascii="Arial" w:cs="Arial" w:eastAsia="Arial" w:hAnsi="Arial"/>
                <w:b/>
                <w:bCs/>
                <w:i w:val="false"/>
                <w:iCs w:val="false"/>
                <w:color w:val="000000"/>
                <w:sz w:val="18"/>
                <w:szCs w:val="18"/>
              </w:rPr>
              <w:t xml:space="preserve">deducted</w:t>
            </w:r>
            <w:r>
              <w:rPr>
                <w:rFonts w:ascii="Arial" w:cs="Arial" w:eastAsia="Arial" w:hAnsi="Arial"/>
                <w:b w:val="false"/>
                <w:bCs w:val="false"/>
                <w:i w:val="false"/>
                <w:iCs w:val="false"/>
                <w:color w:val="000000"/>
                <w:sz w:val="18"/>
                <w:szCs w:val="18"/>
              </w:rPr>
              <w:t xml:space="preserve"> for tax as incurred, unless another provision prevents it.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project debt on Project X.</w:t>
            </w:r>
            <w:r>
              <w:rPr>
                <w:rFonts w:ascii="Arial" w:cs="Arial" w:eastAsia="Arial" w:hAnsi="Arial"/>
                <w:b w:val="false"/>
                <w:bCs w:val="false"/>
                <w:i w:val="false"/>
                <w:iCs w:val="false"/>
                <w:color w:val="0070C0"/>
                <w:sz w:val="18"/>
                <w:szCs w:val="18"/>
              </w:rPr>
              <w:t xml:space="preserve"> Assume R300m of the R450m plant is debt-funded at 11%, drawn for 8 months of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R300m × 11% × 8/12 = </w:t>
            </w:r>
            <w:r>
              <w:rPr>
                <w:rFonts w:ascii="Arial" w:cs="Arial" w:eastAsia="Arial" w:hAnsi="Arial"/>
                <w:b/>
                <w:bCs/>
                <w:i w:val="false"/>
                <w:iCs w:val="false"/>
                <w:color w:val="0070C0"/>
                <w:sz w:val="18"/>
                <w:szCs w:val="18"/>
              </w:rPr>
              <w:t xml:space="preserve">R22m</w:t>
            </w:r>
            <w:r>
              <w:rPr>
                <w:rFonts w:ascii="Arial" w:cs="Arial" w:eastAsia="Arial" w:hAnsi="Arial"/>
                <w:b w:val="false"/>
                <w:bCs w:val="false"/>
                <w:i w:val="false"/>
                <w:iCs w:val="false"/>
                <w:color w:val="0070C0"/>
                <w:sz w:val="18"/>
                <w:szCs w:val="18"/>
              </w:rPr>
              <w:t xml:space="preserve"> interest incurred · deductible under s24J · tax at 27% = </w:t>
            </w:r>
            <w:r>
              <w:rPr>
                <w:rFonts w:ascii="Arial" w:cs="Arial" w:eastAsia="Arial" w:hAnsi="Arial"/>
                <w:b/>
                <w:bCs/>
                <w:i w:val="false"/>
                <w:iCs w:val="false"/>
                <w:color w:val="0070C0"/>
                <w:sz w:val="18"/>
                <w:szCs w:val="18"/>
              </w:rPr>
              <w:t xml:space="preserve">R5.94m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double-count trap.</w:t>
            </w:r>
            <w:r>
              <w:rPr>
                <w:rFonts w:ascii="Arial" w:cs="Arial" w:eastAsia="Arial" w:hAnsi="Arial"/>
                <w:b w:val="false"/>
                <w:bCs w:val="false"/>
                <w:i w:val="false"/>
                <w:iCs w:val="false"/>
                <w:color w:val="0070C0"/>
                <w:sz w:val="18"/>
                <w:szCs w:val="18"/>
              </w:rPr>
              <w:t xml:space="preserve"> If that R22m is capitalised into the asset for accounting, it is not in accounting profit but </w:t>
            </w:r>
            <w:r>
              <w:rPr>
                <w:rFonts w:ascii="Arial" w:cs="Arial" w:eastAsia="Arial" w:hAnsi="Arial"/>
                <w:b/>
                <w:bCs/>
                <w:i w:val="false"/>
                <w:iCs w:val="false"/>
                <w:color w:val="0070C0"/>
                <w:sz w:val="18"/>
                <w:szCs w:val="18"/>
              </w:rPr>
              <w:t xml:space="preserve">is</w:t>
            </w:r>
            <w:r>
              <w:rPr>
                <w:rFonts w:ascii="Arial" w:cs="Arial" w:eastAsia="Arial" w:hAnsi="Arial"/>
                <w:b w:val="false"/>
                <w:bCs w:val="false"/>
                <w:i w:val="false"/>
                <w:iCs w:val="false"/>
                <w:color w:val="0070C0"/>
                <w:sz w:val="18"/>
                <w:szCs w:val="18"/>
              </w:rPr>
              <w:t xml:space="preserve"> deducted for tax — and if it is also included in the s12B cost base it is relieved twice. </w:t>
            </w: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confirm whether capitalised interest is in the s12B cost base. Raise it as a question, not an assertion.</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same divergence drives the </w:t>
            </w:r>
            <w:r>
              <w:rPr>
                <w:rFonts w:ascii="Arial" w:cs="Arial" w:eastAsia="Arial" w:hAnsi="Arial"/>
                <w:b/>
                <w:bCs/>
                <w:i w:val="false"/>
                <w:iCs w:val="false"/>
                <w:color w:val="0070C0"/>
                <w:sz w:val="18"/>
                <w:szCs w:val="18"/>
              </w:rPr>
              <w:t xml:space="preserve">JHB4</w:t>
            </w:r>
            <w:r>
              <w:rPr>
                <w:rFonts w:ascii="Arial" w:cs="Arial" w:eastAsia="Arial" w:hAnsi="Arial"/>
                <w:b w:val="false"/>
                <w:bCs w:val="false"/>
                <w:i w:val="false"/>
                <w:iCs w:val="false"/>
                <w:color w:val="0070C0"/>
                <w:sz w:val="18"/>
                <w:szCs w:val="18"/>
              </w:rPr>
              <w:t xml:space="preserve"> borrowing-cost analysis in Document 6 — see </w:t>
            </w:r>
            <w:r>
              <w:rPr>
                <w:rFonts w:ascii="Arial" w:cs="Arial" w:eastAsia="Arial" w:hAnsi="Arial"/>
                <w:b/>
                <w:bCs/>
                <w:i w:val="false"/>
                <w:iCs w:val="false"/>
                <w:color w:val="0070C0"/>
                <w:sz w:val="18"/>
                <w:szCs w:val="18"/>
              </w:rPr>
              <w:t xml:space="preserve">Table 21</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12 — Section 23M: limitation of interest deductions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Limits the deduction of </w:t>
            </w:r>
            <w:r>
              <w:rPr>
                <w:rFonts w:ascii="Arial" w:cs="Arial" w:eastAsia="Arial" w:hAnsi="Arial"/>
                <w:b/>
                <w:bCs/>
                <w:i w:val="false"/>
                <w:iCs w:val="false"/>
                <w:color w:val="000000"/>
                <w:sz w:val="18"/>
                <w:szCs w:val="18"/>
              </w:rPr>
              <w:t xml:space="preserve">interest on debt owed to a creditor in a controlling relationship</w:t>
            </w:r>
            <w:r>
              <w:rPr>
                <w:rFonts w:ascii="Arial" w:cs="Arial" w:eastAsia="Arial" w:hAnsi="Arial"/>
                <w:b w:val="false"/>
                <w:bCs w:val="false"/>
                <w:i w:val="false"/>
                <w:iCs w:val="false"/>
                <w:color w:val="000000"/>
                <w:sz w:val="18"/>
                <w:szCs w:val="18"/>
              </w:rPr>
              <w:t xml:space="preserve"> with the debtor, where that creditor is </w:t>
            </w:r>
            <w:r>
              <w:rPr>
                <w:rFonts w:ascii="Arial" w:cs="Arial" w:eastAsia="Arial" w:hAnsi="Arial"/>
                <w:b/>
                <w:bCs/>
                <w:i w:val="false"/>
                <w:iCs w:val="false"/>
                <w:color w:val="000000"/>
                <w:sz w:val="18"/>
                <w:szCs w:val="18"/>
              </w:rPr>
              <w:t xml:space="preserve">not subject to South African tax</w:t>
            </w:r>
            <w:r>
              <w:rPr>
                <w:rFonts w:ascii="Arial" w:cs="Arial" w:eastAsia="Arial" w:hAnsi="Arial"/>
                <w:b w:val="false"/>
                <w:bCs w:val="false"/>
                <w:i w:val="false"/>
                <w:iCs w:val="false"/>
                <w:color w:val="000000"/>
                <w:sz w:val="18"/>
                <w:szCs w:val="18"/>
              </w:rPr>
              <w:t xml:space="preserve"> on the interest.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deduction is capped by reference to a percentage of adjusted taxable income; the excess is carried forward.</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s23M and confirm the current percentage and the definition of a controlling relationship.]</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Live because of the funding options.</w:t>
            </w:r>
            <w:r>
              <w:rPr>
                <w:rFonts w:ascii="Arial" w:cs="Arial" w:eastAsia="Arial" w:hAnsi="Arial"/>
                <w:b w:val="false"/>
                <w:bCs w:val="false"/>
                <w:i w:val="false"/>
                <w:iCs w:val="false"/>
                <w:color w:val="0070C0"/>
                <w:sz w:val="18"/>
                <w:szCs w:val="18"/>
              </w:rPr>
              <w:t xml:space="preserve"> Document 3 lists “investment from existing shareholders” as one of three funding routes, and Ubuntu (35%) and Horizon (30%) are the candidates — see </w:t>
            </w:r>
            <w:r>
              <w:rPr>
                <w:rFonts w:ascii="Arial" w:cs="Arial" w:eastAsia="Arial" w:hAnsi="Arial"/>
                <w:b/>
                <w:bCs/>
                <w:i w:val="false"/>
                <w:iCs w:val="false"/>
                <w:color w:val="0070C0"/>
                <w:sz w:val="18"/>
                <w:szCs w:val="18"/>
              </w:rPr>
              <w:t xml:space="preserve">Table 19</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identity, tax residence and shareholding of any project lender; whether shareholder funding is used; the rate and quantum.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On the </w:t>
            </w:r>
            <w:r>
              <w:rPr>
                <w:rFonts w:ascii="Arial" w:cs="Arial" w:eastAsia="Arial" w:hAnsi="Arial"/>
                <w:b/>
                <w:bCs/>
                <w:i w:val="false"/>
                <w:iCs w:val="false"/>
                <w:color w:val="0070C0"/>
                <w:sz w:val="18"/>
                <w:szCs w:val="18"/>
              </w:rPr>
              <w:t xml:space="preserve">JHB4 facility</w:t>
            </w:r>
            <w:r>
              <w:rPr>
                <w:rFonts w:ascii="Arial" w:cs="Arial" w:eastAsia="Arial" w:hAnsi="Arial"/>
                <w:b w:val="false"/>
                <w:bCs w:val="false"/>
                <w:i w:val="false"/>
                <w:iCs w:val="false"/>
                <w:color w:val="0070C0"/>
                <w:sz w:val="18"/>
                <w:szCs w:val="18"/>
              </w:rPr>
              <w:t xml:space="preserve"> the lenders are a syndicate of South African banks (Document 6), which are subject to SA tax and are not in a controlling relationship — so </w:t>
            </w:r>
            <w:r>
              <w:rPr>
                <w:rFonts w:ascii="Arial" w:cs="Arial" w:eastAsia="Arial" w:hAnsi="Arial"/>
                <w:b/>
                <w:bCs/>
                <w:i w:val="false"/>
                <w:iCs w:val="false"/>
                <w:color w:val="0070C0"/>
                <w:sz w:val="18"/>
                <w:szCs w:val="18"/>
              </w:rPr>
              <w:t xml:space="preserve">s23M does not restrict that interest</w:t>
            </w:r>
            <w:r>
              <w:rPr>
                <w:rFonts w:ascii="Arial" w:cs="Arial" w:eastAsia="Arial" w:hAnsi="Arial"/>
                <w:b w:val="false"/>
                <w:bCs w:val="false"/>
                <w:i w:val="false"/>
                <w:iCs w:val="false"/>
                <w:color w:val="0070C0"/>
                <w:sz w:val="18"/>
                <w:szCs w:val="18"/>
              </w:rPr>
              <w:t xml:space="preserve">. Consider it, then dismiss it with the reason.</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If the funding is </w:t>
            </w:r>
            <w:r>
              <w:rPr>
                <w:rFonts w:ascii="Arial" w:cs="Arial" w:eastAsia="Arial" w:hAnsi="Arial"/>
                <w:b/>
                <w:bCs/>
                <w:i w:val="false"/>
                <w:iCs w:val="false"/>
                <w:color w:val="0070C0"/>
                <w:sz w:val="18"/>
                <w:szCs w:val="18"/>
              </w:rPr>
              <w:t xml:space="preserve">equity</w:t>
            </w:r>
            <w:r>
              <w:rPr>
                <w:rFonts w:ascii="Arial" w:cs="Arial" w:eastAsia="Arial" w:hAnsi="Arial"/>
                <w:b w:val="false"/>
                <w:bCs w:val="false"/>
                <w:i w:val="false"/>
                <w:iCs w:val="false"/>
                <w:color w:val="0070C0"/>
                <w:sz w:val="18"/>
                <w:szCs w:val="18"/>
              </w:rPr>
              <w:t xml:space="preserve"> rather than debt, s23M falls away entirely — but so does the interest deduction. That trade-off belongs in the funding recommendation.</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D. Disposal — recoupment and capital gains</w:t>
      </w:r>
    </w:p>
    <w:p>
      <w:pPr>
        <w:keepNext/>
        <w:spacing w:after="70" w:before="200" w:line="250" w:lineRule="auto"/>
      </w:pPr>
      <w:r>
        <w:rPr>
          <w:rFonts w:ascii="Arial" w:cs="Arial" w:eastAsia="Arial" w:hAnsi="Arial"/>
          <w:b/>
          <w:bCs/>
          <w:i w:val="false"/>
          <w:iCs w:val="false"/>
          <w:color w:val="000000"/>
          <w:sz w:val="22"/>
          <w:szCs w:val="22"/>
        </w:rPr>
        <w:t xml:space="preserve">Table 13 — Section 8(4)(a) recoupment, section 11(o), and CGT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 — recoupment.</w:t>
            </w:r>
            <w:r>
              <w:rPr>
                <w:rFonts w:ascii="Arial" w:cs="Arial" w:eastAsia="Arial" w:hAnsi="Arial"/>
                <w:b w:val="false"/>
                <w:bCs w:val="false"/>
                <w:i w:val="false"/>
                <w:iCs w:val="false"/>
                <w:color w:val="000000"/>
                <w:sz w:val="18"/>
                <w:szCs w:val="18"/>
              </w:rPr>
              <w:t xml:space="preserve"> On disposal, amounts previously allowed as a deduction are </w:t>
            </w:r>
            <w:r>
              <w:rPr>
                <w:rFonts w:ascii="Arial" w:cs="Arial" w:eastAsia="Arial" w:hAnsi="Arial"/>
                <w:b/>
                <w:bCs/>
                <w:i w:val="false"/>
                <w:iCs w:val="false"/>
                <w:color w:val="000000"/>
                <w:sz w:val="18"/>
                <w:szCs w:val="18"/>
              </w:rPr>
              <w:t xml:space="preserve">recouped and included in income</w:t>
            </w:r>
            <w:r>
              <w:rPr>
                <w:rFonts w:ascii="Arial" w:cs="Arial" w:eastAsia="Arial" w:hAnsi="Arial"/>
                <w:b w:val="false"/>
                <w:bCs w:val="false"/>
                <w:i w:val="false"/>
                <w:iCs w:val="false"/>
                <w:color w:val="000000"/>
                <w:sz w:val="18"/>
                <w:szCs w:val="18"/>
              </w:rPr>
              <w:t xml:space="preserve">, to the extent proceeds exceed the tax value. The recoupment is </w:t>
            </w:r>
            <w:r>
              <w:rPr>
                <w:rFonts w:ascii="Arial" w:cs="Arial" w:eastAsia="Arial" w:hAnsi="Arial"/>
                <w:b/>
                <w:bCs/>
                <w:i w:val="false"/>
                <w:iCs w:val="false"/>
                <w:color w:val="000000"/>
                <w:sz w:val="18"/>
                <w:szCs w:val="18"/>
              </w:rPr>
              <w:t xml:space="preserve">capped at the allowances actually claimed</w:t>
            </w:r>
            <w:r>
              <w:rPr>
                <w:rFonts w:ascii="Arial" w:cs="Arial" w:eastAsia="Arial" w:hAnsi="Arial"/>
                <w:b w:val="false"/>
                <w:bCs w:val="false"/>
                <w:i w:val="false"/>
                <w:iCs w:val="false"/>
                <w:color w:val="000000"/>
                <w:sz w:val="18"/>
                <w:szCs w:val="18"/>
              </w:rPr>
              <w:t xml:space="preserve"> and taxed as </w:t>
            </w:r>
            <w:r>
              <w:rPr>
                <w:rFonts w:ascii="Arial" w:cs="Arial" w:eastAsia="Arial" w:hAnsi="Arial"/>
                <w:b/>
                <w:bCs/>
                <w:i w:val="false"/>
                <w:iCs w:val="false"/>
                <w:color w:val="000000"/>
                <w:sz w:val="18"/>
                <w:szCs w:val="18"/>
              </w:rPr>
              <w:t xml:space="preserve">ordinary income at 27%</w:t>
            </w:r>
            <w:r>
              <w:rPr>
                <w:rFonts w:ascii="Arial" w:cs="Arial" w:eastAsia="Arial" w:hAnsi="Arial"/>
                <w:b w:val="false"/>
                <w:bCs w:val="false"/>
                <w:i w:val="false"/>
                <w:iCs w:val="false"/>
                <w:color w:val="000000"/>
                <w:sz w:val="18"/>
                <w:szCs w:val="18"/>
              </w:rPr>
              <w:t xml:space="preserve">, not as a capital gain.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s11(o) — scrapping allowance.</w:t>
            </w:r>
            <w:r>
              <w:rPr>
                <w:rFonts w:ascii="Arial" w:cs="Arial" w:eastAsia="Arial" w:hAnsi="Arial"/>
                <w:b w:val="false"/>
                <w:bCs w:val="false"/>
                <w:i w:val="false"/>
                <w:iCs w:val="false"/>
                <w:color w:val="000000"/>
                <w:sz w:val="18"/>
                <w:szCs w:val="18"/>
              </w:rPr>
              <w:t xml:space="preserve"> Where an asset with a write-off period </w:t>
            </w:r>
            <w:r>
              <w:rPr>
                <w:rFonts w:ascii="Arial" w:cs="Arial" w:eastAsia="Arial" w:hAnsi="Arial"/>
                <w:b/>
                <w:bCs/>
                <w:i w:val="false"/>
                <w:iCs w:val="false"/>
                <w:color w:val="000000"/>
                <w:sz w:val="18"/>
                <w:szCs w:val="18"/>
              </w:rPr>
              <w:t xml:space="preserve">not exceeding 10 years</w:t>
            </w:r>
            <w:r>
              <w:rPr>
                <w:rFonts w:ascii="Arial" w:cs="Arial" w:eastAsia="Arial" w:hAnsi="Arial"/>
                <w:b w:val="false"/>
                <w:bCs w:val="false"/>
                <w:i w:val="false"/>
                <w:iCs w:val="false"/>
                <w:color w:val="000000"/>
                <w:sz w:val="18"/>
                <w:szCs w:val="18"/>
              </w:rPr>
              <w:t xml:space="preserve"> is alienated, lost or destroyed for proceeds </w:t>
            </w:r>
            <w:r>
              <w:rPr>
                <w:rFonts w:ascii="Arial" w:cs="Arial" w:eastAsia="Arial" w:hAnsi="Arial"/>
                <w:b/>
                <w:bCs/>
                <w:i w:val="false"/>
                <w:iCs w:val="false"/>
                <w:color w:val="000000"/>
                <w:sz w:val="18"/>
                <w:szCs w:val="18"/>
              </w:rPr>
              <w:t xml:space="preserve">less than</w:t>
            </w:r>
            <w:r>
              <w:rPr>
                <w:rFonts w:ascii="Arial" w:cs="Arial" w:eastAsia="Arial" w:hAnsi="Arial"/>
                <w:b w:val="false"/>
                <w:bCs w:val="false"/>
                <w:i w:val="false"/>
                <w:iCs w:val="false"/>
                <w:color w:val="000000"/>
                <w:sz w:val="18"/>
                <w:szCs w:val="18"/>
              </w:rPr>
              <w:t xml:space="preserve"> its tax value, the shortfall may be deducted. Election required.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Eighth Schedule — CGT.</w:t>
            </w:r>
            <w:r>
              <w:rPr>
                <w:rFonts w:ascii="Arial" w:cs="Arial" w:eastAsia="Arial" w:hAnsi="Arial"/>
                <w:b w:val="false"/>
                <w:bCs w:val="false"/>
                <w:i w:val="false"/>
                <w:iCs w:val="false"/>
                <w:color w:val="000000"/>
                <w:sz w:val="18"/>
                <w:szCs w:val="18"/>
              </w:rPr>
              <w:t xml:space="preserve"> Proceeds less base cost. </w:t>
            </w:r>
            <w:r>
              <w:rPr>
                <w:rFonts w:ascii="Arial" w:cs="Arial" w:eastAsia="Arial" w:hAnsi="Arial"/>
                <w:b/>
                <w:bCs/>
                <w:i w:val="false"/>
                <w:iCs w:val="false"/>
                <w:color w:val="000000"/>
                <w:sz w:val="18"/>
                <w:szCs w:val="18"/>
              </w:rPr>
              <w:t xml:space="preserve">Base cost is reduced by allowances claimed.</w:t>
            </w:r>
            <w:r>
              <w:rPr>
                <w:rFonts w:ascii="Arial" w:cs="Arial" w:eastAsia="Arial" w:hAnsi="Arial"/>
                <w:b w:val="false"/>
                <w:bCs w:val="false"/>
                <w:i w:val="false"/>
                <w:iCs w:val="false"/>
                <w:color w:val="000000"/>
                <w:sz w:val="18"/>
                <w:szCs w:val="18"/>
              </w:rPr>
              <w:t xml:space="preserve"> Any amount recouped under s8(4)(a) is excluded from proceeds for CGT, avoiding double taxation.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Company CGT: inclusion rate 80%</w:t>
            </w:r>
            <w:r>
              <w:rPr>
                <w:rFonts w:ascii="Arial" w:cs="Arial" w:eastAsia="Arial" w:hAnsi="Arial"/>
                <w:b w:val="false"/>
                <w:bCs w:val="false"/>
                <w:i w:val="false"/>
                <w:iCs w:val="false"/>
                <w:color w:val="000000"/>
                <w:sz w:val="18"/>
                <w:szCs w:val="18"/>
              </w:rPr>
              <w:t xml:space="preserve">, taxed at 27% → </w:t>
            </w:r>
            <w:r>
              <w:rPr>
                <w:rFonts w:ascii="Arial" w:cs="Arial" w:eastAsia="Arial" w:hAnsi="Arial"/>
                <w:b/>
                <w:bCs/>
                <w:i w:val="false"/>
                <w:iCs w:val="false"/>
                <w:color w:val="000000"/>
                <w:sz w:val="18"/>
                <w:szCs w:val="18"/>
              </w:rPr>
              <w:t xml:space="preserve">effective 21.6%</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s8(4)(nA)</w:t>
            </w:r>
            <w:r>
              <w:rPr>
                <w:rFonts w:ascii="Arial" w:cs="Arial" w:eastAsia="Arial" w:hAnsi="Arial"/>
                <w:b w:val="false"/>
                <w:bCs w:val="false"/>
                <w:i w:val="false"/>
                <w:iCs w:val="false"/>
                <w:color w:val="000000"/>
                <w:sz w:val="18"/>
                <w:szCs w:val="18"/>
              </w:rPr>
              <w:t xml:space="preserve"> applies instead where s12BA was claimed — Table 2.</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it bites:</w:t>
            </w:r>
            <w:r>
              <w:rPr>
                <w:rFonts w:ascii="Arial" w:cs="Arial" w:eastAsia="Arial" w:hAnsi="Arial"/>
                <w:b w:val="false"/>
                <w:bCs w:val="false"/>
                <w:i w:val="false"/>
                <w:iCs w:val="false"/>
                <w:color w:val="0070C0"/>
                <w:sz w:val="18"/>
                <w:szCs w:val="18"/>
              </w:rPr>
              <w:t xml:space="preserve"> sale of generation plant, replacement of cooling or UPS equipment on an upgrade, or disposal of the undeveloped land (</w:t>
            </w:r>
            <w:r>
              <w:rPr>
                <w:rFonts w:ascii="Arial" w:cs="Arial" w:eastAsia="Arial" w:hAnsi="Arial"/>
                <w:b/>
                <w:bCs/>
                <w:i w:val="false"/>
                <w:iCs w:val="false"/>
                <w:color w:val="0070C0"/>
                <w:sz w:val="18"/>
                <w:szCs w:val="18"/>
              </w:rPr>
              <w:t xml:space="preserve">Table 20</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Example 1 — Project X plant sold below cost.</w:t>
            </w:r>
            <w:r>
              <w:rPr>
                <w:rFonts w:ascii="Arial" w:cs="Arial" w:eastAsia="Arial" w:hAnsi="Arial"/>
                <w:b w:val="false"/>
                <w:bCs w:val="false"/>
                <w:i w:val="false"/>
                <w:iCs w:val="false"/>
                <w:color w:val="0070C0"/>
                <w:sz w:val="18"/>
                <w:szCs w:val="18"/>
              </w:rPr>
              <w:t xml:space="preserve"> Sold in FY2032 for R200m. Allowances fully claimed by FY2029, so </w:t>
            </w:r>
            <w:r>
              <w:rPr>
                <w:rFonts w:ascii="Arial" w:cs="Arial" w:eastAsia="Arial" w:hAnsi="Arial"/>
                <w:b/>
                <w:bCs/>
                <w:i w:val="false"/>
                <w:iCs w:val="false"/>
                <w:color w:val="0070C0"/>
                <w:sz w:val="18"/>
                <w:szCs w:val="18"/>
              </w:rPr>
              <w:t xml:space="preserve">tax value is nil</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 lesser of (R200m − nil) and allowances of R450m = </w:t>
            </w:r>
            <w:r>
              <w:rPr>
                <w:rFonts w:ascii="Arial" w:cs="Arial" w:eastAsia="Arial" w:hAnsi="Arial"/>
                <w:b/>
                <w:bCs/>
                <w:i w:val="false"/>
                <w:iCs w:val="false"/>
                <w:color w:val="0070C0"/>
                <w:sz w:val="18"/>
                <w:szCs w:val="18"/>
              </w:rPr>
              <w:t xml:space="preserve">R200m</w:t>
            </w:r>
            <w:r>
              <w:rPr>
                <w:rFonts w:ascii="Arial" w:cs="Arial" w:eastAsia="Arial" w:hAnsi="Arial"/>
                <w:b w:val="false"/>
                <w:bCs w:val="false"/>
                <w:i w:val="false"/>
                <w:iCs w:val="false"/>
                <w:color w:val="0070C0"/>
                <w:sz w:val="18"/>
                <w:szCs w:val="18"/>
              </w:rPr>
              <w:t xml:space="preserve"> into income · tax </w:t>
            </w:r>
            <w:r>
              <w:rPr>
                <w:rFonts w:ascii="Arial" w:cs="Arial" w:eastAsia="Arial" w:hAnsi="Arial"/>
                <w:b/>
                <w:bCs/>
                <w:i w:val="false"/>
                <w:iCs w:val="false"/>
                <w:color w:val="0070C0"/>
                <w:sz w:val="18"/>
                <w:szCs w:val="18"/>
              </w:rPr>
              <w:t xml:space="preserve">R54.0m</w:t>
            </w:r>
            <w:r>
              <w:rPr>
                <w:rFonts w:ascii="Arial" w:cs="Arial" w:eastAsia="Arial" w:hAnsi="Arial"/>
                <w:b w:val="false"/>
                <w:bCs w:val="false"/>
                <w:i w:val="false"/>
                <w:iCs w:val="false"/>
                <w:color w:val="0070C0"/>
                <w:sz w:val="18"/>
                <w:szCs w:val="18"/>
              </w:rPr>
              <w:t xml:space="preserve">. Proceeds are below cost, so </w:t>
            </w:r>
            <w:r>
              <w:rPr>
                <w:rFonts w:ascii="Arial" w:cs="Arial" w:eastAsia="Arial" w:hAnsi="Arial"/>
                <w:b/>
                <w:bCs/>
                <w:i w:val="false"/>
                <w:iCs w:val="false"/>
                <w:color w:val="0070C0"/>
                <w:sz w:val="18"/>
                <w:szCs w:val="18"/>
              </w:rPr>
              <w:t xml:space="preserve">no capital gain</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Example 2 — sold above cost, for R500m.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capped at allowances claimed = </w:t>
            </w:r>
            <w:r>
              <w:rPr>
                <w:rFonts w:ascii="Arial" w:cs="Arial" w:eastAsia="Arial" w:hAnsi="Arial"/>
                <w:b/>
                <w:bCs/>
                <w:i w:val="false"/>
                <w:iCs w:val="false"/>
                <w:color w:val="0070C0"/>
                <w:sz w:val="18"/>
                <w:szCs w:val="18"/>
              </w:rPr>
              <w:t xml:space="preserve">R450m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R121.5m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Capital gain = R500m − R450m = </w:t>
            </w:r>
            <w:r>
              <w:rPr>
                <w:rFonts w:ascii="Arial" w:cs="Arial" w:eastAsia="Arial" w:hAnsi="Arial"/>
                <w:b/>
                <w:bCs/>
                <w:i w:val="false"/>
                <w:iCs w:val="false"/>
                <w:color w:val="0070C0"/>
                <w:sz w:val="18"/>
                <w:szCs w:val="18"/>
              </w:rPr>
              <w:t xml:space="preserve">R50m</w:t>
            </w:r>
            <w:r>
              <w:rPr>
                <w:rFonts w:ascii="Arial" w:cs="Arial" w:eastAsia="Arial" w:hAnsi="Arial"/>
                <w:b w:val="false"/>
                <w:bCs w:val="false"/>
                <w:i w:val="false"/>
                <w:iCs w:val="false"/>
                <w:color w:val="0070C0"/>
                <w:sz w:val="18"/>
                <w:szCs w:val="18"/>
              </w:rPr>
              <w:t xml:space="preserve"> · × 80% = R40m · at 27% = </w:t>
            </w:r>
            <w:r>
              <w:rPr>
                <w:rFonts w:ascii="Arial" w:cs="Arial" w:eastAsia="Arial" w:hAnsi="Arial"/>
                <w:b/>
                <w:bCs/>
                <w:i w:val="false"/>
                <w:iCs w:val="false"/>
                <w:color w:val="0070C0"/>
                <w:sz w:val="18"/>
                <w:szCs w:val="18"/>
              </w:rPr>
              <w:t xml:space="preserve">R10.8m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Total tax on disposal </w:t>
            </w:r>
            <w:r>
              <w:rPr>
                <w:rFonts w:ascii="Arial" w:cs="Arial" w:eastAsia="Arial" w:hAnsi="Arial"/>
                <w:b/>
                <w:bCs/>
                <w:i w:val="false"/>
                <w:iCs w:val="false"/>
                <w:color w:val="0070C0"/>
                <w:sz w:val="18"/>
                <w:szCs w:val="18"/>
              </w:rPr>
              <w:t xml:space="preserve">R132.3m</w:t>
            </w:r>
            <w:r>
              <w:rPr>
                <w:rFonts w:ascii="Arial" w:cs="Arial" w:eastAsia="Arial" w:hAnsi="Arial"/>
                <w:b w:val="false"/>
                <w:bCs w:val="false"/>
                <w:i w:val="false"/>
                <w:iCs w:val="false"/>
                <w:color w:val="0070C0"/>
                <w:sz w:val="18"/>
                <w:szCs w:val="18"/>
              </w:rPr>
              <w:t xml:space="preserve">. The accelerated allowances were a </w:t>
            </w:r>
            <w:r>
              <w:rPr>
                <w:rFonts w:ascii="Arial" w:cs="Arial" w:eastAsia="Arial" w:hAnsi="Arial"/>
                <w:b/>
                <w:bCs/>
                <w:i w:val="false"/>
                <w:iCs w:val="false"/>
                <w:color w:val="0070C0"/>
                <w:sz w:val="18"/>
                <w:szCs w:val="18"/>
              </w:rPr>
              <w:t xml:space="preserve">deferral, not a permanent saving</w:t>
            </w:r>
            <w:r>
              <w:rPr>
                <w:rFonts w:ascii="Arial" w:cs="Arial" w:eastAsia="Arial" w:hAnsi="Arial"/>
                <w:b w:val="false"/>
                <w:bCs w:val="false"/>
                <w:i w:val="false"/>
                <w:iCs w:val="false"/>
                <w:color w:val="0070C0"/>
                <w:sz w:val="18"/>
                <w:szCs w:val="18"/>
              </w:rPr>
              <w:t xml:space="preserve"> — the full R450m comes back.</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s11(o) is unlikely to help.</w:t>
            </w:r>
            <w:r>
              <w:rPr>
                <w:rFonts w:ascii="Arial" w:cs="Arial" w:eastAsia="Arial" w:hAnsi="Arial"/>
                <w:b w:val="false"/>
                <w:bCs w:val="false"/>
                <w:i w:val="false"/>
                <w:iCs w:val="false"/>
                <w:color w:val="0070C0"/>
                <w:sz w:val="18"/>
                <w:szCs w:val="18"/>
              </w:rPr>
              <w:t xml:space="preserve"> It needs a write-off period not exceeding 10 years. Plant written off over three years under s12B has no remaining tax value, and long-life infrastructure usually exceeds 10 years. Consider it, then rule it out with the reason.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proceeds, date of disposal, tax value, and which section the original allowance was claimed under — s12BA assets follow s8(4)(nA).</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E. Who claims the allowance — the structuring question</w:t>
      </w:r>
    </w:p>
    <w:p>
      <w:pPr>
        <w:keepNext w:val="false"/>
        <w:spacing w:after="100" w:before="0" w:line="250" w:lineRule="auto"/>
      </w:pPr>
      <w:r>
        <w:rPr>
          <w:rFonts w:ascii="Arial" w:cs="Arial" w:eastAsia="Arial" w:hAnsi="Arial"/>
          <w:b w:val="false"/>
          <w:bCs w:val="false"/>
          <w:i/>
          <w:iCs/>
          <w:color w:val="000000"/>
          <w:sz w:val="18"/>
          <w:szCs w:val="18"/>
        </w:rPr>
        <w:t xml:space="preserve">The highest-value point on this trigger. Document 7 says direct investment would be made "potentially with an experienced technical partner", and the structure decides who gets the deduction.</w:t>
      </w:r>
    </w:p>
    <w:p>
      <w:pPr>
        <w:keepNext/>
        <w:spacing w:after="70" w:before="200" w:line="250" w:lineRule="auto"/>
      </w:pPr>
      <w:r>
        <w:rPr>
          <w:rFonts w:ascii="Arial" w:cs="Arial" w:eastAsia="Arial" w:hAnsi="Arial"/>
          <w:b/>
          <w:bCs/>
          <w:i w:val="false"/>
          <w:iCs w:val="false"/>
          <w:color w:val="000000"/>
          <w:sz w:val="22"/>
          <w:szCs w:val="22"/>
        </w:rPr>
        <w:t xml:space="preserve">Table 14 — Ownership, partnerships and project companies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 elements must sit in the same taxpayer.</w:t>
            </w:r>
            <w:r>
              <w:rPr>
                <w:rFonts w:ascii="Arial" w:cs="Arial" w:eastAsia="Arial" w:hAnsi="Arial"/>
                <w:b w:val="false"/>
                <w:bCs w:val="false"/>
                <w:i w:val="false"/>
                <w:iCs w:val="false"/>
                <w:color w:val="000000"/>
                <w:sz w:val="18"/>
                <w:szCs w:val="18"/>
              </w:rPr>
              <w:t xml:space="preserve"> The allowance goes to the person who </w:t>
            </w:r>
            <w:r>
              <w:rPr>
                <w:rFonts w:ascii="Arial" w:cs="Arial" w:eastAsia="Arial" w:hAnsi="Arial"/>
                <w:b/>
                <w:bCs/>
                <w:i w:val="false"/>
                <w:iCs w:val="false"/>
                <w:color w:val="000000"/>
                <w:sz w:val="18"/>
                <w:szCs w:val="18"/>
              </w:rPr>
              <w:t xml:space="preserve">owns</w:t>
            </w:r>
            <w:r>
              <w:rPr>
                <w:rFonts w:ascii="Arial" w:cs="Arial" w:eastAsia="Arial" w:hAnsi="Arial"/>
                <w:b w:val="false"/>
                <w:bCs w:val="false"/>
                <w:i w:val="false"/>
                <w:iCs w:val="false"/>
                <w:color w:val="000000"/>
                <w:sz w:val="18"/>
                <w:szCs w:val="18"/>
              </w:rPr>
              <w:t xml:space="preserve"> the asset, </w:t>
            </w:r>
            <w:r>
              <w:rPr>
                <w:rFonts w:ascii="Arial" w:cs="Arial" w:eastAsia="Arial" w:hAnsi="Arial"/>
                <w:b/>
                <w:bCs/>
                <w:i w:val="false"/>
                <w:iCs w:val="false"/>
                <w:color w:val="000000"/>
                <w:sz w:val="18"/>
                <w:szCs w:val="18"/>
              </w:rPr>
              <w:t xml:space="preserve">brings it into use</w:t>
            </w:r>
            <w:r>
              <w:rPr>
                <w:rFonts w:ascii="Arial" w:cs="Arial" w:eastAsia="Arial" w:hAnsi="Arial"/>
                <w:b w:val="false"/>
                <w:bCs w:val="false"/>
                <w:i w:val="false"/>
                <w:iCs w:val="false"/>
                <w:color w:val="000000"/>
                <w:sz w:val="18"/>
                <w:szCs w:val="18"/>
              </w:rPr>
              <w:t xml:space="preserve">, uses it in </w:t>
            </w:r>
            <w:r>
              <w:rPr>
                <w:rFonts w:ascii="Arial" w:cs="Arial" w:eastAsia="Arial" w:hAnsi="Arial"/>
                <w:b/>
                <w:bCs/>
                <w:i w:val="false"/>
                <w:iCs w:val="false"/>
                <w:color w:val="000000"/>
                <w:sz w:val="18"/>
                <w:szCs w:val="18"/>
              </w:rPr>
              <w:t xml:space="preserve">that person’s own trade</w:t>
            </w:r>
            <w:r>
              <w:rPr>
                <w:rFonts w:ascii="Arial" w:cs="Arial" w:eastAsia="Arial" w:hAnsi="Arial"/>
                <w:b w:val="false"/>
                <w:bCs w:val="false"/>
                <w:i w:val="false"/>
                <w:iCs w:val="false"/>
                <w:color w:val="000000"/>
                <w:sz w:val="18"/>
                <w:szCs w:val="18"/>
              </w:rPr>
              <w:t xml:space="preserve">, and does so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s24H — partnerships.</w:t>
            </w:r>
            <w:r>
              <w:rPr>
                <w:rFonts w:ascii="Arial" w:cs="Arial" w:eastAsia="Arial" w:hAnsi="Arial"/>
                <w:b w:val="false"/>
                <w:bCs w:val="false"/>
                <w:i w:val="false"/>
                <w:iCs w:val="false"/>
                <w:color w:val="000000"/>
                <w:sz w:val="18"/>
                <w:szCs w:val="18"/>
              </w:rPr>
              <w:t xml:space="preserve"> A partnership is </w:t>
            </w:r>
            <w:r>
              <w:rPr>
                <w:rFonts w:ascii="Arial" w:cs="Arial" w:eastAsia="Arial" w:hAnsi="Arial"/>
                <w:b/>
                <w:bCs/>
                <w:i w:val="false"/>
                <w:iCs w:val="false"/>
                <w:color w:val="000000"/>
                <w:sz w:val="18"/>
                <w:szCs w:val="18"/>
              </w:rPr>
              <w:t xml:space="preserve">transparent</w:t>
            </w:r>
            <w:r>
              <w:rPr>
                <w:rFonts w:ascii="Arial" w:cs="Arial" w:eastAsia="Arial" w:hAnsi="Arial"/>
                <w:b w:val="false"/>
                <w:bCs w:val="false"/>
                <w:i w:val="false"/>
                <w:iCs w:val="false"/>
                <w:color w:val="000000"/>
                <w:sz w:val="18"/>
                <w:szCs w:val="18"/>
              </w:rPr>
              <w:t xml:space="preserve">. Each partner is deemed to carry on the partnership trade and claims its </w:t>
            </w:r>
            <w:r>
              <w:rPr>
                <w:rFonts w:ascii="Arial" w:cs="Arial" w:eastAsia="Arial" w:hAnsi="Arial"/>
                <w:b/>
                <w:bCs/>
                <w:i w:val="false"/>
                <w:iCs w:val="false"/>
                <w:color w:val="000000"/>
                <w:sz w:val="18"/>
                <w:szCs w:val="18"/>
              </w:rPr>
              <w:t xml:space="preserve">proportionate share</w:t>
            </w:r>
            <w:r>
              <w:rPr>
                <w:rFonts w:ascii="Arial" w:cs="Arial" w:eastAsia="Arial" w:hAnsi="Arial"/>
                <w:b w:val="false"/>
                <w:bCs w:val="false"/>
                <w:i w:val="false"/>
                <w:iCs w:val="false"/>
                <w:color w:val="000000"/>
                <w:sz w:val="18"/>
                <w:szCs w:val="18"/>
              </w:rPr>
              <w:t xml:space="preserve"> in its own return, against its own other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Company.</w:t>
            </w:r>
            <w:r>
              <w:rPr>
                <w:rFonts w:ascii="Arial" w:cs="Arial" w:eastAsia="Arial" w:hAnsi="Arial"/>
                <w:b w:val="false"/>
                <w:bCs w:val="false"/>
                <w:i w:val="false"/>
                <w:iCs w:val="false"/>
                <w:color w:val="000000"/>
                <w:sz w:val="18"/>
                <w:szCs w:val="18"/>
              </w:rPr>
              <w:t xml:space="preserve"> A company that owns the plant claims in its own right; shareholders get nothing directly.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Instalment credit agreement purchaser</w:t>
            </w:r>
            <w:r>
              <w:rPr>
                <w:rFonts w:ascii="Arial" w:cs="Arial" w:eastAsia="Arial" w:hAnsi="Arial"/>
                <w:b w:val="false"/>
                <w:bCs w:val="false"/>
                <w:i w:val="false"/>
                <w:iCs w:val="false"/>
                <w:color w:val="000000"/>
                <w:sz w:val="18"/>
                <w:szCs w:val="18"/>
              </w:rPr>
              <w:t xml:space="preserve"> is treated as owner.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Lessee</w:t>
            </w:r>
            <w:r>
              <w:rPr>
                <w:rFonts w:ascii="Arial" w:cs="Arial" w:eastAsia="Arial" w:hAnsi="Arial"/>
                <w:b w:val="false"/>
                <w:bCs w:val="false"/>
                <w:i w:val="false"/>
                <w:iCs w:val="false"/>
                <w:color w:val="000000"/>
                <w:sz w:val="18"/>
                <w:szCs w:val="18"/>
              </w:rPr>
              <w:t xml:space="preserve"> does not own and cannot claim, unless </w:t>
            </w: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it owner of improvements on land it does not own.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Buyer of output</w:t>
            </w:r>
            <w:r>
              <w:rPr>
                <w:rFonts w:ascii="Arial" w:cs="Arial" w:eastAsia="Arial" w:hAnsi="Arial"/>
                <w:b w:val="false"/>
                <w:bCs w:val="false"/>
                <w:i w:val="false"/>
                <w:iCs w:val="false"/>
                <w:color w:val="000000"/>
                <w:sz w:val="18"/>
                <w:szCs w:val="18"/>
              </w:rPr>
              <w:t xml:space="preserve"> has no asset and no allowance — only s11(a).</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s24H and s12N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legal form of the arrangement with the technical partner, and the participation percentages.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Comparison — Project X, FY2027 deductions of R250m (s12B R225m + s12U R25m):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Route A — Axion owns 100%.</w:t>
            </w:r>
            <w:r>
              <w:rPr>
                <w:rFonts w:ascii="Arial" w:cs="Arial" w:eastAsia="Arial" w:hAnsi="Arial"/>
                <w:b w:val="false"/>
                <w:bCs w:val="false"/>
                <w:i w:val="false"/>
                <w:iCs w:val="false"/>
                <w:color w:val="0070C0"/>
                <w:sz w:val="18"/>
                <w:szCs w:val="18"/>
              </w:rPr>
              <w:t xml:space="preserve"> Deduction </w:t>
            </w:r>
            <w:r>
              <w:rPr>
                <w:rFonts w:ascii="Arial" w:cs="Arial" w:eastAsia="Arial" w:hAnsi="Arial"/>
                <w:b/>
                <w:bCs/>
                <w:i w:val="false"/>
                <w:iCs w:val="false"/>
                <w:color w:val="0070C0"/>
                <w:sz w:val="18"/>
                <w:szCs w:val="18"/>
              </w:rPr>
              <w:t xml:space="preserve">R250m</w:t>
            </w:r>
            <w:r>
              <w:rPr>
                <w:rFonts w:ascii="Arial" w:cs="Arial" w:eastAsia="Arial" w:hAnsi="Arial"/>
                <w:b w:val="false"/>
                <w:bCs w:val="false"/>
                <w:i w:val="false"/>
                <w:iCs w:val="false"/>
                <w:color w:val="0070C0"/>
                <w:sz w:val="18"/>
                <w:szCs w:val="18"/>
              </w:rPr>
              <w:t xml:space="preserve">. Taxable income R350m − R250m = R100m · tax </w:t>
            </w:r>
            <w:r>
              <w:rPr>
                <w:rFonts w:ascii="Arial" w:cs="Arial" w:eastAsia="Arial" w:hAnsi="Arial"/>
                <w:b/>
                <w:bCs/>
                <w:i w:val="false"/>
                <w:iCs w:val="false"/>
                <w:color w:val="0070C0"/>
                <w:sz w:val="18"/>
                <w:szCs w:val="18"/>
              </w:rPr>
              <w:t xml:space="preserve">R27.0m</w:t>
            </w:r>
            <w:r>
              <w:rPr>
                <w:rFonts w:ascii="Arial" w:cs="Arial" w:eastAsia="Arial" w:hAnsi="Arial"/>
                <w:b w:val="false"/>
                <w:bCs w:val="false"/>
                <w:i w:val="false"/>
                <w:iCs w:val="false"/>
                <w:color w:val="0070C0"/>
                <w:sz w:val="18"/>
                <w:szCs w:val="18"/>
              </w:rPr>
              <w:t xml:space="preserve">, against R94.5m with no project. </w:t>
            </w:r>
            <w:r>
              <w:rPr>
                <w:rFonts w:ascii="Arial" w:cs="Arial" w:eastAsia="Arial" w:hAnsi="Arial"/>
                <w:b/>
                <w:bCs/>
                <w:i w:val="false"/>
                <w:iCs w:val="false"/>
                <w:color w:val="0070C0"/>
                <w:sz w:val="18"/>
                <w:szCs w:val="18"/>
              </w:rPr>
              <w:t xml:space="preserve">Cash tax saved R67.5m.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Route B — 50/50 joint operation.</w:t>
            </w:r>
            <w:r>
              <w:rPr>
                <w:rFonts w:ascii="Arial" w:cs="Arial" w:eastAsia="Arial" w:hAnsi="Arial"/>
                <w:b w:val="false"/>
                <w:bCs w:val="false"/>
                <w:i w:val="false"/>
                <w:iCs w:val="false"/>
                <w:color w:val="0070C0"/>
                <w:sz w:val="18"/>
                <w:szCs w:val="18"/>
              </w:rPr>
              <w:t xml:space="preserve"> Axion claims its </w:t>
            </w:r>
            <w:r>
              <w:rPr>
                <w:rFonts w:ascii="Arial" w:cs="Arial" w:eastAsia="Arial" w:hAnsi="Arial"/>
                <w:b/>
                <w:bCs/>
                <w:i w:val="false"/>
                <w:iCs w:val="false"/>
                <w:color w:val="0070C0"/>
                <w:sz w:val="18"/>
                <w:szCs w:val="18"/>
              </w:rPr>
              <w:t xml:space="preserve">50% share</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R125m</w:t>
            </w:r>
            <w:r>
              <w:rPr>
                <w:rFonts w:ascii="Arial" w:cs="Arial" w:eastAsia="Arial" w:hAnsi="Arial"/>
                <w:b w:val="false"/>
                <w:bCs w:val="false"/>
                <w:i w:val="false"/>
                <w:iCs w:val="false"/>
                <w:color w:val="0070C0"/>
                <w:sz w:val="18"/>
                <w:szCs w:val="18"/>
              </w:rPr>
              <w:t xml:space="preserve">. Taxable income R225m · tax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Cash tax saved R33.75m.</w:t>
            </w:r>
            <w:r>
              <w:rPr>
                <w:rFonts w:ascii="Arial" w:cs="Arial" w:eastAsia="Arial" w:hAnsi="Arial"/>
                <w:b w:val="false"/>
                <w:bCs w:val="false"/>
                <w:i w:val="false"/>
                <w:iCs w:val="false"/>
                <w:color w:val="0070C0"/>
                <w:sz w:val="18"/>
                <w:szCs w:val="18"/>
              </w:rPr>
              <w:t xml:space="preserve"> The partner claims the other half against its own income.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Route C — SPV, Axion buys the output.</w:t>
            </w:r>
            <w:r>
              <w:rPr>
                <w:rFonts w:ascii="Arial" w:cs="Arial" w:eastAsia="Arial" w:hAnsi="Arial"/>
                <w:b w:val="false"/>
                <w:bCs w:val="false"/>
                <w:i w:val="false"/>
                <w:iCs w:val="false"/>
                <w:color w:val="0070C0"/>
                <w:sz w:val="18"/>
                <w:szCs w:val="18"/>
              </w:rPr>
              <w:t xml:space="preserve"> The SPV claims R250m against </w:t>
            </w:r>
            <w:r>
              <w:rPr>
                <w:rFonts w:ascii="Arial" w:cs="Arial" w:eastAsia="Arial" w:hAnsi="Arial"/>
                <w:b/>
                <w:bCs/>
                <w:i w:val="false"/>
                <w:iCs w:val="false"/>
                <w:color w:val="0070C0"/>
                <w:sz w:val="18"/>
                <w:szCs w:val="18"/>
              </w:rPr>
              <w:t xml:space="preserve">nil income</w:t>
            </w:r>
            <w:r>
              <w:rPr>
                <w:rFonts w:ascii="Arial" w:cs="Arial" w:eastAsia="Arial" w:hAnsi="Arial"/>
                <w:b w:val="false"/>
                <w:bCs w:val="false"/>
                <w:i w:val="false"/>
                <w:iCs w:val="false"/>
                <w:color w:val="0070C0"/>
                <w:sz w:val="18"/>
                <w:szCs w:val="18"/>
              </w:rPr>
              <w:t xml:space="preserve"> → an assessed loss carried forward and constrained by s20. Axion claims </w:t>
            </w:r>
            <w:r>
              <w:rPr>
                <w:rFonts w:ascii="Arial" w:cs="Arial" w:eastAsia="Arial" w:hAnsi="Arial"/>
                <w:b/>
                <w:bCs/>
                <w:i w:val="false"/>
                <w:iCs w:val="false"/>
                <w:color w:val="0070C0"/>
                <w:sz w:val="18"/>
                <w:szCs w:val="18"/>
              </w:rPr>
              <w:t xml:space="preserve">no allowance</w:t>
            </w:r>
            <w:r>
              <w:rPr>
                <w:rFonts w:ascii="Arial" w:cs="Arial" w:eastAsia="Arial" w:hAnsi="Arial"/>
                <w:b w:val="false"/>
                <w:bCs w:val="false"/>
                <w:i w:val="false"/>
                <w:iCs w:val="false"/>
                <w:color w:val="0070C0"/>
                <w:sz w:val="18"/>
                <w:szCs w:val="18"/>
              </w:rPr>
              <w:t xml:space="preserve">, only s11(a) on the electricity bought.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same R250m produces R67.5m, R33.75m or no allowance at all, purely on structure.</w:t>
            </w:r>
            <w:r>
              <w:rPr>
                <w:rFonts w:ascii="Arial" w:cs="Arial" w:eastAsia="Arial" w:hAnsi="Arial"/>
                <w:b w:val="false"/>
                <w:bCs w:val="false"/>
                <w:i w:val="false"/>
                <w:iCs w:val="false"/>
                <w:color w:val="0070C0"/>
                <w:sz w:val="18"/>
                <w:szCs w:val="18"/>
              </w:rPr>
              <w:t xml:space="preserve"> That is the headline finding, and the sentence to lead with.</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Cross-link.</w:t>
            </w:r>
            <w:r>
              <w:rPr>
                <w:rFonts w:ascii="Arial" w:cs="Arial" w:eastAsia="Arial" w:hAnsi="Arial"/>
                <w:b w:val="false"/>
                <w:bCs w:val="false"/>
                <w:i w:val="false"/>
                <w:iCs w:val="false"/>
                <w:color w:val="0070C0"/>
                <w:sz w:val="18"/>
                <w:szCs w:val="18"/>
              </w:rPr>
              <w:t xml:space="preserve"> The same choice drives the IFRS 11 classification in trigger 8 — joint operation versus joint venture. The accounting test (rights to assets, obligations for liabilities) and the tax test (who owns and brings into use) are </w:t>
            </w:r>
            <w:r>
              <w:rPr>
                <w:rFonts w:ascii="Arial" w:cs="Arial" w:eastAsia="Arial" w:hAnsi="Arial"/>
                <w:b/>
                <w:bCs/>
                <w:i w:val="false"/>
                <w:iCs w:val="false"/>
                <w:color w:val="0070C0"/>
                <w:sz w:val="18"/>
                <w:szCs w:val="18"/>
              </w:rPr>
              <w:t xml:space="preserve">different tests</w:t>
            </w:r>
            <w:r>
              <w:rPr>
                <w:rFonts w:ascii="Arial" w:cs="Arial" w:eastAsia="Arial" w:hAnsi="Arial"/>
                <w:b w:val="false"/>
                <w:bCs w:val="false"/>
                <w:i w:val="false"/>
                <w:iCs w:val="false"/>
                <w:color w:val="0070C0"/>
                <w:sz w:val="18"/>
                <w:szCs w:val="18"/>
              </w:rPr>
              <w:t xml:space="preserve"> and can point in opposite directions. A transparent structure is best for tax, but it also brings the project debt onto Axion’s balance sheet, which is worst for gearing. </w:t>
            </w:r>
            <w:r>
              <w:rPr>
                <w:rFonts w:ascii="Arial" w:cs="Arial" w:eastAsia="Arial" w:hAnsi="Arial"/>
                <w:b/>
                <w:bCs/>
                <w:i w:val="false"/>
                <w:iCs w:val="false"/>
                <w:color w:val="0070C0"/>
                <w:sz w:val="18"/>
                <w:szCs w:val="18"/>
              </w:rPr>
              <w:t xml:space="preserve">Flag the tension; do not resolve it silently.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F. Using the deductions — assessed losses</w:t>
      </w:r>
    </w:p>
    <w:p>
      <w:pPr>
        <w:keepNext/>
        <w:spacing w:after="70" w:before="200" w:line="250" w:lineRule="auto"/>
      </w:pPr>
      <w:r>
        <w:rPr>
          <w:rFonts w:ascii="Arial" w:cs="Arial" w:eastAsia="Arial" w:hAnsi="Arial"/>
          <w:b/>
          <w:bCs/>
          <w:i w:val="false"/>
          <w:iCs w:val="false"/>
          <w:color w:val="000000"/>
          <w:sz w:val="22"/>
          <w:szCs w:val="22"/>
        </w:rPr>
        <w:t xml:space="preserve">Table 15 — Section 20: assessed losses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s20(1)(a).</w:t>
            </w:r>
            <w:r>
              <w:rPr>
                <w:rFonts w:ascii="Arial" w:cs="Arial" w:eastAsia="Arial" w:hAnsi="Arial"/>
                <w:b w:val="false"/>
                <w:bCs w:val="false"/>
                <w:i w:val="false"/>
                <w:iCs w:val="false"/>
                <w:color w:val="000000"/>
                <w:sz w:val="18"/>
                <w:szCs w:val="18"/>
              </w:rPr>
              <w:t xml:space="preserve"> A company may set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to years of assessment </w:t>
            </w:r>
            <w:r>
              <w:rPr>
                <w:rFonts w:ascii="Arial" w:cs="Arial" w:eastAsia="Arial" w:hAnsi="Arial"/>
                <w:b/>
                <w:bCs/>
                <w:i w:val="false"/>
                <w:iCs w:val="false"/>
                <w:color w:val="000000"/>
                <w:sz w:val="18"/>
                <w:szCs w:val="18"/>
              </w:rPr>
              <w:t xml:space="preserve">ending on or after 31 March 2023</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Effect: a company with taxable income above R1m pays tax on at least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of it, however large the brought-forward loss.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unused balance is </w:t>
            </w:r>
            <w:r>
              <w:rPr>
                <w:rFonts w:ascii="Arial" w:cs="Arial" w:eastAsia="Arial" w:hAnsi="Arial"/>
                <w:b/>
                <w:bCs/>
                <w:i w:val="false"/>
                <w:iCs w:val="false"/>
                <w:color w:val="000000"/>
                <w:sz w:val="18"/>
                <w:szCs w:val="18"/>
              </w:rPr>
              <w:t xml:space="preserve">carried forward</w:t>
            </w:r>
            <w:r>
              <w:rPr>
                <w:rFonts w:ascii="Arial" w:cs="Arial" w:eastAsia="Arial" w:hAnsi="Arial"/>
                <w:b w:val="false"/>
                <w:bCs w:val="false"/>
                <w:i w:val="false"/>
                <w:iCs w:val="false"/>
                <w:color w:val="000000"/>
                <w:sz w:val="18"/>
                <w:szCs w:val="18"/>
              </w:rPr>
              <w:t xml:space="preserve">, not lost.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The current-year loss is not restricted</w:t>
            </w:r>
            <w:r>
              <w:rPr>
                <w:rFonts w:ascii="Arial" w:cs="Arial" w:eastAsia="Arial" w:hAnsi="Arial"/>
                <w:b w:val="false"/>
                <w:bCs w:val="false"/>
                <w:i w:val="false"/>
                <w:iCs w:val="false"/>
                <w:color w:val="000000"/>
                <w:sz w:val="18"/>
                <w:szCs w:val="18"/>
              </w:rPr>
              <w:t xml:space="preserve"> — the limitation applies to the </w:t>
            </w:r>
            <w:r>
              <w:rPr>
                <w:rFonts w:ascii="Arial" w:cs="Arial" w:eastAsia="Arial" w:hAnsi="Arial"/>
                <w:b/>
                <w:bCs/>
                <w:i w:val="false"/>
                <w:iCs w:val="false"/>
                <w:color w:val="000000"/>
                <w:sz w:val="18"/>
                <w:szCs w:val="18"/>
              </w:rPr>
              <w:t xml:space="preserve">balance brought forward</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itself is comfortable — for now.</w:t>
            </w:r>
            <w:r>
              <w:rPr>
                <w:rFonts w:ascii="Arial" w:cs="Arial" w:eastAsia="Arial" w:hAnsi="Arial"/>
                <w:b w:val="false"/>
                <w:bCs w:val="false"/>
                <w:i w:val="false"/>
                <w:iCs w:val="false"/>
                <w:color w:val="0070C0"/>
                <w:sz w:val="18"/>
                <w:szCs w:val="18"/>
              </w:rPr>
              <w:t xml:space="preserve"> FY2026 profit before tax was R325m, and the FY2027 deduction of R250m in Route A leaves R100m of taxable income. No assessed loss arises and the benefit is realised in cash.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Test the downside.</w:t>
            </w:r>
            <w:r>
              <w:rPr>
                <w:rFonts w:ascii="Arial" w:cs="Arial" w:eastAsia="Arial" w:hAnsi="Arial"/>
                <w:b w:val="false"/>
                <w:bCs w:val="false"/>
                <w:i w:val="false"/>
                <w:iCs w:val="false"/>
                <w:color w:val="0070C0"/>
                <w:sz w:val="18"/>
                <w:szCs w:val="18"/>
              </w:rPr>
              <w:t xml:space="preserve"> If Project X were larger, or if s13quin on JHB4 and s12L savings fell in the same year, total deductions could exceed taxable income. Do the arithmetic rather than assuming headroom.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where s20 bites: the Route C SPV.</w:t>
            </w:r>
            <w:r>
              <w:rPr>
                <w:rFonts w:ascii="Arial" w:cs="Arial" w:eastAsia="Arial" w:hAnsi="Arial"/>
                <w:b w:val="false"/>
                <w:bCs w:val="false"/>
                <w:i w:val="false"/>
                <w:iCs w:val="false"/>
                <w:color w:val="0070C0"/>
                <w:sz w:val="18"/>
                <w:szCs w:val="18"/>
              </w:rPr>
              <w:t xml:space="preserve"> Assessed loss of R250m carried into FY2028; taxable income of R60m in FY2028:</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Set-off limited to the higher of R1m and 80% × R60m = </w:t>
            </w:r>
            <w:r>
              <w:rPr>
                <w:rFonts w:ascii="Arial" w:cs="Arial" w:eastAsia="Arial" w:hAnsi="Arial"/>
                <w:b/>
                <w:bCs/>
                <w:i w:val="false"/>
                <w:iCs w:val="false"/>
                <w:color w:val="0070C0"/>
                <w:sz w:val="18"/>
                <w:szCs w:val="18"/>
              </w:rPr>
              <w:t xml:space="preserve">R48m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income after set-off R12m · tax at 27% = </w:t>
            </w:r>
            <w:r>
              <w:rPr>
                <w:rFonts w:ascii="Arial" w:cs="Arial" w:eastAsia="Arial" w:hAnsi="Arial"/>
                <w:b/>
                <w:bCs/>
                <w:i w:val="false"/>
                <w:iCs w:val="false"/>
                <w:color w:val="0070C0"/>
                <w:sz w:val="18"/>
                <w:szCs w:val="18"/>
              </w:rPr>
              <w:t xml:space="preserve">R3.24m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Assessed loss carried forward = R250m − R48m = </w:t>
            </w:r>
            <w:r>
              <w:rPr>
                <w:rFonts w:ascii="Arial" w:cs="Arial" w:eastAsia="Arial" w:hAnsi="Arial"/>
                <w:b/>
                <w:bCs/>
                <w:i w:val="false"/>
                <w:iCs w:val="false"/>
                <w:color w:val="0070C0"/>
                <w:sz w:val="18"/>
                <w:szCs w:val="18"/>
              </w:rPr>
              <w:t xml:space="preserve">R202m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Even once the SPV is profitable it pays tax, and the R250m takes years to absorb.</w:t>
            </w:r>
            <w:r>
              <w:rPr>
                <w:rFonts w:ascii="Arial" w:cs="Arial" w:eastAsia="Arial" w:hAnsi="Arial"/>
                <w:b w:val="false"/>
                <w:bCs w:val="false"/>
                <w:i w:val="false"/>
                <w:iCs w:val="false"/>
                <w:color w:val="0070C0"/>
                <w:sz w:val="18"/>
                <w:szCs w:val="18"/>
              </w:rPr>
              <w:t xml:space="preserve"> That is why the present value of the deduction in Route C is far below its nominal value.</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G. Other taxes</w:t>
      </w:r>
    </w:p>
    <w:p>
      <w:pPr>
        <w:keepNext/>
        <w:spacing w:after="70" w:before="200" w:line="250" w:lineRule="auto"/>
      </w:pPr>
      <w:r>
        <w:rPr>
          <w:rFonts w:ascii="Arial" w:cs="Arial" w:eastAsia="Arial" w:hAnsi="Arial"/>
          <w:b/>
          <w:bCs/>
          <w:i w:val="false"/>
          <w:iCs w:val="false"/>
          <w:color w:val="000000"/>
          <w:sz w:val="22"/>
          <w:szCs w:val="22"/>
        </w:rPr>
        <w:t xml:space="preserve">Table 16 — VAT, dividends tax and carbon tax</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 15%.</w:t>
            </w:r>
            <w:r>
              <w:rPr>
                <w:rFonts w:ascii="Arial" w:cs="Arial" w:eastAsia="Arial" w:hAnsi="Arial"/>
                <w:b w:val="false"/>
                <w:bCs w:val="false"/>
                <w:i w:val="false"/>
                <w:iCs w:val="false"/>
                <w:color w:val="000000"/>
                <w:sz w:val="18"/>
                <w:szCs w:val="18"/>
              </w:rPr>
              <w:t xml:space="preserve"> The supply of electricity is a </w:t>
            </w:r>
            <w:r>
              <w:rPr>
                <w:rFonts w:ascii="Arial" w:cs="Arial" w:eastAsia="Arial" w:hAnsi="Arial"/>
                <w:b/>
                <w:bCs/>
                <w:i w:val="false"/>
                <w:iCs w:val="false"/>
                <w:color w:val="000000"/>
                <w:sz w:val="18"/>
                <w:szCs w:val="18"/>
              </w:rPr>
              <w:t xml:space="preserve">standard-rated taxable supply</w:t>
            </w:r>
            <w:r>
              <w:rPr>
                <w:rFonts w:ascii="Arial" w:cs="Arial" w:eastAsia="Arial" w:hAnsi="Arial"/>
                <w:b w:val="false"/>
                <w:bCs w:val="false"/>
                <w:i w:val="false"/>
                <w:iCs w:val="false"/>
                <w:color w:val="000000"/>
                <w:sz w:val="18"/>
                <w:szCs w:val="18"/>
              </w:rPr>
              <w:t xml:space="preserve"> — not zero-rated, not exempt.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Input tax</w:t>
            </w:r>
            <w:r>
              <w:rPr>
                <w:rFonts w:ascii="Arial" w:cs="Arial" w:eastAsia="Arial" w:hAnsi="Arial"/>
                <w:b w:val="false"/>
                <w:bCs w:val="false"/>
                <w:i w:val="false"/>
                <w:iCs w:val="false"/>
                <w:color w:val="000000"/>
                <w:sz w:val="18"/>
                <w:szCs w:val="18"/>
              </w:rPr>
              <w:t xml:space="preserve"> on construction, plant and imported equipment is claimable to the extent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 (s16(3) read with s17).</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VAT on importation is payable and recoverable; </w:t>
            </w:r>
            <w:r>
              <w:rPr>
                <w:rFonts w:ascii="Arial" w:cs="Arial" w:eastAsia="Arial" w:hAnsi="Arial"/>
                <w:b/>
                <w:bCs/>
                <w:i w:val="false"/>
                <w:iCs w:val="false"/>
                <w:color w:val="000000"/>
                <w:sz w:val="18"/>
                <w:szCs w:val="18"/>
              </w:rPr>
              <w:t xml:space="preserve">customs duty is not</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Input tax on the renewable plant, on PPA purchases from a VAT-registered producer, and on wheeling charges is </w:t>
            </w:r>
            <w:r>
              <w:rPr>
                <w:rFonts w:ascii="Arial" w:cs="Arial" w:eastAsia="Arial" w:hAnsi="Arial"/>
                <w:b/>
                <w:bCs/>
                <w:i w:val="false"/>
                <w:iCs w:val="false"/>
                <w:color w:val="0070C0"/>
                <w:sz w:val="18"/>
                <w:szCs w:val="18"/>
              </w:rPr>
              <w:t xml:space="preserve">fully claimable</w:t>
            </w:r>
            <w:r>
              <w:rPr>
                <w:rFonts w:ascii="Arial" w:cs="Arial" w:eastAsia="Arial" w:hAnsi="Arial"/>
                <w:b w:val="false"/>
                <w:bCs w:val="false"/>
                <w:i w:val="false"/>
                <w:iCs w:val="false"/>
                <w:color w:val="0070C0"/>
                <w:sz w:val="18"/>
                <w:szCs w:val="18"/>
              </w:rPr>
              <w:t xml:space="preserve">, because Axion makes taxable supplies.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Project X plant of R450m excluding VAT →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of input tax claimable, improving project cash flow in the VAT period of acquisition. </w:t>
            </w:r>
            <w:r>
              <w:rPr>
                <w:rFonts w:ascii="Arial" w:cs="Arial" w:eastAsia="Arial" w:hAnsi="Arial"/>
                <w:b/>
                <w:bCs/>
                <w:i w:val="false"/>
                <w:iCs w:val="false"/>
                <w:color w:val="0070C0"/>
                <w:sz w:val="18"/>
                <w:szCs w:val="18"/>
              </w:rPr>
              <w:t xml:space="preserve">Show VAT as a timing benefit in the cash flow, not as a cost.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Imported equipment: VAT recoverable, but </w:t>
            </w:r>
            <w:r>
              <w:rPr>
                <w:rFonts w:ascii="Arial" w:cs="Arial" w:eastAsia="Arial" w:hAnsi="Arial"/>
                <w:b/>
                <w:bCs/>
                <w:i w:val="false"/>
                <w:iCs w:val="false"/>
                <w:color w:val="0070C0"/>
                <w:sz w:val="18"/>
                <w:szCs w:val="18"/>
              </w:rPr>
              <w:t xml:space="preserve">customs duty is a real cost</w:t>
            </w:r>
            <w:r>
              <w:rPr>
                <w:rFonts w:ascii="Arial" w:cs="Arial" w:eastAsia="Arial" w:hAnsi="Arial"/>
                <w:b w:val="false"/>
                <w:bCs w:val="false"/>
                <w:i w:val="false"/>
                <w:iCs w:val="false"/>
                <w:color w:val="0070C0"/>
                <w:sz w:val="18"/>
                <w:szCs w:val="18"/>
              </w:rPr>
              <w:t xml:space="preserve"> and belongs in the project capital cost. [WAITING FOR INPUT]: whether equipment is imported, and the duty rate.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Axion’s </w:t>
            </w:r>
            <w:r>
              <w:rPr>
                <w:rFonts w:ascii="Arial" w:cs="Arial" w:eastAsia="Arial" w:hAnsi="Arial"/>
                <w:b/>
                <w:bCs/>
                <w:i w:val="false"/>
                <w:iCs w:val="false"/>
                <w:color w:val="0070C0"/>
                <w:sz w:val="18"/>
                <w:szCs w:val="18"/>
              </w:rPr>
              <w:t xml:space="preserve">recharge of electricity to customers</w:t>
            </w:r>
            <w:r>
              <w:rPr>
                <w:rFonts w:ascii="Arial" w:cs="Arial" w:eastAsia="Arial" w:hAnsi="Arial"/>
                <w:b w:val="false"/>
                <w:bCs w:val="false"/>
                <w:i w:val="false"/>
                <w:iCs w:val="false"/>
                <w:color w:val="0070C0"/>
                <w:sz w:val="18"/>
                <w:szCs w:val="18"/>
              </w:rPr>
              <w:t xml:space="preserve"> is also a taxable supply — see </w:t>
            </w:r>
            <w:r>
              <w:rPr>
                <w:rFonts w:ascii="Arial" w:cs="Arial" w:eastAsia="Arial" w:hAnsi="Arial"/>
                <w:b/>
                <w:bCs/>
                <w:i w:val="false"/>
                <w:iCs w:val="false"/>
                <w:color w:val="0070C0"/>
                <w:sz w:val="18"/>
                <w:szCs w:val="18"/>
              </w:rPr>
              <w:t xml:space="preserve">Table 20</w:t>
            </w:r>
            <w:r>
              <w:rPr>
                <w:rFonts w:ascii="Arial" w:cs="Arial" w:eastAsia="Arial" w:hAnsi="Arial"/>
                <w:b w:val="false"/>
                <w:bCs w:val="false"/>
                <w:i w:val="false"/>
                <w:iCs w:val="false"/>
                <w:color w:val="0070C0"/>
                <w:sz w:val="18"/>
                <w:szCs w:val="18"/>
              </w:rPr>
              <w:t xml:space="preserve">.</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Dividends tax — 20%.</w:t>
            </w:r>
            <w:r>
              <w:rPr>
                <w:rFonts w:ascii="Arial" w:cs="Arial" w:eastAsia="Arial" w:hAnsi="Arial"/>
                <w:b w:val="false"/>
                <w:bCs w:val="false"/>
                <w:i w:val="false"/>
                <w:iCs w:val="false"/>
                <w:color w:val="000000"/>
                <w:sz w:val="18"/>
                <w:szCs w:val="18"/>
              </w:rPr>
              <w:t xml:space="preserve"> Withheld on dividends paid by a resident company to its shareholders.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Exemptions apply, most relevantly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declaration and written undertaking being given before payment.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Relevant here only on the </w:t>
            </w:r>
            <w:r>
              <w:rPr>
                <w:rFonts w:ascii="Arial" w:cs="Arial" w:eastAsia="Arial" w:hAnsi="Arial"/>
                <w:b/>
                <w:bCs/>
                <w:i w:val="false"/>
                <w:iCs w:val="false"/>
                <w:color w:val="0070C0"/>
                <w:sz w:val="18"/>
                <w:szCs w:val="18"/>
              </w:rPr>
              <w:t xml:space="preserve">Route C (SPV)</w:t>
            </w:r>
            <w:r>
              <w:rPr>
                <w:rFonts w:ascii="Arial" w:cs="Arial" w:eastAsia="Arial" w:hAnsi="Arial"/>
                <w:b w:val="false"/>
                <w:bCs w:val="false"/>
                <w:i w:val="false"/>
                <w:iCs w:val="false"/>
                <w:color w:val="0070C0"/>
                <w:sz w:val="18"/>
                <w:szCs w:val="18"/>
              </w:rPr>
              <w:t xml:space="preserve"> structure, when the project company distributes profits up to Axion.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both are SA resident, the dividend should be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provided the declaration and undertaking are in place. The exemption is </w:t>
            </w:r>
            <w:r>
              <w:rPr>
                <w:rFonts w:ascii="Arial" w:cs="Arial" w:eastAsia="Arial" w:hAnsi="Arial"/>
                <w:b/>
                <w:bCs/>
                <w:i w:val="false"/>
                <w:iCs w:val="false"/>
                <w:color w:val="0070C0"/>
                <w:sz w:val="18"/>
                <w:szCs w:val="18"/>
              </w:rPr>
              <w:t xml:space="preserve">procedural</w:t>
            </w:r>
            <w:r>
              <w:rPr>
                <w:rFonts w:ascii="Arial" w:cs="Arial" w:eastAsia="Arial" w:hAnsi="Arial"/>
                <w:b w:val="false"/>
                <w:bCs w:val="false"/>
                <w:i w:val="false"/>
                <w:iCs w:val="false"/>
                <w:color w:val="0070C0"/>
                <w:sz w:val="18"/>
                <w:szCs w:val="18"/>
              </w:rPr>
              <w:t xml:space="preserve">, not automatic.</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SPV distributes R50m. With the declaration: </w:t>
            </w: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Without it: </w:t>
            </w:r>
            <w:r>
              <w:rPr>
                <w:rFonts w:ascii="Arial" w:cs="Arial" w:eastAsia="Arial" w:hAnsi="Arial"/>
                <w:b/>
                <w:bCs/>
                <w:i w:val="false"/>
                <w:iCs w:val="false"/>
                <w:color w:val="0070C0"/>
                <w:sz w:val="18"/>
                <w:szCs w:val="18"/>
              </w:rPr>
              <w:t xml:space="preserve">R10m</w:t>
            </w:r>
            <w:r>
              <w:rPr>
                <w:rFonts w:ascii="Arial" w:cs="Arial" w:eastAsia="Arial" w:hAnsi="Arial"/>
                <w:b w:val="false"/>
                <w:bCs w:val="false"/>
                <w:i w:val="false"/>
                <w:iCs w:val="false"/>
                <w:color w:val="0070C0"/>
                <w:sz w:val="18"/>
                <w:szCs w:val="18"/>
              </w:rPr>
              <w:t xml:space="preserve"> withheld.</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Dividends tax on Axion’s </w:t>
            </w:r>
            <w:r>
              <w:rPr>
                <w:rFonts w:ascii="Arial" w:cs="Arial" w:eastAsia="Arial" w:hAnsi="Arial"/>
                <w:b/>
                <w:bCs/>
                <w:i w:val="false"/>
                <w:iCs w:val="false"/>
                <w:color w:val="0070C0"/>
                <w:sz w:val="18"/>
                <w:szCs w:val="18"/>
              </w:rPr>
              <w:t xml:space="preserve">own</w:t>
            </w:r>
            <w:r>
              <w:rPr>
                <w:rFonts w:ascii="Arial" w:cs="Arial" w:eastAsia="Arial" w:hAnsi="Arial"/>
                <w:b w:val="false"/>
                <w:bCs w:val="false"/>
                <w:i w:val="false"/>
                <w:iCs w:val="false"/>
                <w:color w:val="0070C0"/>
                <w:sz w:val="18"/>
                <w:szCs w:val="18"/>
              </w:rPr>
              <w:t xml:space="preserve"> shareholders is dealt with in </w:t>
            </w:r>
            <w:r>
              <w:rPr>
                <w:rFonts w:ascii="Arial" w:cs="Arial" w:eastAsia="Arial" w:hAnsi="Arial"/>
                <w:b/>
                <w:bCs/>
                <w:i w:val="false"/>
                <w:iCs w:val="false"/>
                <w:color w:val="0070C0"/>
                <w:sz w:val="18"/>
                <w:szCs w:val="18"/>
              </w:rPr>
              <w:t xml:space="preserve">Table 19</w:t>
            </w:r>
            <w:r>
              <w:rPr>
                <w:rFonts w:ascii="Arial" w:cs="Arial" w:eastAsia="Arial" w:hAnsi="Arial"/>
                <w:b w:val="false"/>
                <w:bCs w:val="false"/>
                <w:i w:val="false"/>
                <w:iCs w:val="false"/>
                <w:color w:val="0070C0"/>
                <w:sz w:val="18"/>
                <w:szCs w:val="18"/>
              </w:rPr>
              <w:t xml:space="preserve">.</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Carbon Tax Act 15 of 2019.</w:t>
            </w:r>
            <w:r>
              <w:rPr>
                <w:rFonts w:ascii="Arial" w:cs="Arial" w:eastAsia="Arial" w:hAnsi="Arial"/>
                <w:b w:val="false"/>
                <w:bCs w:val="false"/>
                <w:i w:val="false"/>
                <w:iCs w:val="false"/>
                <w:color w:val="000000"/>
                <w:sz w:val="18"/>
                <w:szCs w:val="18"/>
              </w:rPr>
              <w:t xml:space="preserve"> Tax on greenhouse gas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industrial process and fugitive sources, where the taxpayer conducts an activity above the threshold for that activity.</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Stationary combustion is measured by </w:t>
            </w:r>
            <w:r>
              <w:rPr>
                <w:rFonts w:ascii="Arial" w:cs="Arial" w:eastAsia="Arial" w:hAnsi="Arial"/>
                <w:b/>
                <w:bCs/>
                <w:i w:val="false"/>
                <w:iCs w:val="false"/>
                <w:color w:val="000000"/>
                <w:sz w:val="18"/>
                <w:szCs w:val="18"/>
              </w:rPr>
              <w:t xml:space="preserve">aggregated installed thermal capacity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tax 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emissions. It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fall on Scope 2 emissions from purchased electricity — the generator bears it.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confirm the registration threshold and current rate.]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Axion’s Scope 1 exposure is its diesel backup generators</w:t>
            </w:r>
            <w:r>
              <w:rPr>
                <w:rFonts w:ascii="Arial" w:cs="Arial" w:eastAsia="Arial" w:hAnsi="Arial"/>
                <w:b w:val="false"/>
                <w:bCs w:val="false"/>
                <w:i w:val="false"/>
                <w:iCs w:val="false"/>
                <w:color w:val="0070C0"/>
                <w:sz w:val="18"/>
                <w:szCs w:val="18"/>
              </w:rPr>
              <w:t xml:space="preserve"> (Document 7). Note that diesel is </w:t>
            </w:r>
            <w:r>
              <w:rPr>
                <w:rFonts w:ascii="Arial" w:cs="Arial" w:eastAsia="Arial" w:hAnsi="Arial"/>
                <w:b/>
                <w:bCs/>
                <w:i w:val="false"/>
                <w:iCs w:val="false"/>
                <w:color w:val="0070C0"/>
                <w:sz w:val="18"/>
                <w:szCs w:val="18"/>
              </w:rPr>
              <w:t xml:space="preserve">excluded</w:t>
            </w:r>
            <w:r>
              <w:rPr>
                <w:rFonts w:ascii="Arial" w:cs="Arial" w:eastAsia="Arial" w:hAnsi="Arial"/>
                <w:b w:val="false"/>
                <w:bCs w:val="false"/>
                <w:i w:val="false"/>
                <w:iCs w:val="false"/>
                <w:color w:val="0070C0"/>
                <w:sz w:val="18"/>
                <w:szCs w:val="18"/>
              </w:rPr>
              <w:t xml:space="preserve"> from the electricity mix table — a place a question could easily hide.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aggregated installed thermal capacity of the generators across the five facilities, and whether Axion is registered.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point most candidates will miss.</w:t>
            </w:r>
            <w:r>
              <w:rPr>
                <w:rFonts w:ascii="Arial" w:cs="Arial" w:eastAsia="Arial" w:hAnsi="Arial"/>
                <w:b w:val="false"/>
                <w:bCs w:val="false"/>
                <w:i w:val="false"/>
                <w:iCs w:val="false"/>
                <w:color w:val="0070C0"/>
                <w:sz w:val="18"/>
                <w:szCs w:val="18"/>
              </w:rPr>
              <w:t xml:space="preserve"> Buying renewable electricity reduces </w:t>
            </w:r>
            <w:r>
              <w:rPr>
                <w:rFonts w:ascii="Arial" w:cs="Arial" w:eastAsia="Arial" w:hAnsi="Arial"/>
                <w:b/>
                <w:bCs/>
                <w:i w:val="false"/>
                <w:iCs w:val="false"/>
                <w:color w:val="0070C0"/>
                <w:sz w:val="18"/>
                <w:szCs w:val="18"/>
              </w:rPr>
              <w:t xml:space="preserve">Scope 2</w:t>
            </w:r>
            <w:r>
              <w:rPr>
                <w:rFonts w:ascii="Arial" w:cs="Arial" w:eastAsia="Arial" w:hAnsi="Arial"/>
                <w:b w:val="false"/>
                <w:bCs w:val="false"/>
                <w:i w:val="false"/>
                <w:iCs w:val="false"/>
                <w:color w:val="0070C0"/>
                <w:sz w:val="18"/>
                <w:szCs w:val="18"/>
              </w:rPr>
              <w:t xml:space="preserve"> emissions, which are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directly carbon taxed in South Africa. A renewable PPA or wheeling arrangement delivers a sustainability benefit but </w:t>
            </w:r>
            <w:r>
              <w:rPr>
                <w:rFonts w:ascii="Arial" w:cs="Arial" w:eastAsia="Arial" w:hAnsi="Arial"/>
                <w:b/>
                <w:bCs/>
                <w:i w:val="false"/>
                <w:iCs w:val="false"/>
                <w:color w:val="0070C0"/>
                <w:sz w:val="18"/>
                <w:szCs w:val="18"/>
              </w:rPr>
              <w:t xml:space="preserve">little or no carbon tax saving.</w:t>
            </w:r>
            <w:r>
              <w:rPr>
                <w:rFonts w:ascii="Arial" w:cs="Arial" w:eastAsia="Arial" w:hAnsi="Arial"/>
                <w:b w:val="false"/>
                <w:bCs w:val="false"/>
                <w:i w:val="false"/>
                <w:iCs w:val="false"/>
                <w:color w:val="0070C0"/>
                <w:sz w:val="18"/>
                <w:szCs w:val="18"/>
              </w:rPr>
              <w:t xml:space="preserve"> Do not put one into the NPV without establishing that it exists.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Renewable generation also does not remove the generators — resilience infrastructure is still required — so the Scope 1 exposure remains either way.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H. The accounting consequence</w:t>
      </w:r>
    </w:p>
    <w:p>
      <w:pPr>
        <w:keepNext/>
        <w:spacing w:after="70" w:before="200" w:line="250" w:lineRule="auto"/>
      </w:pPr>
      <w:r>
        <w:rPr>
          <w:rFonts w:ascii="Arial" w:cs="Arial" w:eastAsia="Arial" w:hAnsi="Arial"/>
          <w:b/>
          <w:bCs/>
          <w:i w:val="false"/>
          <w:iCs w:val="false"/>
          <w:color w:val="000000"/>
          <w:sz w:val="22"/>
          <w:szCs w:val="22"/>
        </w:rPr>
        <w:t xml:space="preserve">Table 17 — IAS 12 deferred tax</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Standard — what IAS 12 requires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taxable temporary difference</w:t>
            </w:r>
            <w:r>
              <w:rPr>
                <w:rFonts w:ascii="Arial" w:cs="Arial" w:eastAsia="Arial" w:hAnsi="Arial"/>
                <w:b w:val="false"/>
                <w:bCs w:val="false"/>
                <w:i w:val="false"/>
                <w:iCs w:val="false"/>
                <w:color w:val="000000"/>
                <w:sz w:val="18"/>
                <w:szCs w:val="18"/>
              </w:rPr>
              <w:t xml:space="preserve"> arises where the carrying amount of an asset exceeds its tax base, giving rise to a </w:t>
            </w:r>
            <w:r>
              <w:rPr>
                <w:rFonts w:ascii="Arial" w:cs="Arial" w:eastAsia="Arial" w:hAnsi="Arial"/>
                <w:b/>
                <w:bCs/>
                <w:i w:val="false"/>
                <w:iCs w:val="false"/>
                <w:color w:val="000000"/>
                <w:sz w:val="18"/>
                <w:szCs w:val="18"/>
              </w:rPr>
              <w:t xml:space="preserve">deferred tax liability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Measured at the rate </w:t>
            </w:r>
            <w:r>
              <w:rPr>
                <w:rFonts w:ascii="Arial" w:cs="Arial" w:eastAsia="Arial" w:hAnsi="Arial"/>
                <w:b/>
                <w:bCs/>
                <w:i w:val="false"/>
                <w:iCs w:val="false"/>
                <w:color w:val="000000"/>
                <w:sz w:val="18"/>
                <w:szCs w:val="18"/>
              </w:rPr>
              <w:t xml:space="preserve">expected to apply when the difference reverses</w:t>
            </w:r>
            <w:r>
              <w:rPr>
                <w:rFonts w:ascii="Arial" w:cs="Arial" w:eastAsia="Arial" w:hAnsi="Arial"/>
                <w:b w:val="false"/>
                <w:bCs w:val="false"/>
                <w:i w:val="false"/>
                <w:iCs w:val="false"/>
                <w:color w:val="000000"/>
                <w:sz w:val="18"/>
                <w:szCs w:val="18"/>
              </w:rPr>
              <w:t xml:space="preserve"> — </w:t>
            </w:r>
            <w:r>
              <w:rPr>
                <w:rFonts w:ascii="Arial" w:cs="Arial" w:eastAsia="Arial" w:hAnsi="Arial"/>
                <w:b/>
                <w:bCs/>
                <w:i w:val="false"/>
                <w:iCs w:val="false"/>
                <w:color w:val="000000"/>
                <w:sz w:val="18"/>
                <w:szCs w:val="18"/>
              </w:rPr>
              <w:t xml:space="preserve">27%</w:t>
            </w:r>
            <w:r>
              <w:rPr>
                <w:rFonts w:ascii="Arial" w:cs="Arial" w:eastAsia="Arial" w:hAnsi="Arial"/>
                <w:b w:val="false"/>
                <w:bCs w:val="false"/>
                <w:i w:val="false"/>
                <w:iCs w:val="false"/>
                <w:color w:val="000000"/>
                <w:sz w:val="18"/>
                <w:szCs w:val="18"/>
              </w:rPr>
              <w:t xml:space="preserve"> for companies.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Where </w:t>
            </w:r>
            <w:r>
              <w:rPr>
                <w:rFonts w:ascii="Arial" w:cs="Arial" w:eastAsia="Arial" w:hAnsi="Arial"/>
                <w:b/>
                <w:bCs/>
                <w:i w:val="false"/>
                <w:iCs w:val="false"/>
                <w:color w:val="000000"/>
                <w:sz w:val="18"/>
                <w:szCs w:val="18"/>
              </w:rPr>
              <w:t xml:space="preserve">total deductions exceed the cost</w:t>
            </w:r>
            <w:r>
              <w:rPr>
                <w:rFonts w:ascii="Arial" w:cs="Arial" w:eastAsia="Arial" w:hAnsi="Arial"/>
                <w:b w:val="false"/>
                <w:bCs w:val="false"/>
                <w:i w:val="false"/>
                <w:iCs w:val="false"/>
                <w:color w:val="000000"/>
                <w:sz w:val="18"/>
                <w:szCs w:val="18"/>
              </w:rPr>
              <w:t xml:space="preserve"> of an asset, the excess is a </w:t>
            </w:r>
            <w:r>
              <w:rPr>
                <w:rFonts w:ascii="Arial" w:cs="Arial" w:eastAsia="Arial" w:hAnsi="Arial"/>
                <w:b/>
                <w:bCs/>
                <w:i w:val="false"/>
                <w:iCs w:val="false"/>
                <w:color w:val="000000"/>
                <w:sz w:val="18"/>
                <w:szCs w:val="18"/>
              </w:rPr>
              <w:t xml:space="preserve">permanent difference</w:t>
            </w:r>
            <w:r>
              <w:rPr>
                <w:rFonts w:ascii="Arial" w:cs="Arial" w:eastAsia="Arial" w:hAnsi="Arial"/>
                <w:b w:val="false"/>
                <w:bCs w:val="false"/>
                <w:i w:val="false"/>
                <w:iCs w:val="false"/>
                <w:color w:val="000000"/>
                <w:sz w:val="18"/>
                <w:szCs w:val="18"/>
              </w:rPr>
              <w:t xml:space="preserve">, not a temporary one. It affects the effective rate in the year claimed and creates no deferred tax.</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[Paragraph references not verified — check the standard before citing one.]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Project X at 30 June 2027.</w:t>
            </w:r>
            <w:r>
              <w:rPr>
                <w:rFonts w:ascii="Arial" w:cs="Arial" w:eastAsia="Arial" w:hAnsi="Arial"/>
                <w:b w:val="false"/>
                <w:bCs w:val="false"/>
                <w:i w:val="false"/>
                <w:iCs w:val="false"/>
                <w:color w:val="0070C0"/>
                <w:sz w:val="18"/>
                <w:szCs w:val="18"/>
              </w:rPr>
              <w:t xml:space="preserve"> Plant cost R450m, depreciated over 25 years; 2 months of use → R3m depreciation.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Carrying amount R447m · Tax base R450m − R225m = </w:t>
            </w:r>
            <w:r>
              <w:rPr>
                <w:rFonts w:ascii="Arial" w:cs="Arial" w:eastAsia="Arial" w:hAnsi="Arial"/>
                <w:b/>
                <w:bCs/>
                <w:i w:val="false"/>
                <w:iCs w:val="false"/>
                <w:color w:val="0070C0"/>
                <w:sz w:val="18"/>
                <w:szCs w:val="18"/>
              </w:rPr>
              <w:t xml:space="preserve">R225m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temporary difference </w:t>
            </w:r>
            <w:r>
              <w:rPr>
                <w:rFonts w:ascii="Arial" w:cs="Arial" w:eastAsia="Arial" w:hAnsi="Arial"/>
                <w:b/>
                <w:bCs/>
                <w:i w:val="false"/>
                <w:iCs w:val="false"/>
                <w:color w:val="0070C0"/>
                <w:sz w:val="18"/>
                <w:szCs w:val="18"/>
              </w:rPr>
              <w:t xml:space="preserve">R222m</w:t>
            </w:r>
            <w:r>
              <w:rPr>
                <w:rFonts w:ascii="Arial" w:cs="Arial" w:eastAsia="Arial" w:hAnsi="Arial"/>
                <w:b w:val="false"/>
                <w:bCs w:val="false"/>
                <w:i w:val="false"/>
                <w:iCs w:val="false"/>
                <w:color w:val="0070C0"/>
                <w:sz w:val="18"/>
                <w:szCs w:val="18"/>
              </w:rPr>
              <w:t xml:space="preserve"> · deferred tax liability at 27% = </w:t>
            </w:r>
            <w:r>
              <w:rPr>
                <w:rFonts w:ascii="Arial" w:cs="Arial" w:eastAsia="Arial" w:hAnsi="Arial"/>
                <w:b/>
                <w:bCs/>
                <w:i w:val="false"/>
                <w:iCs w:val="false"/>
                <w:color w:val="0070C0"/>
                <w:sz w:val="18"/>
                <w:szCs w:val="18"/>
              </w:rPr>
              <w:t xml:space="preserve">R59.94m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pattern to describe:</w:t>
            </w:r>
            <w:r>
              <w:rPr>
                <w:rFonts w:ascii="Arial" w:cs="Arial" w:eastAsia="Arial" w:hAnsi="Arial"/>
                <w:b w:val="false"/>
                <w:bCs w:val="false"/>
                <w:i w:val="false"/>
                <w:iCs w:val="false"/>
                <w:color w:val="0070C0"/>
                <w:sz w:val="18"/>
                <w:szCs w:val="18"/>
              </w:rPr>
              <w:t xml:space="preserve"> the tax base falls to nil within three years while the asset is depreciated over 25. The deferred tax liability builds fast and unwinds slowly over two decades — material for a business already carrying R6 850m of liabilities.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125% permanent difference.</w:t>
            </w:r>
            <w:r>
              <w:rPr>
                <w:rFonts w:ascii="Arial" w:cs="Arial" w:eastAsia="Arial" w:hAnsi="Arial"/>
                <w:b w:val="false"/>
                <w:bCs w:val="false"/>
                <w:i w:val="false"/>
                <w:iCs w:val="false"/>
                <w:color w:val="0070C0"/>
                <w:sz w:val="18"/>
                <w:szCs w:val="18"/>
              </w:rPr>
              <w:t xml:space="preserve"> On Asset Y, deductions of R22.5m exceed cost of R18m by R4.5m —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that reduced the FY2025 effective rate by R1.215m of tax and never reverses.</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I. The three routes side by side</w:t>
      </w:r>
    </w:p>
    <w:p>
      <w:pPr>
        <w:keepNext w:val="false"/>
        <w:spacing w:after="100" w:before="0" w:line="250" w:lineRule="auto"/>
      </w:pPr>
      <w:r>
        <w:rPr>
          <w:rFonts w:ascii="Arial" w:cs="Arial" w:eastAsia="Arial" w:hAnsi="Arial"/>
          <w:b w:val="false"/>
          <w:bCs w:val="false"/>
          <w:i/>
          <w:iCs/>
          <w:color w:val="000000"/>
          <w:sz w:val="18"/>
          <w:szCs w:val="18"/>
        </w:rPr>
        <w:t xml:space="preserve">All figures assumed. Project X: 30MW solar PV, plant R450m, roads and fences R25m, grid connection R60m, land R15m, brought into use 1 May 2027 (FY2027). Axion taxable income before the project R350m. Rate 27%.</w:t>
      </w:r>
    </w:p>
    <w:p>
      <w:pPr>
        <w:keepNext/>
        <w:spacing w:after="70" w:before="200" w:line="250" w:lineRule="auto"/>
      </w:pPr>
      <w:r>
        <w:rPr>
          <w:rFonts w:ascii="Arial" w:cs="Arial" w:eastAsia="Arial" w:hAnsi="Arial"/>
          <w:b/>
          <w:bCs/>
          <w:i w:val="false"/>
          <w:iCs w:val="false"/>
          <w:color w:val="000000"/>
          <w:sz w:val="22"/>
          <w:szCs w:val="22"/>
        </w:rPr>
        <w:t xml:space="preserve">Step 1 — Allocate the cost to the right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1648"/>
        <w:gridCol w:w="2884"/>
        <w:gridCol w:w="267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Amount</w:t>
            </w:r>
          </w:p>
        </w:tc>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deduction</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and machinery</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and perimeter fencing</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 transmission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s13quin or s11(e) — depends what it is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R30.0m / R3.0m / R0.5m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 only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excluding the grid connection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[WAITING FOR INPUT]:</w:t>
      </w:r>
      <w:r>
        <w:rPr>
          <w:rFonts w:ascii="Arial" w:cs="Arial" w:eastAsia="Arial" w:hAnsi="Arial"/>
          <w:b w:val="false"/>
          <w:bCs w:val="false"/>
          <w:i w:val="false"/>
          <w:iCs w:val="false"/>
          <w:color w:val="0070C0"/>
          <w:sz w:val="19"/>
          <w:szCs w:val="19"/>
        </w:rPr>
        <w:t xml:space="preserve"> the cost split. Until you have it, present the grid connection as a range with the reasoning. A range with reasons scores; a guess does not.</w:t>
      </w:r>
    </w:p>
    <w:p>
      <w:pPr>
        <w:keepNext/>
        <w:spacing w:after="70" w:before="200" w:line="250" w:lineRule="auto"/>
      </w:pPr>
      <w:r>
        <w:rPr>
          <w:rFonts w:ascii="Arial" w:cs="Arial" w:eastAsia="Arial" w:hAnsi="Arial"/>
          <w:b/>
          <w:bCs/>
          <w:i w:val="false"/>
          <w:iCs w:val="false"/>
          <w:color w:val="000000"/>
          <w:sz w:val="22"/>
          <w:szCs w:val="22"/>
        </w:rPr>
        <w:t xml:space="preserve">Step 2 — The tax effect under each 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2266"/>
        <w:gridCol w:w="2266"/>
        <w:gridCol w:w="2266"/>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 A — Axion owns 100%</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 B — 50/50 joint operation</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 C — SPV owns, Axion buys output</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Who claims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50%; partner 50%</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SPV</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Axion’s FY2027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capital allowance</w:t>
            </w:r>
            <w:r>
              <w:rPr>
                <w:rFonts w:ascii="Arial" w:cs="Arial" w:eastAsia="Arial" w:hAnsi="Arial"/>
                <w:b w:val="false"/>
                <w:bCs w:val="false"/>
                <w:i w:val="false"/>
                <w:iCs w:val="false"/>
                <w:color w:val="0070C0"/>
                <w:sz w:val="18"/>
                <w:szCs w:val="18"/>
              </w:rPr>
              <w:t xml:space="preserve"> — s11(a) on electricity only</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before project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Less: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 — assumed PPA cost</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after</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at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R60.75m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R70.74m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if no project (R350m ×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in FY2027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R33.75m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Shape of the benefit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Front-loaded, exhausted after FY2029</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Front-loaded, half the size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Level, for the life of the PPA</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Where a loss sits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Axion — usable against other income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Axion, at 50%</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Trapped in the SPV</w:t>
            </w:r>
            <w:r>
              <w:rPr>
                <w:rFonts w:ascii="Arial" w:cs="Arial" w:eastAsia="Arial" w:hAnsi="Arial"/>
                <w:b w:val="false"/>
                <w:bCs w:val="false"/>
                <w:i w:val="false"/>
                <w:iCs w:val="false"/>
                <w:color w:val="0070C0"/>
                <w:sz w:val="18"/>
                <w:szCs w:val="18"/>
              </w:rPr>
              <w:t xml:space="preserve">, constrained by s20</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Step 3 — The three-year picture for Route 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 30 / 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R450.0m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R475.0m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benefit 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R67.50m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R36.45m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R24.30m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R128.25m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Say this to the board:</w:t>
      </w:r>
      <w:r>
        <w:rPr>
          <w:rFonts w:ascii="Arial" w:cs="Arial" w:eastAsia="Arial" w:hAnsi="Arial"/>
          <w:b w:val="false"/>
          <w:bCs w:val="false"/>
          <w:i w:val="false"/>
          <w:iCs w:val="false"/>
          <w:color w:val="0070C0"/>
          <w:sz w:val="19"/>
          <w:szCs w:val="19"/>
        </w:rPr>
        <w:t xml:space="preserve"> the R128.25m is a </w:t>
      </w:r>
      <w:r>
        <w:rPr>
          <w:rFonts w:ascii="Arial" w:cs="Arial" w:eastAsia="Arial" w:hAnsi="Arial"/>
          <w:b/>
          <w:bCs/>
          <w:i w:val="false"/>
          <w:iCs w:val="false"/>
          <w:color w:val="0070C0"/>
          <w:sz w:val="19"/>
          <w:szCs w:val="19"/>
        </w:rPr>
        <w:t xml:space="preserve">timing</w:t>
      </w:r>
      <w:r>
        <w:rPr>
          <w:rFonts w:ascii="Arial" w:cs="Arial" w:eastAsia="Arial" w:hAnsi="Arial"/>
          <w:b w:val="false"/>
          <w:bCs w:val="false"/>
          <w:i w:val="false"/>
          <w:iCs w:val="false"/>
          <w:color w:val="0070C0"/>
          <w:sz w:val="19"/>
          <w:szCs w:val="19"/>
        </w:rPr>
        <w:t xml:space="preserve"> benefit. On disposal, s8(4)(a) recoups the allowances as ordinary income (Table 13). What the allowances deliver is the </w:t>
      </w:r>
      <w:r>
        <w:rPr>
          <w:rFonts w:ascii="Arial" w:cs="Arial" w:eastAsia="Arial" w:hAnsi="Arial"/>
          <w:b/>
          <w:bCs/>
          <w:i w:val="false"/>
          <w:iCs w:val="false"/>
          <w:color w:val="0070C0"/>
          <w:sz w:val="19"/>
          <w:szCs w:val="19"/>
        </w:rPr>
        <w:t xml:space="preserve">present value of the deferral</w:t>
      </w:r>
      <w:r>
        <w:rPr>
          <w:rFonts w:ascii="Arial" w:cs="Arial" w:eastAsia="Arial" w:hAnsi="Arial"/>
          <w:b w:val="false"/>
          <w:bCs w:val="false"/>
          <w:i w:val="false"/>
          <w:iCs w:val="false"/>
          <w:color w:val="0070C0"/>
          <w:sz w:val="19"/>
          <w:szCs w:val="19"/>
        </w:rPr>
        <w:t xml:space="preserve">, and that is what belongs in the post-tax NPV.</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And this:</w:t>
      </w:r>
      <w:r>
        <w:rPr>
          <w:rFonts w:ascii="Arial" w:cs="Arial" w:eastAsia="Arial" w:hAnsi="Arial"/>
          <w:b w:val="false"/>
          <w:bCs w:val="false"/>
          <w:i w:val="false"/>
          <w:iCs w:val="false"/>
          <w:color w:val="0070C0"/>
          <w:sz w:val="19"/>
          <w:szCs w:val="19"/>
        </w:rPr>
        <w:t xml:space="preserve"> had the project been commissioned before 1 March 2025, s12BA would have given 125% of R450m = </w:t>
      </w:r>
      <w:r>
        <w:rPr>
          <w:rFonts w:ascii="Arial" w:cs="Arial" w:eastAsia="Arial" w:hAnsi="Arial"/>
          <w:b/>
          <w:bCs/>
          <w:i w:val="false"/>
          <w:iCs w:val="false"/>
          <w:color w:val="0070C0"/>
          <w:sz w:val="19"/>
          <w:szCs w:val="19"/>
        </w:rPr>
        <w:t xml:space="preserve">R562.5m in FY2027 alone</w:t>
      </w:r>
      <w:r>
        <w:rPr>
          <w:rFonts w:ascii="Arial" w:cs="Arial" w:eastAsia="Arial" w:hAnsi="Arial"/>
          <w:b w:val="false"/>
          <w:bCs w:val="false"/>
          <w:i w:val="false"/>
          <w:iCs w:val="false"/>
          <w:color w:val="0070C0"/>
          <w:sz w:val="19"/>
          <w:szCs w:val="19"/>
        </w:rPr>
        <w:t xml:space="preserve">, a first-year benefit of </w:t>
      </w:r>
      <w:r>
        <w:rPr>
          <w:rFonts w:ascii="Arial" w:cs="Arial" w:eastAsia="Arial" w:hAnsi="Arial"/>
          <w:b/>
          <w:bCs/>
          <w:i w:val="false"/>
          <w:iCs w:val="false"/>
          <w:color w:val="0070C0"/>
          <w:sz w:val="19"/>
          <w:szCs w:val="19"/>
        </w:rPr>
        <w:t xml:space="preserve">R151.9m</w:t>
      </w:r>
      <w:r>
        <w:rPr>
          <w:rFonts w:ascii="Arial" w:cs="Arial" w:eastAsia="Arial" w:hAnsi="Arial"/>
          <w:b w:val="false"/>
          <w:bCs w:val="false"/>
          <w:i w:val="false"/>
          <w:iCs w:val="false"/>
          <w:color w:val="0070C0"/>
          <w:sz w:val="19"/>
          <w:szCs w:val="19"/>
        </w:rPr>
        <w:t xml:space="preserve"> against R67.5m. The expiry of s12BA has materially weakened the case for building rather than buying.</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J. Answer structure for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824"/>
        <w:gridCol w:w="3090"/>
        <w:gridCol w:w="6386"/>
      </w:tblGrid>
      <w:tr>
        <w:trPr>
          <w:tblHeader/>
        </w:trPr>
        <w:tc>
          <w:tcPr>
            <w:tcW w:type="dxa" w:w="82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to write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Identify the transaction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One sentence: which route is proposed, and what is being acquired.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Identify who owns and who claims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Ownership, bringing into use, own trade, production of income — all four in the same taxpayer. State the consequence for Axion.</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Work each cost element to its section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Plant → s12B. Roads and fences → s12U if above 5MW. Connection → s12B, s13quin or s11(e). Land → nothing. </w:t>
            </w:r>
            <w:r>
              <w:rPr>
                <w:rFonts w:ascii="Arial" w:cs="Arial" w:eastAsia="Arial" w:hAnsi="Arial"/>
                <w:b/>
                <w:bCs/>
                <w:i w:val="false"/>
                <w:iCs w:val="false"/>
                <w:color w:val="0070C0"/>
                <w:sz w:val="18"/>
                <w:szCs w:val="18"/>
              </w:rPr>
              <w:t xml:space="preserve">Do not lump them together.</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Apply the rate and compute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Show the calculation. 50/30/20 or 100%. No apportionment. Give the rand deduction and the tax at 27%.</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the timing</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Date brought into use against 30 June. Quantify the effect of slipping past year end.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6</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utilisation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Is there taxable income to absorb it? If not, s20 limits the carry-forward. Compute it.</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7</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Deal with disposal</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recoupment capped at allowances claimed; CGT at 21.6% on any excess over cost. s8(4)(nA) if s12BA was claimed.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Cover the other taxes briefly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VAT input and output. Carbon tax falls on Scope 1, so a renewable PPA saves little or none. Dividends tax on the SPV route.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9</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State what you need</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Specific requests: capacity in MW, cost split, ownership structure, date brought into use, lender identity and residence.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Conclude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Recommend. If the numbers are close, say so and decide on judgement — but reach a conclusion. An unconcluded analysis is an incomplete task.</w:t>
            </w:r>
          </w:p>
        </w:tc>
      </w:tr>
    </w:tbl>
    <w:p>
      <w:pPr>
        <w:keepNext w:val="false"/>
        <w:spacing w:after="0" w:before="0" w:line="250" w:lineRule="auto"/>
      </w:pPr>
      <w:r>
        <w:rPr>
          <w:rFonts w:ascii="Arial" w:cs="Arial" w:eastAsia="Arial" w:hAnsi="Arial"/>
          <w:sz w:val="12"/>
          <w:szCs w:val="12"/>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Five things that will cost you the task.</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Claiming s12BA.</w:t>
            </w:r>
            <w:r>
              <w:rPr>
                <w:rFonts w:ascii="Arial" w:cs="Arial" w:eastAsia="Arial" w:hAnsi="Arial"/>
                <w:b w:val="false"/>
                <w:bCs w:val="false"/>
                <w:i w:val="false"/>
                <w:iCs w:val="false"/>
                <w:color w:val="000000"/>
                <w:sz w:val="18"/>
                <w:szCs w:val="18"/>
              </w:rPr>
              <w:t xml:space="preserve"> It expired on 28 February 2025. Say it has expired.</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the transmission line into s12U.</w:t>
            </w:r>
            <w:r>
              <w:rPr>
                <w:rFonts w:ascii="Arial" w:cs="Arial" w:eastAsia="Arial" w:hAnsi="Arial"/>
                <w:b w:val="false"/>
                <w:bCs w:val="false"/>
                <w:i w:val="false"/>
                <w:iCs w:val="false"/>
                <w:color w:val="000000"/>
                <w:sz w:val="18"/>
                <w:szCs w:val="18"/>
              </w:rPr>
              <w:t xml:space="preserve"> s12U is roads and fences only.</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Assuming Axion gets the allowance.</w:t>
            </w:r>
            <w:r>
              <w:rPr>
                <w:rFonts w:ascii="Arial" w:cs="Arial" w:eastAsia="Arial" w:hAnsi="Arial"/>
                <w:b w:val="false"/>
                <w:bCs w:val="false"/>
                <w:i w:val="false"/>
                <w:iCs w:val="false"/>
                <w:color w:val="000000"/>
                <w:sz w:val="18"/>
                <w:szCs w:val="18"/>
              </w:rPr>
              <w:t xml:space="preserve"> If the plant sits in an SPV or the partner owns it, Axion gets nothing but s11(a).</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Apportioning s12B for part of a year.</w:t>
            </w:r>
            <w:r>
              <w:rPr>
                <w:rFonts w:ascii="Arial" w:cs="Arial" w:eastAsia="Arial" w:hAnsi="Arial"/>
                <w:b w:val="false"/>
                <w:bCs w:val="false"/>
                <w:i w:val="false"/>
                <w:iCs w:val="false"/>
                <w:color w:val="000000"/>
                <w:sz w:val="18"/>
                <w:szCs w:val="18"/>
              </w:rPr>
              <w:t xml:space="preserve"> It is not apportioned. s11(e) is.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a carbon tax saving into the NPV.</w:t>
            </w:r>
            <w:r>
              <w:rPr>
                <w:rFonts w:ascii="Arial" w:cs="Arial" w:eastAsia="Arial" w:hAnsi="Arial"/>
                <w:b w:val="false"/>
                <w:bCs w:val="false"/>
                <w:i w:val="false"/>
                <w:iCs w:val="false"/>
                <w:color w:val="000000"/>
                <w:sz w:val="18"/>
                <w:szCs w:val="18"/>
              </w:rPr>
              <w:t xml:space="preserve"> Carbon tax falls on Scope 1; a renewable PPA cuts Scope 2.</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K. Tax consequences arising from the other pre-release documents</w:t>
      </w:r>
    </w:p>
    <w:p>
      <w:pPr>
        <w:keepNext w:val="false"/>
        <w:spacing w:after="100" w:before="0" w:line="250" w:lineRule="auto"/>
      </w:pPr>
      <w:r>
        <w:rPr>
          <w:rFonts w:ascii="Arial" w:cs="Arial" w:eastAsia="Arial" w:hAnsi="Arial"/>
          <w:b w:val="false"/>
          <w:bCs w:val="false"/>
          <w:i/>
          <w:iCs/>
          <w:color w:val="000000"/>
          <w:sz w:val="18"/>
          <w:szCs w:val="18"/>
        </w:rPr>
        <w:t xml:space="preserve">Sections A to J deal with Document 7. Everything below arises from a different document in the pre-release. Documents 1 and 2 are introductory and raise no separate tax consequence, beyond the point that Axion is a South African resident company and is therefore taxed on its worldwide income.</w:t>
      </w:r>
    </w:p>
    <w:p>
      <w:pPr>
        <w:keepNext/>
        <w:spacing w:after="70" w:before="200" w:line="250" w:lineRule="auto"/>
      </w:pPr>
      <w:r>
        <w:rPr>
          <w:rFonts w:ascii="Arial" w:cs="Arial" w:eastAsia="Arial" w:hAnsi="Arial"/>
          <w:b/>
          <w:bCs/>
          <w:i w:val="false"/>
          <w:iCs w:val="false"/>
          <w:color w:val="000000"/>
          <w:sz w:val="22"/>
          <w:szCs w:val="22"/>
        </w:rPr>
        <w:t xml:space="preserve">Table 18 — Document 3: board strategy day — R3–5bn capex, funding, African expansion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s24J — interest.</w:t>
            </w:r>
            <w:r>
              <w:rPr>
                <w:rFonts w:ascii="Arial" w:cs="Arial" w:eastAsia="Arial" w:hAnsi="Arial"/>
                <w:b w:val="false"/>
                <w:bCs w:val="false"/>
                <w:i w:val="false"/>
                <w:iCs w:val="false"/>
                <w:color w:val="000000"/>
                <w:sz w:val="18"/>
                <w:szCs w:val="18"/>
              </w:rPr>
              <w:t xml:space="preserve"> Interest on borrowings is deductible where incurred in the production of income and not of a capital nature, accrued on a yield-to-maturity basis.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s23M</w:t>
            </w:r>
            <w:r>
              <w:rPr>
                <w:rFonts w:ascii="Arial" w:cs="Arial" w:eastAsia="Arial" w:hAnsi="Arial"/>
                <w:b w:val="false"/>
                <w:bCs w:val="false"/>
                <w:i w:val="false"/>
                <w:iCs w:val="false"/>
                <w:color w:val="000000"/>
                <w:sz w:val="18"/>
                <w:szCs w:val="18"/>
              </w:rPr>
              <w:t xml:space="preserve"> limits interest owed to a connected creditor not subject to SA tax (Table 12).</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s24I — foreign exchange.</w:t>
            </w:r>
            <w:r>
              <w:rPr>
                <w:rFonts w:ascii="Arial" w:cs="Arial" w:eastAsia="Arial" w:hAnsi="Arial"/>
                <w:b w:val="false"/>
                <w:bCs w:val="false"/>
                <w:i w:val="false"/>
                <w:iCs w:val="false"/>
                <w:color w:val="000000"/>
                <w:sz w:val="18"/>
                <w:szCs w:val="18"/>
              </w:rPr>
              <w:t xml:space="preserve"> Exchange differences on a foreign currency debt or forward contract are included in or deducted from income </w:t>
            </w:r>
            <w:r>
              <w:rPr>
                <w:rFonts w:ascii="Arial" w:cs="Arial" w:eastAsia="Arial" w:hAnsi="Arial"/>
                <w:b/>
                <w:bCs/>
                <w:i w:val="false"/>
                <w:iCs w:val="false"/>
                <w:color w:val="000000"/>
                <w:sz w:val="18"/>
                <w:szCs w:val="18"/>
              </w:rPr>
              <w:t xml:space="preserve">as they arise</w:t>
            </w:r>
            <w:r>
              <w:rPr>
                <w:rFonts w:ascii="Arial" w:cs="Arial" w:eastAsia="Arial" w:hAnsi="Arial"/>
                <w:b w:val="false"/>
                <w:bCs w:val="false"/>
                <w:i w:val="false"/>
                <w:iCs w:val="false"/>
                <w:color w:val="000000"/>
                <w:sz w:val="18"/>
                <w:szCs w:val="18"/>
              </w:rPr>
              <w:t xml:space="preserve">, whether or not realised.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s9D — controlled foreign companies.</w:t>
            </w:r>
            <w:r>
              <w:rPr>
                <w:rFonts w:ascii="Arial" w:cs="Arial" w:eastAsia="Arial" w:hAnsi="Arial"/>
                <w:b w:val="false"/>
                <w:bCs w:val="false"/>
                <w:i w:val="false"/>
                <w:iCs w:val="false"/>
                <w:color w:val="000000"/>
                <w:sz w:val="18"/>
                <w:szCs w:val="18"/>
              </w:rPr>
              <w:t xml:space="preserve"> Net income of a CFC (more than 50% of participation or voting rights held by SA residents) is </w:t>
            </w:r>
            <w:r>
              <w:rPr>
                <w:rFonts w:ascii="Arial" w:cs="Arial" w:eastAsia="Arial" w:hAnsi="Arial"/>
                <w:b/>
                <w:bCs/>
                <w:i w:val="false"/>
                <w:iCs w:val="false"/>
                <w:color w:val="000000"/>
                <w:sz w:val="18"/>
                <w:szCs w:val="18"/>
              </w:rPr>
              <w:t xml:space="preserve">imputed</w:t>
            </w:r>
            <w:r>
              <w:rPr>
                <w:rFonts w:ascii="Arial" w:cs="Arial" w:eastAsia="Arial" w:hAnsi="Arial"/>
                <w:b w:val="false"/>
                <w:bCs w:val="false"/>
                <w:i w:val="false"/>
                <w:iCs w:val="false"/>
                <w:color w:val="000000"/>
                <w:sz w:val="18"/>
                <w:szCs w:val="18"/>
              </w:rPr>
              <w:t xml:space="preserve"> to the SA shareholder, subject to exemptions including the foreign business establishment exemption.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s6quat</w:t>
            </w:r>
            <w:r>
              <w:rPr>
                <w:rFonts w:ascii="Arial" w:cs="Arial" w:eastAsia="Arial" w:hAnsi="Arial"/>
                <w:b w:val="false"/>
                <w:bCs w:val="false"/>
                <w:i w:val="false"/>
                <w:iCs w:val="false"/>
                <w:color w:val="000000"/>
                <w:sz w:val="18"/>
                <w:szCs w:val="18"/>
              </w:rPr>
              <w:t xml:space="preserve"> grants a credit for foreign taxes on foreign-sourced income, limited to the SA tax on that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s31 — transfer pricing.</w:t>
            </w:r>
            <w:r>
              <w:rPr>
                <w:rFonts w:ascii="Arial" w:cs="Arial" w:eastAsia="Arial" w:hAnsi="Arial"/>
                <w:b w:val="false"/>
                <w:bCs w:val="false"/>
                <w:i w:val="false"/>
                <w:iCs w:val="false"/>
                <w:color w:val="000000"/>
                <w:sz w:val="18"/>
                <w:szCs w:val="18"/>
              </w:rPr>
              <w:t xml:space="preserve"> Cross-border transactions between connected persons must be on </w:t>
            </w:r>
            <w:r>
              <w:rPr>
                <w:rFonts w:ascii="Arial" w:cs="Arial" w:eastAsia="Arial" w:hAnsi="Arial"/>
                <w:b/>
                <w:bCs/>
                <w:i w:val="false"/>
                <w:iCs w:val="false"/>
                <w:color w:val="000000"/>
                <w:sz w:val="18"/>
                <w:szCs w:val="18"/>
              </w:rPr>
              <w:t xml:space="preserve">arm’s length</w:t>
            </w:r>
            <w:r>
              <w:rPr>
                <w:rFonts w:ascii="Arial" w:cs="Arial" w:eastAsia="Arial" w:hAnsi="Arial"/>
                <w:b w:val="false"/>
                <w:bCs w:val="false"/>
                <w:i w:val="false"/>
                <w:iCs w:val="false"/>
                <w:color w:val="000000"/>
                <w:sz w:val="18"/>
                <w:szCs w:val="18"/>
              </w:rPr>
              <w:t xml:space="preserve"> terms; the difference is adjusted and may be treated as a deemed dividend.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Dividends tax 20%</w:t>
            </w:r>
            <w:r>
              <w:rPr>
                <w:rFonts w:ascii="Arial" w:cs="Arial" w:eastAsia="Arial" w:hAnsi="Arial"/>
                <w:b w:val="false"/>
                <w:bCs w:val="false"/>
                <w:i w:val="false"/>
                <w:iCs w:val="false"/>
                <w:color w:val="000000"/>
                <w:sz w:val="18"/>
                <w:szCs w:val="18"/>
              </w:rPr>
              <w:t xml:space="preserve">, subject to treaty relief for non-resident shareholders.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s9D, s6quat, s31 and s24I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feasibility model is the biggest tax point in this document.</w:t>
            </w:r>
            <w:r>
              <w:rPr>
                <w:rFonts w:ascii="Arial" w:cs="Arial" w:eastAsia="Arial" w:hAnsi="Arial"/>
                <w:b w:val="false"/>
                <w:bCs w:val="false"/>
                <w:i w:val="false"/>
                <w:iCs w:val="false"/>
                <w:color w:val="0070C0"/>
                <w:sz w:val="18"/>
                <w:szCs w:val="18"/>
              </w:rPr>
              <w:t xml:space="preserve"> Document 3 defines initial feasibility using “incremental </w:t>
            </w:r>
            <w:r>
              <w:rPr>
                <w:rFonts w:ascii="Arial" w:cs="Arial" w:eastAsia="Arial" w:hAnsi="Arial"/>
                <w:b/>
                <w:bCs/>
                <w:i w:val="false"/>
                <w:iCs w:val="false"/>
                <w:color w:val="0070C0"/>
                <w:sz w:val="18"/>
                <w:szCs w:val="18"/>
              </w:rPr>
              <w:t xml:space="preserve">pre-tax</w:t>
            </w:r>
            <w:r>
              <w:rPr>
                <w:rFonts w:ascii="Arial" w:cs="Arial" w:eastAsia="Arial" w:hAnsi="Arial"/>
                <w:b w:val="false"/>
                <w:bCs w:val="false"/>
                <w:i w:val="false"/>
                <w:iCs w:val="false"/>
                <w:color w:val="0070C0"/>
                <w:sz w:val="18"/>
                <w:szCs w:val="18"/>
              </w:rPr>
              <w:t xml:space="preserve"> cash flows” and a “</w:t>
            </w:r>
            <w:r>
              <w:rPr>
                <w:rFonts w:ascii="Arial" w:cs="Arial" w:eastAsia="Arial" w:hAnsi="Arial"/>
                <w:b/>
                <w:bCs/>
                <w:i w:val="false"/>
                <w:iCs w:val="false"/>
                <w:color w:val="0070C0"/>
                <w:sz w:val="18"/>
                <w:szCs w:val="18"/>
              </w:rPr>
              <w:t xml:space="preserve">pre-tax</w:t>
            </w:r>
            <w:r>
              <w:rPr>
                <w:rFonts w:ascii="Arial" w:cs="Arial" w:eastAsia="Arial" w:hAnsi="Arial"/>
                <w:b w:val="false"/>
                <w:bCs w:val="false"/>
                <w:i w:val="false"/>
                <w:iCs w:val="false"/>
                <w:color w:val="0070C0"/>
                <w:sz w:val="18"/>
                <w:szCs w:val="18"/>
              </w:rPr>
              <w:t xml:space="preserve"> project NPV”. Capital allowances are a </w:t>
            </w:r>
            <w:r>
              <w:rPr>
                <w:rFonts w:ascii="Arial" w:cs="Arial" w:eastAsia="Arial" w:hAnsi="Arial"/>
                <w:b/>
                <w:bCs/>
                <w:i w:val="false"/>
                <w:iCs w:val="false"/>
                <w:color w:val="0070C0"/>
                <w:sz w:val="18"/>
                <w:szCs w:val="18"/>
              </w:rPr>
              <w:t xml:space="preserve">cash flow</w:t>
            </w:r>
            <w:r>
              <w:rPr>
                <w:rFonts w:ascii="Arial" w:cs="Arial" w:eastAsia="Arial" w:hAnsi="Arial"/>
                <w:b w:val="false"/>
                <w:bCs w:val="false"/>
                <w:i w:val="false"/>
                <w:iCs w:val="false"/>
                <w:color w:val="0070C0"/>
                <w:sz w:val="18"/>
                <w:szCs w:val="18"/>
              </w:rPr>
              <w:t xml:space="preserve">, and on Project X alone they are worth </w:t>
            </w:r>
            <w:r>
              <w:rPr>
                <w:rFonts w:ascii="Arial" w:cs="Arial" w:eastAsia="Arial" w:hAnsi="Arial"/>
                <w:b/>
                <w:bCs/>
                <w:i w:val="false"/>
                <w:iCs w:val="false"/>
                <w:color w:val="0070C0"/>
                <w:sz w:val="18"/>
                <w:szCs w:val="18"/>
              </w:rPr>
              <w:t xml:space="preserve">R128.25m</w:t>
            </w:r>
            <w:r>
              <w:rPr>
                <w:rFonts w:ascii="Arial" w:cs="Arial" w:eastAsia="Arial" w:hAnsi="Arial"/>
                <w:b w:val="false"/>
                <w:bCs w:val="false"/>
                <w:i w:val="false"/>
                <w:iCs w:val="false"/>
                <w:color w:val="0070C0"/>
                <w:sz w:val="18"/>
                <w:szCs w:val="18"/>
              </w:rPr>
              <w:t xml:space="preserve"> over three years. A pre-tax NPV is acceptable as an initial screen, but the </w:t>
            </w:r>
            <w:r>
              <w:rPr>
                <w:rFonts w:ascii="Arial" w:cs="Arial" w:eastAsia="Arial" w:hAnsi="Arial"/>
                <w:b/>
                <w:bCs/>
                <w:i w:val="false"/>
                <w:iCs w:val="false"/>
                <w:color w:val="0070C0"/>
                <w:sz w:val="18"/>
                <w:szCs w:val="18"/>
              </w:rPr>
              <w:t xml:space="preserve">final decision stage must be post-tax</w:t>
            </w:r>
            <w:r>
              <w:rPr>
                <w:rFonts w:ascii="Arial" w:cs="Arial" w:eastAsia="Arial" w:hAnsi="Arial"/>
                <w:b w:val="false"/>
                <w:bCs w:val="false"/>
                <w:i w:val="false"/>
                <w:iCs w:val="false"/>
                <w:color w:val="0070C0"/>
                <w:sz w:val="18"/>
                <w:szCs w:val="18"/>
              </w:rPr>
              <w:t xml:space="preserve">, or the whole of Section A is ignored in the decision.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same applies to the discount rate: the cost of debt must be taken </w:t>
            </w:r>
            <w:r>
              <w:rPr>
                <w:rFonts w:ascii="Arial" w:cs="Arial" w:eastAsia="Arial" w:hAnsi="Arial"/>
                <w:b/>
                <w:bCs/>
                <w:i w:val="false"/>
                <w:iCs w:val="false"/>
                <w:color w:val="0070C0"/>
                <w:sz w:val="18"/>
                <w:szCs w:val="18"/>
              </w:rPr>
              <w:t xml:space="preserve">after tax</w:t>
            </w:r>
            <w:r>
              <w:rPr>
                <w:rFonts w:ascii="Arial" w:cs="Arial" w:eastAsia="Arial" w:hAnsi="Arial"/>
                <w:b w:val="false"/>
                <w:bCs w:val="false"/>
                <w:i w:val="false"/>
                <w:iCs w:val="false"/>
                <w:color w:val="0070C0"/>
                <w:sz w:val="18"/>
                <w:szCs w:val="18"/>
              </w:rPr>
              <w:t xml:space="preserve"> at k(d) × (1 − 27%). Using a pre-tax NPV with an after-tax WACC, or the reverse, double counts or omits the shield.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three funding options have different tax outcomes: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Additional debt</w:t>
            </w:r>
            <w:r>
              <w:rPr>
                <w:rFonts w:ascii="Arial" w:cs="Arial" w:eastAsia="Arial" w:hAnsi="Arial"/>
                <w:b w:val="false"/>
                <w:bCs w:val="false"/>
                <w:i w:val="false"/>
                <w:iCs w:val="false"/>
                <w:color w:val="0070C0"/>
                <w:sz w:val="18"/>
                <w:szCs w:val="18"/>
              </w:rPr>
              <w:t xml:space="preserve"> → interest deductible under s24J. On R1bn at 11%, that is R110m a year, worth </w:t>
            </w:r>
            <w:r>
              <w:rPr>
                <w:rFonts w:ascii="Arial" w:cs="Arial" w:eastAsia="Arial" w:hAnsi="Arial"/>
                <w:b/>
                <w:bCs/>
                <w:i w:val="false"/>
                <w:iCs w:val="false"/>
                <w:color w:val="0070C0"/>
                <w:sz w:val="18"/>
                <w:szCs w:val="18"/>
              </w:rPr>
              <w:t xml:space="preserve">R29.7m</w:t>
            </w:r>
            <w:r>
              <w:rPr>
                <w:rFonts w:ascii="Arial" w:cs="Arial" w:eastAsia="Arial" w:hAnsi="Arial"/>
                <w:b w:val="false"/>
                <w:bCs w:val="false"/>
                <w:i w:val="false"/>
                <w:iCs w:val="false"/>
                <w:color w:val="0070C0"/>
                <w:sz w:val="18"/>
                <w:szCs w:val="18"/>
              </w:rPr>
              <w:t xml:space="preserve"> of tax. Check s23M only if the lender is connected and not subject to SA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Investment from existing shareholders</w:t>
            </w:r>
            <w:r>
              <w:rPr>
                <w:rFonts w:ascii="Arial" w:cs="Arial" w:eastAsia="Arial" w:hAnsi="Arial"/>
                <w:b w:val="false"/>
                <w:bCs w:val="false"/>
                <w:i w:val="false"/>
                <w:iCs w:val="false"/>
                <w:color w:val="0070C0"/>
                <w:sz w:val="18"/>
                <w:szCs w:val="18"/>
              </w:rPr>
              <w:t xml:space="preserve"> → if equity, </w:t>
            </w:r>
            <w:r>
              <w:rPr>
                <w:rFonts w:ascii="Arial" w:cs="Arial" w:eastAsia="Arial" w:hAnsi="Arial"/>
                <w:b/>
                <w:bCs/>
                <w:i w:val="false"/>
                <w:iCs w:val="false"/>
                <w:color w:val="0070C0"/>
                <w:sz w:val="18"/>
                <w:szCs w:val="18"/>
              </w:rPr>
              <w:t xml:space="preserve">no deduction</w:t>
            </w:r>
            <w:r>
              <w:rPr>
                <w:rFonts w:ascii="Arial" w:cs="Arial" w:eastAsia="Arial" w:hAnsi="Arial"/>
                <w:b w:val="false"/>
                <w:bCs w:val="false"/>
                <w:i w:val="false"/>
                <w:iCs w:val="false"/>
                <w:color w:val="0070C0"/>
                <w:sz w:val="18"/>
                <w:szCs w:val="18"/>
              </w:rPr>
              <w:t xml:space="preserve">, and distributions carry dividends tax. If shareholder </w:t>
            </w:r>
            <w:r>
              <w:rPr>
                <w:rFonts w:ascii="Arial" w:cs="Arial" w:eastAsia="Arial" w:hAnsi="Arial"/>
                <w:b/>
                <w:bCs/>
                <w:i w:val="false"/>
                <w:iCs w:val="false"/>
                <w:color w:val="0070C0"/>
                <w:sz w:val="18"/>
                <w:szCs w:val="18"/>
              </w:rPr>
              <w:t xml:space="preserve">loans</w:t>
            </w:r>
            <w:r>
              <w:rPr>
                <w:rFonts w:ascii="Arial" w:cs="Arial" w:eastAsia="Arial" w:hAnsi="Arial"/>
                <w:b w:val="false"/>
                <w:bCs w:val="false"/>
                <w:i w:val="false"/>
                <w:iCs w:val="false"/>
                <w:color w:val="0070C0"/>
                <w:sz w:val="18"/>
                <w:szCs w:val="18"/>
              </w:rPr>
              <w:t xml:space="preserve">, the interest is deductible but s23M and s31 must both be considered — Ubuntu holds 35% and Horizon 30%.</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new strategic investor</w:t>
            </w:r>
            <w:r>
              <w:rPr>
                <w:rFonts w:ascii="Arial" w:cs="Arial" w:eastAsia="Arial" w:hAnsi="Arial"/>
                <w:b w:val="false"/>
                <w:bCs w:val="false"/>
                <w:i w:val="false"/>
                <w:iCs w:val="false"/>
                <w:color w:val="0070C0"/>
                <w:sz w:val="18"/>
                <w:szCs w:val="18"/>
              </w:rPr>
              <w:t xml:space="preserve"> → if non-resident, dividends tax at 20% subject to treaty relief, and s31 applies to any funding it provides.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“Selected African markets” (Document 3, page 7) opens the cross-border set.</w:t>
            </w:r>
            <w:r>
              <w:rPr>
                <w:rFonts w:ascii="Arial" w:cs="Arial" w:eastAsia="Arial" w:hAnsi="Arial"/>
                <w:b w:val="false"/>
                <w:bCs w:val="false"/>
                <w:i w:val="false"/>
                <w:iCs w:val="false"/>
                <w:color w:val="0070C0"/>
                <w:sz w:val="18"/>
                <w:szCs w:val="18"/>
              </w:rPr>
              <w:t xml:space="preserve"> If Axion invests through foreign subsidiaries: </w:t>
            </w:r>
            <w:r>
              <w:rPr>
                <w:rFonts w:ascii="Arial" w:cs="Arial" w:eastAsia="Arial" w:hAnsi="Arial"/>
                <w:b/>
                <w:bCs/>
                <w:i w:val="false"/>
                <w:iCs w:val="false"/>
                <w:color w:val="0070C0"/>
                <w:sz w:val="18"/>
                <w:szCs w:val="18"/>
              </w:rPr>
              <w:t xml:space="preserve">s9D</w:t>
            </w:r>
            <w:r>
              <w:rPr>
                <w:rFonts w:ascii="Arial" w:cs="Arial" w:eastAsia="Arial" w:hAnsi="Arial"/>
                <w:b w:val="false"/>
                <w:bCs w:val="false"/>
                <w:i w:val="false"/>
                <w:iCs w:val="false"/>
                <w:color w:val="0070C0"/>
                <w:sz w:val="18"/>
                <w:szCs w:val="18"/>
              </w:rPr>
              <w:t xml:space="preserve"> may impute the CFC’s net income to Axion; </w:t>
            </w:r>
            <w:r>
              <w:rPr>
                <w:rFonts w:ascii="Arial" w:cs="Arial" w:eastAsia="Arial" w:hAnsi="Arial"/>
                <w:b/>
                <w:bCs/>
                <w:i w:val="false"/>
                <w:iCs w:val="false"/>
                <w:color w:val="0070C0"/>
                <w:sz w:val="18"/>
                <w:szCs w:val="18"/>
              </w:rPr>
              <w:t xml:space="preserve">s6quat</w:t>
            </w:r>
            <w:r>
              <w:rPr>
                <w:rFonts w:ascii="Arial" w:cs="Arial" w:eastAsia="Arial" w:hAnsi="Arial"/>
                <w:b w:val="false"/>
                <w:bCs w:val="false"/>
                <w:i w:val="false"/>
                <w:iCs w:val="false"/>
                <w:color w:val="0070C0"/>
                <w:sz w:val="18"/>
                <w:szCs w:val="18"/>
              </w:rPr>
              <w:t xml:space="preserve"> credits foreign tax; foreign </w:t>
            </w:r>
            <w:r>
              <w:rPr>
                <w:rFonts w:ascii="Arial" w:cs="Arial" w:eastAsia="Arial" w:hAnsi="Arial"/>
                <w:b/>
                <w:bCs/>
                <w:i w:val="false"/>
                <w:iCs w:val="false"/>
                <w:color w:val="0070C0"/>
                <w:sz w:val="18"/>
                <w:szCs w:val="18"/>
              </w:rPr>
              <w:t xml:space="preserve">withholding taxes</w:t>
            </w:r>
            <w:r>
              <w:rPr>
                <w:rFonts w:ascii="Arial" w:cs="Arial" w:eastAsia="Arial" w:hAnsi="Arial"/>
                <w:b w:val="false"/>
                <w:bCs w:val="false"/>
                <w:i w:val="false"/>
                <w:iCs w:val="false"/>
                <w:color w:val="0070C0"/>
                <w:sz w:val="18"/>
                <w:szCs w:val="18"/>
              </w:rPr>
              <w:t xml:space="preserve"> apply to dividends, interest and management fees; and </w:t>
            </w:r>
            <w:r>
              <w:rPr>
                <w:rFonts w:ascii="Arial" w:cs="Arial" w:eastAsia="Arial" w:hAnsi="Arial"/>
                <w:b/>
                <w:bCs/>
                <w:i w:val="false"/>
                <w:iCs w:val="false"/>
                <w:color w:val="0070C0"/>
                <w:sz w:val="18"/>
                <w:szCs w:val="18"/>
              </w:rPr>
              <w:t xml:space="preserve">s31</w:t>
            </w:r>
            <w:r>
              <w:rPr>
                <w:rFonts w:ascii="Arial" w:cs="Arial" w:eastAsia="Arial" w:hAnsi="Arial"/>
                <w:b w:val="false"/>
                <w:bCs w:val="false"/>
                <w:i w:val="false"/>
                <w:iCs w:val="false"/>
                <w:color w:val="0070C0"/>
                <w:sz w:val="18"/>
                <w:szCs w:val="18"/>
              </w:rPr>
              <w:t xml:space="preserve"> governs intragroup funding and fees. [WAITING FOR INPUT]: whether expansion is by subsidiary, branch or joint venture, and in which countries.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s24I is likely live even without offshore expansion.</w:t>
            </w:r>
            <w:r>
              <w:rPr>
                <w:rFonts w:ascii="Arial" w:cs="Arial" w:eastAsia="Arial" w:hAnsi="Arial"/>
                <w:b w:val="false"/>
                <w:bCs w:val="false"/>
                <w:i w:val="false"/>
                <w:iCs w:val="false"/>
                <w:color w:val="0070C0"/>
                <w:sz w:val="18"/>
                <w:szCs w:val="18"/>
              </w:rPr>
              <w:t xml:space="preserve"> Data centre plant is typically imported. Foreign currency payables and any hedges give rise to exchange differences taxed or deducted </w:t>
            </w:r>
            <w:r>
              <w:rPr>
                <w:rFonts w:ascii="Arial" w:cs="Arial" w:eastAsia="Arial" w:hAnsi="Arial"/>
                <w:b/>
                <w:bCs/>
                <w:i w:val="false"/>
                <w:iCs w:val="false"/>
                <w:color w:val="0070C0"/>
                <w:sz w:val="18"/>
                <w:szCs w:val="18"/>
              </w:rPr>
              <w:t xml:space="preserve">as they arise</w:t>
            </w:r>
            <w:r>
              <w:rPr>
                <w:rFonts w:ascii="Arial" w:cs="Arial" w:eastAsia="Arial" w:hAnsi="Arial"/>
                <w:b w:val="false"/>
                <w:bCs w:val="false"/>
                <w:i w:val="false"/>
                <w:iCs w:val="false"/>
                <w:color w:val="0070C0"/>
                <w:sz w:val="18"/>
                <w:szCs w:val="18"/>
              </w:rPr>
              <w:t xml:space="preserve">, creating volatility in taxable income that does not track accounting profit.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19 — Document 4: ownership, the Employee &amp; Empowerment Trust, and a new investor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s8C — equity instruments acquired by virtue of employment.</w:t>
            </w:r>
            <w:r>
              <w:rPr>
                <w:rFonts w:ascii="Arial" w:cs="Arial" w:eastAsia="Arial" w:hAnsi="Arial"/>
                <w:b w:val="false"/>
                <w:bCs w:val="false"/>
                <w:i w:val="false"/>
                <w:iCs w:val="false"/>
                <w:color w:val="000000"/>
                <w:sz w:val="18"/>
                <w:szCs w:val="18"/>
              </w:rPr>
              <w:t xml:space="preserve"> A gain on the </w:t>
            </w:r>
            <w:r>
              <w:rPr>
                <w:rFonts w:ascii="Arial" w:cs="Arial" w:eastAsia="Arial" w:hAnsi="Arial"/>
                <w:b/>
                <w:bCs/>
                <w:i w:val="false"/>
                <w:iCs w:val="false"/>
                <w:color w:val="000000"/>
                <w:sz w:val="18"/>
                <w:szCs w:val="18"/>
              </w:rPr>
              <w:t xml:space="preserve">vesting</w:t>
            </w:r>
            <w:r>
              <w:rPr>
                <w:rFonts w:ascii="Arial" w:cs="Arial" w:eastAsia="Arial" w:hAnsi="Arial"/>
                <w:b w:val="false"/>
                <w:bCs w:val="false"/>
                <w:i w:val="false"/>
                <w:iCs w:val="false"/>
                <w:color w:val="000000"/>
                <w:sz w:val="18"/>
                <w:szCs w:val="18"/>
              </w:rPr>
              <w:t xml:space="preserve"> of a restricted equity instrument acquired by reason of employment is included in the employee’s </w:t>
            </w:r>
            <w:r>
              <w:rPr>
                <w:rFonts w:ascii="Arial" w:cs="Arial" w:eastAsia="Arial" w:hAnsi="Arial"/>
                <w:b/>
                <w:bCs/>
                <w:i w:val="false"/>
                <w:iCs w:val="false"/>
                <w:color w:val="000000"/>
                <w:sz w:val="18"/>
                <w:szCs w:val="18"/>
              </w:rPr>
              <w:t xml:space="preserve">income</w:t>
            </w:r>
            <w:r>
              <w:rPr>
                <w:rFonts w:ascii="Arial" w:cs="Arial" w:eastAsia="Arial" w:hAnsi="Arial"/>
                <w:b w:val="false"/>
                <w:bCs w:val="false"/>
                <w:i w:val="false"/>
                <w:iCs w:val="false"/>
                <w:color w:val="000000"/>
                <w:sz w:val="18"/>
                <w:szCs w:val="18"/>
              </w:rPr>
              <w:t xml:space="preserve"> — taxed at marginal rates, not as a capital gain. Vesting occurs when the restrictions lift.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Dividends on a </w:t>
            </w:r>
            <w:r>
              <w:rPr>
                <w:rFonts w:ascii="Arial" w:cs="Arial" w:eastAsia="Arial" w:hAnsi="Arial"/>
                <w:b/>
                <w:bCs/>
                <w:i w:val="false"/>
                <w:iCs w:val="false"/>
                <w:color w:val="000000"/>
                <w:sz w:val="18"/>
                <w:szCs w:val="18"/>
              </w:rPr>
              <w:t xml:space="preserve">restricted</w:t>
            </w:r>
            <w:r>
              <w:rPr>
                <w:rFonts w:ascii="Arial" w:cs="Arial" w:eastAsia="Arial" w:hAnsi="Arial"/>
                <w:b w:val="false"/>
                <w:bCs w:val="false"/>
                <w:i w:val="false"/>
                <w:iCs w:val="false"/>
                <w:color w:val="000000"/>
                <w:sz w:val="18"/>
                <w:szCs w:val="18"/>
              </w:rPr>
              <w:t xml:space="preserve"> equity instrument may be taxed as </w:t>
            </w:r>
            <w:r>
              <w:rPr>
                <w:rFonts w:ascii="Arial" w:cs="Arial" w:eastAsia="Arial" w:hAnsi="Arial"/>
                <w:b/>
                <w:bCs/>
                <w:i w:val="false"/>
                <w:iCs w:val="false"/>
                <w:color w:val="000000"/>
                <w:sz w:val="18"/>
                <w:szCs w:val="18"/>
              </w:rPr>
              <w:t xml:space="preserve">income</w:t>
            </w:r>
            <w:r>
              <w:rPr>
                <w:rFonts w:ascii="Arial" w:cs="Arial" w:eastAsia="Arial" w:hAnsi="Arial"/>
                <w:b w:val="false"/>
                <w:bCs w:val="false"/>
                <w:i w:val="false"/>
                <w:iCs w:val="false"/>
                <w:color w:val="000000"/>
                <w:sz w:val="18"/>
                <w:szCs w:val="18"/>
              </w:rPr>
              <w:t xml:space="preserve"> rather than qualifying for the s10(1)(k)(i) exemption, under the provisos to that section.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s11(lA)</w:t>
            </w:r>
            <w:r>
              <w:rPr>
                <w:rFonts w:ascii="Arial" w:cs="Arial" w:eastAsia="Arial" w:hAnsi="Arial"/>
                <w:b w:val="false"/>
                <w:bCs w:val="false"/>
                <w:i w:val="false"/>
                <w:iCs w:val="false"/>
                <w:color w:val="000000"/>
                <w:sz w:val="18"/>
                <w:szCs w:val="18"/>
              </w:rPr>
              <w:t xml:space="preserve"> allows the employer a deduction for shares provided to employees under a broad-based or qualifying scheme.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s25B / the conduit principle.</w:t>
            </w:r>
            <w:r>
              <w:rPr>
                <w:rFonts w:ascii="Arial" w:cs="Arial" w:eastAsia="Arial" w:hAnsi="Arial"/>
                <w:b w:val="false"/>
                <w:bCs w:val="false"/>
                <w:i w:val="false"/>
                <w:iCs w:val="false"/>
                <w:color w:val="000000"/>
                <w:sz w:val="18"/>
                <w:szCs w:val="18"/>
              </w:rPr>
              <w:t xml:space="preserve"> Amounts vested in a trust beneficiary are taxed in the beneficiary’s hands; amounts retained are taxed in the trust.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s64F(1)(a)</w:t>
            </w:r>
            <w:r>
              <w:rPr>
                <w:rFonts w:ascii="Arial" w:cs="Arial" w:eastAsia="Arial" w:hAnsi="Arial"/>
                <w:b w:val="false"/>
                <w:bCs w:val="false"/>
                <w:i w:val="false"/>
                <w:iCs w:val="false"/>
                <w:color w:val="000000"/>
                <w:sz w:val="18"/>
                <w:szCs w:val="18"/>
              </w:rPr>
              <w:t xml:space="preserve"> exempts dividends tax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declaration and undertaking.</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s103(2)</w:t>
            </w:r>
            <w:r>
              <w:rPr>
                <w:rFonts w:ascii="Arial" w:cs="Arial" w:eastAsia="Arial" w:hAnsi="Arial"/>
                <w:b w:val="false"/>
                <w:bCs w:val="false"/>
                <w:i w:val="false"/>
                <w:iCs w:val="false"/>
                <w:color w:val="000000"/>
                <w:sz w:val="18"/>
                <w:szCs w:val="18"/>
              </w:rPr>
              <w:t xml:space="preserve"> permits SARS to disallow the set-off of an assessed loss where a </w:t>
            </w:r>
            <w:r>
              <w:rPr>
                <w:rFonts w:ascii="Arial" w:cs="Arial" w:eastAsia="Arial" w:hAnsi="Arial"/>
                <w:b/>
                <w:bCs/>
                <w:i w:val="false"/>
                <w:iCs w:val="false"/>
                <w:color w:val="000000"/>
                <w:sz w:val="18"/>
                <w:szCs w:val="18"/>
              </w:rPr>
              <w:t xml:space="preserve">change of shareholding</w:t>
            </w:r>
            <w:r>
              <w:rPr>
                <w:rFonts w:ascii="Arial" w:cs="Arial" w:eastAsia="Arial" w:hAnsi="Arial"/>
                <w:b w:val="false"/>
                <w:bCs w:val="false"/>
                <w:i w:val="false"/>
                <w:iCs w:val="false"/>
                <w:color w:val="000000"/>
                <w:sz w:val="18"/>
                <w:szCs w:val="18"/>
              </w:rPr>
              <w:t xml:space="preserve"> was effected solely or mainly to utilise that loss.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s8C, s11(lA), s25B and s103(2)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Axion Employee &amp; Empowerment Trust (10%) is the tax trigger in this document.</w:t>
            </w:r>
            <w:r>
              <w:rPr>
                <w:rFonts w:ascii="Arial" w:cs="Arial" w:eastAsia="Arial" w:hAnsi="Arial"/>
                <w:b w:val="false"/>
                <w:bCs w:val="false"/>
                <w:i w:val="false"/>
                <w:iCs w:val="false"/>
                <w:color w:val="0070C0"/>
                <w:sz w:val="18"/>
                <w:szCs w:val="18"/>
              </w:rPr>
              <w:t xml:space="preserve"> [WAITING FOR INPUT]: the scheme rules — are the shares restricted, when do they vest, who are the beneficiaries, and is the trust vesting or discretionary?</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the shares were acquired </w:t>
            </w:r>
            <w:r>
              <w:rPr>
                <w:rFonts w:ascii="Arial" w:cs="Arial" w:eastAsia="Arial" w:hAnsi="Arial"/>
                <w:b/>
                <w:bCs/>
                <w:i w:val="false"/>
                <w:iCs w:val="false"/>
                <w:color w:val="0070C0"/>
                <w:sz w:val="18"/>
                <w:szCs w:val="18"/>
              </w:rPr>
              <w:t xml:space="preserve">by virtue of employment</w:t>
            </w:r>
            <w:r>
              <w:rPr>
                <w:rFonts w:ascii="Arial" w:cs="Arial" w:eastAsia="Arial" w:hAnsi="Arial"/>
                <w:b w:val="false"/>
                <w:bCs w:val="false"/>
                <w:i w:val="false"/>
                <w:iCs w:val="false"/>
                <w:color w:val="0070C0"/>
                <w:sz w:val="18"/>
                <w:szCs w:val="18"/>
              </w:rPr>
              <w:t xml:space="preserve"> and are restricted, </w:t>
            </w:r>
            <w:r>
              <w:rPr>
                <w:rFonts w:ascii="Arial" w:cs="Arial" w:eastAsia="Arial" w:hAnsi="Arial"/>
                <w:b/>
                <w:bCs/>
                <w:i w:val="false"/>
                <w:iCs w:val="false"/>
                <w:color w:val="0070C0"/>
                <w:sz w:val="18"/>
                <w:szCs w:val="18"/>
              </w:rPr>
              <w:t xml:space="preserve">s8C applies on vesting</w:t>
            </w:r>
            <w:r>
              <w:rPr>
                <w:rFonts w:ascii="Arial" w:cs="Arial" w:eastAsia="Arial" w:hAnsi="Arial"/>
                <w:b w:val="false"/>
                <w:bCs w:val="false"/>
                <w:i w:val="false"/>
                <w:iCs w:val="false"/>
                <w:color w:val="0070C0"/>
                <w:sz w:val="18"/>
                <w:szCs w:val="18"/>
              </w:rPr>
              <w:t xml:space="preserve">: the gain is taxed as </w:t>
            </w:r>
            <w:r>
              <w:rPr>
                <w:rFonts w:ascii="Arial" w:cs="Arial" w:eastAsia="Arial" w:hAnsi="Arial"/>
                <w:b/>
                <w:bCs/>
                <w:i w:val="false"/>
                <w:iCs w:val="false"/>
                <w:color w:val="0070C0"/>
                <w:sz w:val="18"/>
                <w:szCs w:val="18"/>
              </w:rPr>
              <w:t xml:space="preserve">income in the employees’ hands</w:t>
            </w:r>
            <w:r>
              <w:rPr>
                <w:rFonts w:ascii="Arial" w:cs="Arial" w:eastAsia="Arial" w:hAnsi="Arial"/>
                <w:b w:val="false"/>
                <w:bCs w:val="false"/>
                <w:i w:val="false"/>
                <w:iCs w:val="false"/>
                <w:color w:val="0070C0"/>
                <w:sz w:val="18"/>
                <w:szCs w:val="18"/>
              </w:rPr>
              <w:t xml:space="preserve">, and Axion carries </w:t>
            </w:r>
            <w:r>
              <w:rPr>
                <w:rFonts w:ascii="Arial" w:cs="Arial" w:eastAsia="Arial" w:hAnsi="Arial"/>
                <w:b/>
                <w:bCs/>
                <w:i w:val="false"/>
                <w:iCs w:val="false"/>
                <w:color w:val="0070C0"/>
                <w:sz w:val="18"/>
                <w:szCs w:val="18"/>
              </w:rPr>
              <w:t xml:space="preserve">PAYE withholding and IRP5 obligations</w:t>
            </w:r>
            <w:r>
              <w:rPr>
                <w:rFonts w:ascii="Arial" w:cs="Arial" w:eastAsia="Arial" w:hAnsi="Arial"/>
                <w:b w:val="false"/>
                <w:bCs w:val="false"/>
                <w:i w:val="false"/>
                <w:iCs w:val="false"/>
                <w:color w:val="0070C0"/>
                <w:sz w:val="18"/>
                <w:szCs w:val="18"/>
              </w:rPr>
              <w:t xml:space="preserve"> at that point. This is a payroll and cash-flow event for Axion, not just a shareholder matter.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the trust holds shares with a base value of R80m that vest at a market value of R200m. The R120m gain is included in the participating employees’ income under s8C — at a 45% marginal rate that is </w:t>
            </w:r>
            <w:r>
              <w:rPr>
                <w:rFonts w:ascii="Arial" w:cs="Arial" w:eastAsia="Arial" w:hAnsi="Arial"/>
                <w:b/>
                <w:bCs/>
                <w:i w:val="false"/>
                <w:iCs w:val="false"/>
                <w:color w:val="0070C0"/>
                <w:sz w:val="18"/>
                <w:szCs w:val="18"/>
              </w:rPr>
              <w:t xml:space="preserve">R54m of employees’ tax</w:t>
            </w:r>
            <w:r>
              <w:rPr>
                <w:rFonts w:ascii="Arial" w:cs="Arial" w:eastAsia="Arial" w:hAnsi="Arial"/>
                <w:b w:val="false"/>
                <w:bCs w:val="false"/>
                <w:i w:val="false"/>
                <w:iCs w:val="false"/>
                <w:color w:val="0070C0"/>
                <w:sz w:val="18"/>
                <w:szCs w:val="18"/>
              </w:rPr>
              <w:t xml:space="preserve">, which Axion must withhold and pay over. A growth story that increases the value of Axion also increases this liability.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Dividends tax on the current register</w:t>
            </w:r>
            <w:r>
              <w:rPr>
                <w:rFonts w:ascii="Arial" w:cs="Arial" w:eastAsia="Arial" w:hAnsi="Arial"/>
                <w:b w:val="false"/>
                <w:bCs w:val="false"/>
                <w:i w:val="false"/>
                <w:iCs w:val="false"/>
                <w:color w:val="0070C0"/>
                <w:sz w:val="18"/>
                <w:szCs w:val="18"/>
              </w:rPr>
              <w:t xml:space="preserve"> — the outcome differs by shareholder: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Ubuntu Infrastructure (Pty) Ltd, 35%</w:t>
            </w:r>
            <w:r>
              <w:rPr>
                <w:rFonts w:ascii="Arial" w:cs="Arial" w:eastAsia="Arial" w:hAnsi="Arial"/>
                <w:b w:val="false"/>
                <w:bCs w:val="false"/>
                <w:i w:val="false"/>
                <w:iCs w:val="false"/>
                <w:color w:val="0070C0"/>
                <w:sz w:val="18"/>
                <w:szCs w:val="18"/>
              </w:rPr>
              <w:t xml:space="preserve"> → SA resident company →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under s64F, with the declaration and undertaking.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Kabelo Moleke 18% and David Low 7%</w:t>
            </w:r>
            <w:r>
              <w:rPr>
                <w:rFonts w:ascii="Arial" w:cs="Arial" w:eastAsia="Arial" w:hAnsi="Arial"/>
                <w:b w:val="false"/>
                <w:bCs w:val="false"/>
                <w:i w:val="false"/>
                <w:iCs w:val="false"/>
                <w:color w:val="0070C0"/>
                <w:sz w:val="18"/>
                <w:szCs w:val="18"/>
              </w:rPr>
              <w:t xml:space="preserve"> → individuals → </w:t>
            </w:r>
            <w:r>
              <w:rPr>
                <w:rFonts w:ascii="Arial" w:cs="Arial" w:eastAsia="Arial" w:hAnsi="Arial"/>
                <w:b/>
                <w:bCs/>
                <w:i w:val="false"/>
                <w:iCs w:val="false"/>
                <w:color w:val="0070C0"/>
                <w:sz w:val="18"/>
                <w:szCs w:val="18"/>
              </w:rPr>
              <w:t xml:space="preserve">20% dividends tax withheld</w:t>
            </w:r>
            <w:r>
              <w:rPr>
                <w:rFonts w:ascii="Arial" w:cs="Arial" w:eastAsia="Arial" w:hAnsi="Arial"/>
                <w:b w:val="false"/>
                <w:bCs w:val="false"/>
                <w:i w:val="false"/>
                <w:iCs w:val="false"/>
                <w:color w:val="0070C0"/>
                <w:sz w:val="18"/>
                <w:szCs w:val="18"/>
              </w:rPr>
              <w:t xml:space="preserve">. On a R100m distribution that is R5m and R1.4m respectively.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Horizon Digital Infrastructure Fund, 30%</w:t>
            </w:r>
            <w:r>
              <w:rPr>
                <w:rFonts w:ascii="Arial" w:cs="Arial" w:eastAsia="Arial" w:hAnsi="Arial"/>
                <w:b w:val="false"/>
                <w:bCs w:val="false"/>
                <w:i w:val="false"/>
                <w:iCs w:val="false"/>
                <w:color w:val="0070C0"/>
                <w:sz w:val="18"/>
                <w:szCs w:val="18"/>
              </w:rPr>
              <w:t xml:space="preserve"> → [WAITING FOR INPUT]: its legal form and tax residence. A non-resident may claim treaty relief; a partnership or CIS flows through to its investors. Do not assume it is exempt.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Employee &amp; Empowerment Trust, 10%</w:t>
            </w:r>
            <w:r>
              <w:rPr>
                <w:rFonts w:ascii="Arial" w:cs="Arial" w:eastAsia="Arial" w:hAnsi="Arial"/>
                <w:b w:val="false"/>
                <w:bCs w:val="false"/>
                <w:i w:val="false"/>
                <w:iCs w:val="false"/>
                <w:color w:val="0070C0"/>
                <w:sz w:val="18"/>
                <w:szCs w:val="18"/>
              </w:rPr>
              <w:t xml:space="preserve"> → the treatment depends on the trust deed and the s8C status of the shares. Dividends on restricted equity instruments may be taxed as income rather than exempt.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If a new strategic investor acquires an interest</w:t>
            </w:r>
            <w:r>
              <w:rPr>
                <w:rFonts w:ascii="Arial" w:cs="Arial" w:eastAsia="Arial" w:hAnsi="Arial"/>
                <w:b w:val="false"/>
                <w:bCs w:val="false"/>
                <w:i w:val="false"/>
                <w:iCs w:val="false"/>
                <w:color w:val="0070C0"/>
                <w:sz w:val="18"/>
                <w:szCs w:val="18"/>
              </w:rPr>
              <w:t xml:space="preserve"> (Document 3): the share issue proceeds are </w:t>
            </w:r>
            <w:r>
              <w:rPr>
                <w:rFonts w:ascii="Arial" w:cs="Arial" w:eastAsia="Arial" w:hAnsi="Arial"/>
                <w:b/>
                <w:bCs/>
                <w:i w:val="false"/>
                <w:iCs w:val="false"/>
                <w:color w:val="0070C0"/>
                <w:sz w:val="18"/>
                <w:szCs w:val="18"/>
              </w:rPr>
              <w:t xml:space="preserve">capital, not gross income</w:t>
            </w:r>
            <w:r>
              <w:rPr>
                <w:rFonts w:ascii="Arial" w:cs="Arial" w:eastAsia="Arial" w:hAnsi="Arial"/>
                <w:b w:val="false"/>
                <w:bCs w:val="false"/>
                <w:i w:val="false"/>
                <w:iCs w:val="false"/>
                <w:color w:val="0070C0"/>
                <w:sz w:val="18"/>
                <w:szCs w:val="18"/>
              </w:rPr>
              <w:t xml:space="preserve">, and the issue costs are </w:t>
            </w:r>
            <w:r>
              <w:rPr>
                <w:rFonts w:ascii="Arial" w:cs="Arial" w:eastAsia="Arial" w:hAnsi="Arial"/>
                <w:b/>
                <w:bCs/>
                <w:i w:val="false"/>
                <w:iCs w:val="false"/>
                <w:color w:val="0070C0"/>
                <w:sz w:val="18"/>
                <w:szCs w:val="18"/>
              </w:rPr>
              <w:t xml:space="preserve">not deductible</w:t>
            </w:r>
            <w:r>
              <w:rPr>
                <w:rFonts w:ascii="Arial" w:cs="Arial" w:eastAsia="Arial" w:hAnsi="Arial"/>
                <w:b w:val="false"/>
                <w:bCs w:val="false"/>
                <w:i w:val="false"/>
                <w:iCs w:val="false"/>
                <w:color w:val="0070C0"/>
                <w:sz w:val="18"/>
                <w:szCs w:val="18"/>
              </w:rPr>
              <w:t xml:space="preserve">. Where the investor takes control of an entity carrying an assessed loss — most likely a project SPV under Route C — </w:t>
            </w:r>
            <w:r>
              <w:rPr>
                <w:rFonts w:ascii="Arial" w:cs="Arial" w:eastAsia="Arial" w:hAnsi="Arial"/>
                <w:b/>
                <w:bCs/>
                <w:i w:val="false"/>
                <w:iCs w:val="false"/>
                <w:color w:val="0070C0"/>
                <w:sz w:val="18"/>
                <w:szCs w:val="18"/>
              </w:rPr>
              <w:t xml:space="preserve">s103(2)</w:t>
            </w:r>
            <w:r>
              <w:rPr>
                <w:rFonts w:ascii="Arial" w:cs="Arial" w:eastAsia="Arial" w:hAnsi="Arial"/>
                <w:b w:val="false"/>
                <w:bCs w:val="false"/>
                <w:i w:val="false"/>
                <w:iCs w:val="false"/>
                <w:color w:val="0070C0"/>
                <w:sz w:val="18"/>
                <w:szCs w:val="18"/>
              </w:rPr>
              <w:t xml:space="preserve"> becomes relevant, and commercial substance for the transaction must be documented.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20 — Document 5: Metroloop, the undeveloped land, and the revenue streams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Gross income (s1).</w:t>
            </w:r>
            <w:r>
              <w:rPr>
                <w:rFonts w:ascii="Arial" w:cs="Arial" w:eastAsia="Arial" w:hAnsi="Arial"/>
                <w:b w:val="false"/>
                <w:bCs w:val="false"/>
                <w:i w:val="false"/>
                <w:iCs w:val="false"/>
                <w:color w:val="000000"/>
                <w:sz w:val="18"/>
                <w:szCs w:val="18"/>
              </w:rPr>
              <w:t xml:space="preserve"> Amounts </w:t>
            </w:r>
            <w:r>
              <w:rPr>
                <w:rFonts w:ascii="Arial" w:cs="Arial" w:eastAsia="Arial" w:hAnsi="Arial"/>
                <w:b/>
                <w:bCs/>
                <w:i w:val="false"/>
                <w:iCs w:val="false"/>
                <w:color w:val="000000"/>
                <w:sz w:val="18"/>
                <w:szCs w:val="18"/>
              </w:rPr>
              <w:t xml:space="preserve">received by or accrued to</w:t>
            </w:r>
            <w:r>
              <w:rPr>
                <w:rFonts w:ascii="Arial" w:cs="Arial" w:eastAsia="Arial" w:hAnsi="Arial"/>
                <w:b w:val="false"/>
                <w:bCs w:val="false"/>
                <w:i w:val="false"/>
                <w:iCs w:val="false"/>
                <w:color w:val="000000"/>
                <w:sz w:val="18"/>
                <w:szCs w:val="18"/>
              </w:rPr>
              <w:t xml:space="preserve"> a resident, other than of a capital nature. Accrual arises when the taxpayer becomes </w:t>
            </w:r>
            <w:r>
              <w:rPr>
                <w:rFonts w:ascii="Arial" w:cs="Arial" w:eastAsia="Arial" w:hAnsi="Arial"/>
                <w:b/>
                <w:bCs/>
                <w:i w:val="false"/>
                <w:iCs w:val="false"/>
                <w:color w:val="000000"/>
                <w:sz w:val="18"/>
                <w:szCs w:val="18"/>
              </w:rPr>
              <w:t xml:space="preserve">unconditionally entitled</w:t>
            </w:r>
            <w:r>
              <w:rPr>
                <w:rFonts w:ascii="Arial" w:cs="Arial" w:eastAsia="Arial" w:hAnsi="Arial"/>
                <w:b w:val="false"/>
                <w:bCs w:val="false"/>
                <w:i w:val="false"/>
                <w:iCs w:val="false"/>
                <w:color w:val="000000"/>
                <w:sz w:val="18"/>
                <w:szCs w:val="18"/>
              </w:rPr>
              <w:t xml:space="preserve"> to the amount.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s10(1)(k)(i)</w:t>
            </w:r>
            <w:r>
              <w:rPr>
                <w:rFonts w:ascii="Arial" w:cs="Arial" w:eastAsia="Arial" w:hAnsi="Arial"/>
                <w:b w:val="false"/>
                <w:bCs w:val="false"/>
                <w:i w:val="false"/>
                <w:iCs w:val="false"/>
                <w:color w:val="000000"/>
                <w:sz w:val="18"/>
                <w:szCs w:val="18"/>
              </w:rPr>
              <w:t xml:space="preserve"> exempts dividends received from a South African resident company.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s24C</w:t>
            </w:r>
            <w:r>
              <w:rPr>
                <w:rFonts w:ascii="Arial" w:cs="Arial" w:eastAsia="Arial" w:hAnsi="Arial"/>
                <w:b w:val="false"/>
                <w:bCs w:val="false"/>
                <w:i w:val="false"/>
                <w:iCs w:val="false"/>
                <w:color w:val="000000"/>
                <w:sz w:val="18"/>
                <w:szCs w:val="18"/>
              </w:rPr>
              <w:t xml:space="preserve"> allows a deduction for </w:t>
            </w:r>
            <w:r>
              <w:rPr>
                <w:rFonts w:ascii="Arial" w:cs="Arial" w:eastAsia="Arial" w:hAnsi="Arial"/>
                <w:b/>
                <w:bCs/>
                <w:i w:val="false"/>
                <w:iCs w:val="false"/>
                <w:color w:val="000000"/>
                <w:sz w:val="18"/>
                <w:szCs w:val="18"/>
              </w:rPr>
              <w:t xml:space="preserve">future expenditure</w:t>
            </w:r>
            <w:r>
              <w:rPr>
                <w:rFonts w:ascii="Arial" w:cs="Arial" w:eastAsia="Arial" w:hAnsi="Arial"/>
                <w:b w:val="false"/>
                <w:bCs w:val="false"/>
                <w:i w:val="false"/>
                <w:iCs w:val="false"/>
                <w:color w:val="000000"/>
                <w:sz w:val="18"/>
                <w:szCs w:val="18"/>
              </w:rPr>
              <w:t xml:space="preserve"> to be incurred under a contract, where the income under that contract has already been </w:t>
            </w:r>
            <w:r>
              <w:rPr>
                <w:rFonts w:ascii="Arial" w:cs="Arial" w:eastAsia="Arial" w:hAnsi="Arial"/>
                <w:b/>
                <w:bCs/>
                <w:i w:val="false"/>
                <w:iCs w:val="false"/>
                <w:color w:val="000000"/>
                <w:sz w:val="18"/>
                <w:szCs w:val="18"/>
              </w:rPr>
              <w:t xml:space="preserve">received</w:t>
            </w:r>
            <w:r>
              <w:rPr>
                <w:rFonts w:ascii="Arial" w:cs="Arial" w:eastAsia="Arial" w:hAnsi="Arial"/>
                <w:b w:val="false"/>
                <w:bCs w:val="false"/>
                <w:i w:val="false"/>
                <w:iCs w:val="false"/>
                <w:color w:val="000000"/>
                <w:sz w:val="18"/>
                <w:szCs w:val="18"/>
              </w:rPr>
              <w:t xml:space="preserve"> and the expenditure will be financed from it. The allowance is reversed in the following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s22(3)(a)(ii)</w:t>
            </w:r>
            <w:r>
              <w:rPr>
                <w:rFonts w:ascii="Arial" w:cs="Arial" w:eastAsia="Arial" w:hAnsi="Arial"/>
                <w:b w:val="false"/>
                <w:bCs w:val="false"/>
                <w:i w:val="false"/>
                <w:iCs w:val="false"/>
                <w:color w:val="000000"/>
                <w:sz w:val="18"/>
                <w:szCs w:val="18"/>
              </w:rPr>
              <w:t xml:space="preserve"> — where a capital asset is </w:t>
            </w:r>
            <w:r>
              <w:rPr>
                <w:rFonts w:ascii="Arial" w:cs="Arial" w:eastAsia="Arial" w:hAnsi="Arial"/>
                <w:b/>
                <w:bCs/>
                <w:i w:val="false"/>
                <w:iCs w:val="false"/>
                <w:color w:val="000000"/>
                <w:sz w:val="18"/>
                <w:szCs w:val="18"/>
              </w:rPr>
              <w:t xml:space="preserve">applied as trading stock</w:t>
            </w:r>
            <w:r>
              <w:rPr>
                <w:rFonts w:ascii="Arial" w:cs="Arial" w:eastAsia="Arial" w:hAnsi="Arial"/>
                <w:b w:val="false"/>
                <w:bCs w:val="false"/>
                <w:i w:val="false"/>
                <w:iCs w:val="false"/>
                <w:color w:val="000000"/>
                <w:sz w:val="18"/>
                <w:szCs w:val="18"/>
              </w:rPr>
              <w:t xml:space="preserve">, it is brought into trading stock at </w:t>
            </w:r>
            <w:r>
              <w:rPr>
                <w:rFonts w:ascii="Arial" w:cs="Arial" w:eastAsia="Arial" w:hAnsi="Arial"/>
                <w:b/>
                <w:bCs/>
                <w:i w:val="false"/>
                <w:iCs w:val="false"/>
                <w:color w:val="000000"/>
                <w:sz w:val="18"/>
                <w:szCs w:val="18"/>
              </w:rPr>
              <w:t xml:space="preserve">market value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Paragraph 12(2)(c), Eighth Schedule</w:t>
            </w:r>
            <w:r>
              <w:rPr>
                <w:rFonts w:ascii="Arial" w:cs="Arial" w:eastAsia="Arial" w:hAnsi="Arial"/>
                <w:b w:val="false"/>
                <w:bCs w:val="false"/>
                <w:i w:val="false"/>
                <w:iCs w:val="false"/>
                <w:color w:val="000000"/>
                <w:sz w:val="18"/>
                <w:szCs w:val="18"/>
              </w:rPr>
              <w:t xml:space="preserve"> — a change of intention from capital asset to trading stock is a </w:t>
            </w:r>
            <w:r>
              <w:rPr>
                <w:rFonts w:ascii="Arial" w:cs="Arial" w:eastAsia="Arial" w:hAnsi="Arial"/>
                <w:b/>
                <w:bCs/>
                <w:i w:val="false"/>
                <w:iCs w:val="false"/>
                <w:color w:val="000000"/>
                <w:sz w:val="18"/>
                <w:szCs w:val="18"/>
              </w:rPr>
              <w:t xml:space="preserve">deemed disposal at market value</w:t>
            </w:r>
            <w:r>
              <w:rPr>
                <w:rFonts w:ascii="Arial" w:cs="Arial" w:eastAsia="Arial" w:hAnsi="Arial"/>
                <w:b w:val="false"/>
                <w:bCs w:val="false"/>
                <w:i w:val="false"/>
                <w:iCs w:val="false"/>
                <w:color w:val="000000"/>
                <w:sz w:val="18"/>
                <w:szCs w:val="18"/>
              </w:rPr>
              <w:t xml:space="preserve">, crystallising a capital gain to that date. Gains after that date are </w:t>
            </w:r>
            <w:r>
              <w:rPr>
                <w:rFonts w:ascii="Arial" w:cs="Arial" w:eastAsia="Arial" w:hAnsi="Arial"/>
                <w:b/>
                <w:bCs/>
                <w:i w:val="false"/>
                <w:iCs w:val="false"/>
                <w:color w:val="000000"/>
                <w:sz w:val="18"/>
                <w:szCs w:val="18"/>
              </w:rPr>
              <w:t xml:space="preserve">revenue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read with s23(g)</w:t>
            </w:r>
            <w:r>
              <w:rPr>
                <w:rFonts w:ascii="Arial" w:cs="Arial" w:eastAsia="Arial" w:hAnsi="Arial"/>
                <w:b w:val="false"/>
                <w:bCs w:val="false"/>
                <w:i w:val="false"/>
                <w:iCs w:val="false"/>
                <w:color w:val="000000"/>
                <w:sz w:val="18"/>
                <w:szCs w:val="18"/>
              </w:rPr>
              <w:t xml:space="preserve"> — no deduction for expenditure not incurred in the production of income or not laid out for trade purposes.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Equity-accounted earnings are not gross income</w:t>
            </w:r>
            <w:r>
              <w:rPr>
                <w:rFonts w:ascii="Arial" w:cs="Arial" w:eastAsia="Arial" w:hAnsi="Arial"/>
                <w:b w:val="false"/>
                <w:bCs w:val="false"/>
                <w:i w:val="false"/>
                <w:iCs w:val="false"/>
                <w:color w:val="000000"/>
                <w:sz w:val="18"/>
                <w:szCs w:val="18"/>
              </w:rPr>
              <w:t xml:space="preserve"> — only dividends actually received or accrued are.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s24C, s22(3) and paragraph 12(2)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Metroloop (Pty) Ltd — 40%, equity accounted.</w:t>
            </w:r>
            <w:r>
              <w:rPr>
                <w:rFonts w:ascii="Arial" w:cs="Arial" w:eastAsia="Arial" w:hAnsi="Arial"/>
                <w:b w:val="false"/>
                <w:bCs w:val="false"/>
                <w:i w:val="false"/>
                <w:iCs w:val="false"/>
                <w:color w:val="0070C0"/>
                <w:sz w:val="18"/>
                <w:szCs w:val="18"/>
              </w:rPr>
              <w:t xml:space="preserve"> The share of profit recognised in Axion’s accounts is </w:t>
            </w:r>
            <w:r>
              <w:rPr>
                <w:rFonts w:ascii="Arial" w:cs="Arial" w:eastAsia="Arial" w:hAnsi="Arial"/>
                <w:b/>
                <w:bCs/>
                <w:i w:val="false"/>
                <w:iCs w:val="false"/>
                <w:color w:val="0070C0"/>
                <w:sz w:val="18"/>
                <w:szCs w:val="18"/>
              </w:rPr>
              <w:t xml:space="preserve">not taxable</w:t>
            </w:r>
            <w:r>
              <w:rPr>
                <w:rFonts w:ascii="Arial" w:cs="Arial" w:eastAsia="Arial" w:hAnsi="Arial"/>
                <w:b w:val="false"/>
                <w:bCs w:val="false"/>
                <w:i w:val="false"/>
                <w:iCs w:val="false"/>
                <w:color w:val="0070C0"/>
                <w:sz w:val="18"/>
                <w:szCs w:val="18"/>
              </w:rPr>
              <w:t xml:space="preserve">; only </w:t>
            </w:r>
            <w:r>
              <w:rPr>
                <w:rFonts w:ascii="Arial" w:cs="Arial" w:eastAsia="Arial" w:hAnsi="Arial"/>
                <w:b/>
                <w:bCs/>
                <w:i w:val="false"/>
                <w:iCs w:val="false"/>
                <w:color w:val="0070C0"/>
                <w:sz w:val="18"/>
                <w:szCs w:val="18"/>
              </w:rPr>
              <w:t xml:space="preserve">dividends</w:t>
            </w:r>
            <w:r>
              <w:rPr>
                <w:rFonts w:ascii="Arial" w:cs="Arial" w:eastAsia="Arial" w:hAnsi="Arial"/>
                <w:b w:val="false"/>
                <w:bCs w:val="false"/>
                <w:i w:val="false"/>
                <w:iCs w:val="false"/>
                <w:color w:val="0070C0"/>
                <w:sz w:val="18"/>
                <w:szCs w:val="18"/>
              </w:rPr>
              <w:t xml:space="preserve"> from Metroloop are, and as a dividend from an SA resident company it is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under s10(1)(k)(i).</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 equity-accounted earnings are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and a reconciling item in the IAS 12 effective tax rate note — they raise accounting profit without raising the tax charge. On disposal of the 40% interest, </w:t>
            </w:r>
            <w:r>
              <w:rPr>
                <w:rFonts w:ascii="Arial" w:cs="Arial" w:eastAsia="Arial" w:hAnsi="Arial"/>
                <w:b/>
                <w:bCs/>
                <w:i w:val="false"/>
                <w:iCs w:val="false"/>
                <w:color w:val="0070C0"/>
                <w:sz w:val="18"/>
                <w:szCs w:val="18"/>
              </w:rPr>
              <w:t xml:space="preserve">CGT at 21.6%</w:t>
            </w:r>
            <w:r>
              <w:rPr>
                <w:rFonts w:ascii="Arial" w:cs="Arial" w:eastAsia="Arial" w:hAnsi="Arial"/>
                <w:b w:val="false"/>
                <w:bCs w:val="false"/>
                <w:i w:val="false"/>
                <w:iCs w:val="false"/>
                <w:color w:val="0070C0"/>
                <w:sz w:val="18"/>
                <w:szCs w:val="18"/>
              </w:rPr>
              <w:t xml:space="preserve"> applies on proceeds less base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undeveloped land is the sharpest point in this document</w:t>
            </w:r>
            <w:r>
              <w:rPr>
                <w:rFonts w:ascii="Arial" w:cs="Arial" w:eastAsia="Arial" w:hAnsi="Arial"/>
                <w:b w:val="false"/>
                <w:bCs w:val="false"/>
                <w:i w:val="false"/>
                <w:iCs w:val="false"/>
                <w:color w:val="0070C0"/>
                <w:sz w:val="18"/>
                <w:szCs w:val="18"/>
              </w:rPr>
              <w:t xml:space="preserve">, and the CFO has already flagged its accounting implications. The tax answer turns entirely on </w:t>
            </w:r>
            <w:r>
              <w:rPr>
                <w:rFonts w:ascii="Arial" w:cs="Arial" w:eastAsia="Arial" w:hAnsi="Arial"/>
                <w:b/>
                <w:bCs/>
                <w:i w:val="false"/>
                <w:iCs w:val="false"/>
                <w:color w:val="0070C0"/>
                <w:sz w:val="18"/>
                <w:szCs w:val="18"/>
              </w:rPr>
              <w:t xml:space="preserve">what management decides to do with it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Held for Axion’s own future data centre</w:t>
            </w:r>
            <w:r>
              <w:rPr>
                <w:rFonts w:ascii="Arial" w:cs="Arial" w:eastAsia="Arial" w:hAnsi="Arial"/>
                <w:b w:val="false"/>
                <w:bCs w:val="false"/>
                <w:i w:val="false"/>
                <w:iCs w:val="false"/>
                <w:color w:val="0070C0"/>
                <w:sz w:val="18"/>
                <w:szCs w:val="18"/>
              </w:rPr>
              <w:t xml:space="preserve"> → remains a </w:t>
            </w:r>
            <w:r>
              <w:rPr>
                <w:rFonts w:ascii="Arial" w:cs="Arial" w:eastAsia="Arial" w:hAnsi="Arial"/>
                <w:b/>
                <w:bCs/>
                <w:i w:val="false"/>
                <w:iCs w:val="false"/>
                <w:color w:val="0070C0"/>
                <w:sz w:val="18"/>
                <w:szCs w:val="18"/>
              </w:rPr>
              <w:t xml:space="preserve">capital asset</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No allowance on the land, ever.</w:t>
            </w:r>
            <w:r>
              <w:rPr>
                <w:rFonts w:ascii="Arial" w:cs="Arial" w:eastAsia="Arial" w:hAnsi="Arial"/>
                <w:b w:val="false"/>
                <w:bCs w:val="false"/>
                <w:i w:val="false"/>
                <w:iCs w:val="false"/>
                <w:color w:val="0070C0"/>
                <w:sz w:val="18"/>
                <w:szCs w:val="18"/>
              </w:rPr>
              <w:t xml:space="preserve"> Any building later erected on it attracts s13quin at 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Sold as it stands</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CGT at 21.6%</w:t>
            </w:r>
            <w:r>
              <w:rPr>
                <w:rFonts w:ascii="Arial" w:cs="Arial" w:eastAsia="Arial" w:hAnsi="Arial"/>
                <w:b w:val="false"/>
                <w:bCs w:val="false"/>
                <w:i w:val="false"/>
                <w:iCs w:val="false"/>
                <w:color w:val="0070C0"/>
                <w:sz w:val="18"/>
                <w:szCs w:val="18"/>
              </w:rPr>
              <w:t xml:space="preserve"> on proceeds less base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Developed for resale, or subdivided and sold</w:t>
            </w:r>
            <w:r>
              <w:rPr>
                <w:rFonts w:ascii="Arial" w:cs="Arial" w:eastAsia="Arial" w:hAnsi="Arial"/>
                <w:b w:val="false"/>
                <w:bCs w:val="false"/>
                <w:i w:val="false"/>
                <w:iCs w:val="false"/>
                <w:color w:val="0070C0"/>
                <w:sz w:val="18"/>
                <w:szCs w:val="18"/>
              </w:rPr>
              <w:t xml:space="preserve"> → a </w:t>
            </w:r>
            <w:r>
              <w:rPr>
                <w:rFonts w:ascii="Arial" w:cs="Arial" w:eastAsia="Arial" w:hAnsi="Arial"/>
                <w:b/>
                <w:bCs/>
                <w:i w:val="false"/>
                <w:iCs w:val="false"/>
                <w:color w:val="0070C0"/>
                <w:sz w:val="18"/>
                <w:szCs w:val="18"/>
              </w:rPr>
              <w:t xml:space="preserve">change of intention</w:t>
            </w:r>
            <w:r>
              <w:rPr>
                <w:rFonts w:ascii="Arial" w:cs="Arial" w:eastAsia="Arial" w:hAnsi="Arial"/>
                <w:b w:val="false"/>
                <w:bCs w:val="false"/>
                <w:i w:val="false"/>
                <w:iCs w:val="false"/>
                <w:color w:val="0070C0"/>
                <w:sz w:val="18"/>
                <w:szCs w:val="18"/>
              </w:rPr>
              <w:t xml:space="preserve">. Under paragraph 12(2)(c) there is a </w:t>
            </w:r>
            <w:r>
              <w:rPr>
                <w:rFonts w:ascii="Arial" w:cs="Arial" w:eastAsia="Arial" w:hAnsi="Arial"/>
                <w:b/>
                <w:bCs/>
                <w:i w:val="false"/>
                <w:iCs w:val="false"/>
                <w:color w:val="0070C0"/>
                <w:sz w:val="18"/>
                <w:szCs w:val="18"/>
              </w:rPr>
              <w:t xml:space="preserve">deemed disposal at market value</w:t>
            </w:r>
            <w:r>
              <w:rPr>
                <w:rFonts w:ascii="Arial" w:cs="Arial" w:eastAsia="Arial" w:hAnsi="Arial"/>
                <w:b w:val="false"/>
                <w:bCs w:val="false"/>
                <w:i w:val="false"/>
                <w:iCs w:val="false"/>
                <w:color w:val="0070C0"/>
                <w:sz w:val="18"/>
                <w:szCs w:val="18"/>
              </w:rPr>
              <w:t xml:space="preserve"> on the date intention changes, crystallising the capital gain to that date at 21.6%; the land comes into trading stock at that market value under s22(3)(a)(ii); and </w:t>
            </w:r>
            <w:r>
              <w:rPr>
                <w:rFonts w:ascii="Arial" w:cs="Arial" w:eastAsia="Arial" w:hAnsi="Arial"/>
                <w:b/>
                <w:bCs/>
                <w:i w:val="false"/>
                <w:iCs w:val="false"/>
                <w:color w:val="0070C0"/>
                <w:sz w:val="18"/>
                <w:szCs w:val="18"/>
              </w:rPr>
              <w:t xml:space="preserve">all subsequent profit is revenue, taxed at 27%.</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Land with a base cost of R40m and a market value of R110m on the date plans change. Deemed disposal → gain R70m × 80% × 27% = </w:t>
            </w:r>
            <w:r>
              <w:rPr>
                <w:rFonts w:ascii="Arial" w:cs="Arial" w:eastAsia="Arial" w:hAnsi="Arial"/>
                <w:b/>
                <w:bCs/>
                <w:i w:val="false"/>
                <w:iCs w:val="false"/>
                <w:color w:val="0070C0"/>
                <w:sz w:val="18"/>
                <w:szCs w:val="18"/>
              </w:rPr>
              <w:t xml:space="preserve">R15.12m</w:t>
            </w:r>
            <w:r>
              <w:rPr>
                <w:rFonts w:ascii="Arial" w:cs="Arial" w:eastAsia="Arial" w:hAnsi="Arial"/>
                <w:b w:val="false"/>
                <w:bCs w:val="false"/>
                <w:i w:val="false"/>
                <w:iCs w:val="false"/>
                <w:color w:val="0070C0"/>
                <w:sz w:val="18"/>
                <w:szCs w:val="18"/>
              </w:rPr>
              <w:t xml:space="preserve"> of CGT, payable although nothing has been sold. If it is later sold for R150m, the further R40m is </w:t>
            </w:r>
            <w:r>
              <w:rPr>
                <w:rFonts w:ascii="Arial" w:cs="Arial" w:eastAsia="Arial" w:hAnsi="Arial"/>
                <w:b/>
                <w:bCs/>
                <w:i w:val="false"/>
                <w:iCs w:val="false"/>
                <w:color w:val="0070C0"/>
                <w:sz w:val="18"/>
                <w:szCs w:val="18"/>
              </w:rPr>
              <w:t xml:space="preserve">revenue</w:t>
            </w:r>
            <w:r>
              <w:rPr>
                <w:rFonts w:ascii="Arial" w:cs="Arial" w:eastAsia="Arial" w:hAnsi="Arial"/>
                <w:b w:val="false"/>
                <w:bCs w:val="false"/>
                <w:i w:val="false"/>
                <w:iCs w:val="false"/>
                <w:color w:val="0070C0"/>
                <w:sz w:val="18"/>
                <w:szCs w:val="18"/>
              </w:rPr>
              <w:t xml:space="preserve">, taxed at 27% = </w:t>
            </w:r>
            <w:r>
              <w:rPr>
                <w:rFonts w:ascii="Arial" w:cs="Arial" w:eastAsia="Arial" w:hAnsi="Arial"/>
                <w:b/>
                <w:bCs/>
                <w:i w:val="false"/>
                <w:iCs w:val="false"/>
                <w:color w:val="0070C0"/>
                <w:sz w:val="18"/>
                <w:szCs w:val="18"/>
              </w:rPr>
              <w:t xml:space="preserve">R10.8m</w:t>
            </w:r>
            <w:r>
              <w:rPr>
                <w:rFonts w:ascii="Arial" w:cs="Arial" w:eastAsia="Arial" w:hAnsi="Arial"/>
                <w:b w:val="false"/>
                <w:bCs w:val="false"/>
                <w:i w:val="false"/>
                <w:iCs w:val="false"/>
                <w:color w:val="0070C0"/>
                <w:sz w:val="18"/>
                <w:szCs w:val="18"/>
              </w:rPr>
              <w:t xml:space="preserve">. Total R25.92m, against R23.76m had it simply been sold as a capital asset — and the CGT falls due far earlier. </w:t>
            </w:r>
            <w:r>
              <w:rPr>
                <w:rFonts w:ascii="Arial" w:cs="Arial" w:eastAsia="Arial" w:hAnsi="Arial"/>
                <w:b/>
                <w:bCs/>
                <w:i w:val="false"/>
                <w:iCs w:val="false"/>
                <w:color w:val="0070C0"/>
                <w:sz w:val="18"/>
                <w:szCs w:val="18"/>
              </w:rPr>
              <w:t xml:space="preserve">The decision about the site is a tax decision, not only an accounting one.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Holding costs while the site is undeveloped</w:t>
            </w:r>
            <w:r>
              <w:rPr>
                <w:rFonts w:ascii="Arial" w:cs="Arial" w:eastAsia="Arial" w:hAnsi="Arial"/>
                <w:b w:val="false"/>
                <w:bCs w:val="false"/>
                <w:i w:val="false"/>
                <w:iCs w:val="false"/>
                <w:color w:val="0070C0"/>
                <w:sz w:val="18"/>
                <w:szCs w:val="18"/>
              </w:rPr>
              <w:t xml:space="preserve"> — rates, security, maintenance — are </w:t>
            </w:r>
            <w:r>
              <w:rPr>
                <w:rFonts w:ascii="Arial" w:cs="Arial" w:eastAsia="Arial" w:hAnsi="Arial"/>
                <w:b/>
                <w:bCs/>
                <w:i w:val="false"/>
                <w:iCs w:val="false"/>
                <w:color w:val="0070C0"/>
                <w:sz w:val="18"/>
                <w:szCs w:val="18"/>
              </w:rPr>
              <w:t xml:space="preserve">not deductible</w:t>
            </w:r>
            <w:r>
              <w:rPr>
                <w:rFonts w:ascii="Arial" w:cs="Arial" w:eastAsia="Arial" w:hAnsi="Arial"/>
                <w:b w:val="false"/>
                <w:bCs w:val="false"/>
                <w:i w:val="false"/>
                <w:iCs w:val="false"/>
                <w:color w:val="0070C0"/>
                <w:sz w:val="18"/>
                <w:szCs w:val="18"/>
              </w:rPr>
              <w:t xml:space="preserve"> under s11(a) read with s23(g), because no trade is carried on in respect of the land and no income is produced from it. [WAITING FOR INPUT]: whether any costs have been claimed to date.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revenue streams</w:t>
            </w:r>
            <w:r>
              <w:rPr>
                <w:rFonts w:ascii="Arial" w:cs="Arial" w:eastAsia="Arial" w:hAnsi="Arial"/>
                <w:b w:val="false"/>
                <w:bCs w:val="false"/>
                <w:i w:val="false"/>
                <w:iCs w:val="false"/>
                <w:color w:val="0070C0"/>
                <w:sz w:val="18"/>
                <w:szCs w:val="18"/>
              </w:rPr>
              <w:t xml:space="preserve"> (colocation, power recharge, interconnection, ancillary) are gross income as Axion becomes unconditionally entitled. Contracts are </w:t>
            </w:r>
            <w:r>
              <w:rPr>
                <w:rFonts w:ascii="Arial" w:cs="Arial" w:eastAsia="Arial" w:hAnsi="Arial"/>
                <w:b/>
                <w:bCs/>
                <w:i w:val="false"/>
                <w:iCs w:val="false"/>
                <w:color w:val="0070C0"/>
                <w:sz w:val="18"/>
                <w:szCs w:val="18"/>
              </w:rPr>
              <w:t xml:space="preserve">invoiced monthly and Axion provides no customer financing</w:t>
            </w:r>
            <w:r>
              <w:rPr>
                <w:rFonts w:ascii="Arial" w:cs="Arial" w:eastAsia="Arial" w:hAnsi="Arial"/>
                <w:b w:val="false"/>
                <w:bCs w:val="false"/>
                <w:i w:val="false"/>
                <w:iCs w:val="false"/>
                <w:color w:val="0070C0"/>
                <w:sz w:val="18"/>
                <w:szCs w:val="18"/>
              </w:rPr>
              <w:t xml:space="preserve">, so accrual is straightforward and no s24J timing issue arises on receivables.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power recharge</w:t>
            </w:r>
            <w:r>
              <w:rPr>
                <w:rFonts w:ascii="Arial" w:cs="Arial" w:eastAsia="Arial" w:hAnsi="Arial"/>
                <w:b w:val="false"/>
                <w:bCs w:val="false"/>
                <w:i w:val="false"/>
                <w:iCs w:val="false"/>
                <w:color w:val="0070C0"/>
                <w:sz w:val="18"/>
                <w:szCs w:val="18"/>
              </w:rPr>
              <w:t xml:space="preserve"> is consideration for a standard-rated supply → </w:t>
            </w:r>
            <w:r>
              <w:rPr>
                <w:rFonts w:ascii="Arial" w:cs="Arial" w:eastAsia="Arial" w:hAnsi="Arial"/>
                <w:b/>
                <w:bCs/>
                <w:i w:val="false"/>
                <w:iCs w:val="false"/>
                <w:color w:val="0070C0"/>
                <w:sz w:val="18"/>
                <w:szCs w:val="18"/>
              </w:rPr>
              <w:t xml:space="preserve">output VAT at 15%</w:t>
            </w:r>
            <w:r>
              <w:rPr>
                <w:rFonts w:ascii="Arial" w:cs="Arial" w:eastAsia="Arial" w:hAnsi="Arial"/>
                <w:b w:val="false"/>
                <w:bCs w:val="false"/>
                <w:i w:val="false"/>
                <w:iCs w:val="false"/>
                <w:color w:val="0070C0"/>
                <w:sz w:val="18"/>
                <w:szCs w:val="18"/>
              </w:rPr>
              <w:t xml:space="preserve">, with input tax on the electricity purchased claimable in the same period.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Contracted capacity (40MW) exceeds utilised capacity (35MW)</w:t>
            </w:r>
            <w:r>
              <w:rPr>
                <w:rFonts w:ascii="Arial" w:cs="Arial" w:eastAsia="Arial" w:hAnsi="Arial"/>
                <w:b w:val="false"/>
                <w:bCs w:val="false"/>
                <w:i w:val="false"/>
                <w:iCs w:val="false"/>
                <w:color w:val="0070C0"/>
                <w:sz w:val="18"/>
                <w:szCs w:val="18"/>
              </w:rPr>
              <w:t xml:space="preserve"> — customers contract before they use. Where a customer </w:t>
            </w:r>
            <w:r>
              <w:rPr>
                <w:rFonts w:ascii="Arial" w:cs="Arial" w:eastAsia="Arial" w:hAnsi="Arial"/>
                <w:b/>
                <w:bCs/>
                <w:i w:val="false"/>
                <w:iCs w:val="false"/>
                <w:color w:val="0070C0"/>
                <w:sz w:val="18"/>
                <w:szCs w:val="18"/>
              </w:rPr>
              <w:t xml:space="preserve">pays in advance</w:t>
            </w:r>
            <w:r>
              <w:rPr>
                <w:rFonts w:ascii="Arial" w:cs="Arial" w:eastAsia="Arial" w:hAnsi="Arial"/>
                <w:b w:val="false"/>
                <w:bCs w:val="false"/>
                <w:i w:val="false"/>
                <w:iCs w:val="false"/>
                <w:color w:val="0070C0"/>
                <w:sz w:val="18"/>
                <w:szCs w:val="18"/>
              </w:rPr>
              <w:t xml:space="preserve"> or a take-or-pay minimum is billed ahead of use, the amount is gross income </w:t>
            </w:r>
            <w:r>
              <w:rPr>
                <w:rFonts w:ascii="Arial" w:cs="Arial" w:eastAsia="Arial" w:hAnsi="Arial"/>
                <w:b/>
                <w:bCs/>
                <w:i w:val="false"/>
                <w:iCs w:val="false"/>
                <w:color w:val="0070C0"/>
                <w:sz w:val="18"/>
                <w:szCs w:val="18"/>
              </w:rPr>
              <w:t xml:space="preserve">on receipt</w:t>
            </w:r>
            <w:r>
              <w:rPr>
                <w:rFonts w:ascii="Arial" w:cs="Arial" w:eastAsia="Arial" w:hAnsi="Arial"/>
                <w:b w:val="false"/>
                <w:bCs w:val="false"/>
                <w:i w:val="false"/>
                <w:iCs w:val="false"/>
                <w:color w:val="0070C0"/>
                <w:sz w:val="18"/>
                <w:szCs w:val="18"/>
              </w:rPr>
              <w:t xml:space="preserve">, even though the service has not been rendered. </w:t>
            </w:r>
            <w:r>
              <w:rPr>
                <w:rFonts w:ascii="Arial" w:cs="Arial" w:eastAsia="Arial" w:hAnsi="Arial"/>
                <w:b/>
                <w:bCs/>
                <w:i w:val="false"/>
                <w:iCs w:val="false"/>
                <w:color w:val="0070C0"/>
                <w:sz w:val="18"/>
                <w:szCs w:val="18"/>
              </w:rPr>
              <w:t xml:space="preserve">s24C</w:t>
            </w:r>
            <w:r>
              <w:rPr>
                <w:rFonts w:ascii="Arial" w:cs="Arial" w:eastAsia="Arial" w:hAnsi="Arial"/>
                <w:b w:val="false"/>
                <w:bCs w:val="false"/>
                <w:i w:val="false"/>
                <w:iCs w:val="false"/>
                <w:color w:val="0070C0"/>
                <w:sz w:val="18"/>
                <w:szCs w:val="18"/>
              </w:rPr>
              <w:t xml:space="preserve"> may then allow a deduction for the future expenditure Axion must still incur under that contract. [WAITING FOR INPUT]: the billing terms on contracted-but-unutilised capacity.</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Borrowings grew from R3 150m to R4 850m and finance costs to R375m.</w:t>
            </w:r>
            <w:r>
              <w:rPr>
                <w:rFonts w:ascii="Arial" w:cs="Arial" w:eastAsia="Arial" w:hAnsi="Arial"/>
                <w:b w:val="false"/>
                <w:bCs w:val="false"/>
                <w:i w:val="false"/>
                <w:iCs w:val="false"/>
                <w:color w:val="0070C0"/>
                <w:sz w:val="18"/>
                <w:szCs w:val="18"/>
              </w:rPr>
              <w:t xml:space="preserve"> Deductible under s24J. s23M is not in point for the SA bank syndicate — see Table 12.</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21 — Document 6: JHB4 project funding and delivery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 pre-trade expenditure.</w:t>
            </w:r>
            <w:r>
              <w:rPr>
                <w:rFonts w:ascii="Arial" w:cs="Arial" w:eastAsia="Arial" w:hAnsi="Arial"/>
                <w:b w:val="false"/>
                <w:bCs w:val="false"/>
                <w:i w:val="false"/>
                <w:iCs w:val="false"/>
                <w:color w:val="000000"/>
                <w:sz w:val="18"/>
                <w:szCs w:val="18"/>
              </w:rPr>
              <w:t xml:space="preserve"> Expenditure incurred </w:t>
            </w:r>
            <w:r>
              <w:rPr>
                <w:rFonts w:ascii="Arial" w:cs="Arial" w:eastAsia="Arial" w:hAnsi="Arial"/>
                <w:b/>
                <w:bCs/>
                <w:i w:val="false"/>
                <w:iCs w:val="false"/>
                <w:color w:val="000000"/>
                <w:sz w:val="18"/>
                <w:szCs w:val="18"/>
              </w:rPr>
              <w:t xml:space="preserve">before the commencement of a trade</w:t>
            </w:r>
            <w:r>
              <w:rPr>
                <w:rFonts w:ascii="Arial" w:cs="Arial" w:eastAsia="Arial" w:hAnsi="Arial"/>
                <w:b w:val="false"/>
                <w:bCs w:val="false"/>
                <w:i w:val="false"/>
                <w:iCs w:val="false"/>
                <w:color w:val="000000"/>
                <w:sz w:val="18"/>
                <w:szCs w:val="18"/>
              </w:rPr>
              <w:t xml:space="preserve">, which would have been deductible had the trade been carried on, is deductible </w:t>
            </w:r>
            <w:r>
              <w:rPr>
                <w:rFonts w:ascii="Arial" w:cs="Arial" w:eastAsia="Arial" w:hAnsi="Arial"/>
                <w:b/>
                <w:bCs/>
                <w:i w:val="false"/>
                <w:iCs w:val="false"/>
                <w:color w:val="000000"/>
                <w:sz w:val="18"/>
                <w:szCs w:val="18"/>
              </w:rPr>
              <w:t xml:space="preserve">in the year that trade commences</w:t>
            </w:r>
            <w:r>
              <w:rPr>
                <w:rFonts w:ascii="Arial" w:cs="Arial" w:eastAsia="Arial" w:hAnsi="Arial"/>
                <w:b w:val="false"/>
                <w:bCs w:val="false"/>
                <w:i w:val="false"/>
                <w:iCs w:val="false"/>
                <w:color w:val="000000"/>
                <w:sz w:val="18"/>
                <w:szCs w:val="18"/>
              </w:rPr>
              <w:t xml:space="preserve">, and only against </w:t>
            </w:r>
            <w:r>
              <w:rPr>
                <w:rFonts w:ascii="Arial" w:cs="Arial" w:eastAsia="Arial" w:hAnsi="Arial"/>
                <w:b/>
                <w:bCs/>
                <w:i w:val="false"/>
                <w:iCs w:val="false"/>
                <w:color w:val="000000"/>
                <w:sz w:val="18"/>
                <w:szCs w:val="18"/>
              </w:rPr>
              <w:t xml:space="preserve">income from that trade</w:t>
            </w:r>
            <w:r>
              <w:rPr>
                <w:rFonts w:ascii="Arial" w:cs="Arial" w:eastAsia="Arial" w:hAnsi="Arial"/>
                <w:b w:val="false"/>
                <w:bCs w:val="false"/>
                <w:i w:val="false"/>
                <w:iCs w:val="false"/>
                <w:color w:val="000000"/>
                <w:sz w:val="18"/>
                <w:szCs w:val="18"/>
              </w:rPr>
              <w:t xml:space="preserve">. The excess is carried forward.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 interest accrues and is deductible as incurred; interest </w:t>
            </w:r>
            <w:r>
              <w:rPr>
                <w:rFonts w:ascii="Arial" w:cs="Arial" w:eastAsia="Arial" w:hAnsi="Arial"/>
                <w:b/>
                <w:bCs/>
                <w:i w:val="false"/>
                <w:iCs w:val="false"/>
                <w:color w:val="000000"/>
                <w:sz w:val="18"/>
                <w:szCs w:val="18"/>
              </w:rPr>
              <w:t xml:space="preserve">received or accrued</w:t>
            </w:r>
            <w:r>
              <w:rPr>
                <w:rFonts w:ascii="Arial" w:cs="Arial" w:eastAsia="Arial" w:hAnsi="Arial"/>
                <w:b w:val="false"/>
                <w:bCs w:val="false"/>
                <w:i w:val="false"/>
                <w:iCs w:val="false"/>
                <w:color w:val="000000"/>
                <w:sz w:val="18"/>
                <w:szCs w:val="18"/>
              </w:rPr>
              <w:t xml:space="preserve"> is included in income on the same basis.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Interest income and interest expense are not netted for tax.</w:t>
            </w:r>
            <w:r>
              <w:rPr>
                <w:rFonts w:ascii="Arial" w:cs="Arial" w:eastAsia="Arial" w:hAnsi="Arial"/>
                <w:b w:val="false"/>
                <w:bCs w:val="false"/>
                <w:i w:val="false"/>
                <w:iCs w:val="false"/>
                <w:color w:val="000000"/>
                <w:sz w:val="18"/>
                <w:szCs w:val="18"/>
              </w:rPr>
              <w:t xml:space="preserve"> Each is tested separately: income is included in gross income, expenditure must satisfy s11(a).</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s13quin</w:t>
            </w:r>
            <w:r>
              <w:rPr>
                <w:rFonts w:ascii="Arial" w:cs="Arial" w:eastAsia="Arial" w:hAnsi="Arial"/>
                <w:b w:val="false"/>
                <w:bCs w:val="false"/>
                <w:i w:val="false"/>
                <w:iCs w:val="false"/>
                <w:color w:val="000000"/>
                <w:sz w:val="18"/>
                <w:szCs w:val="18"/>
              </w:rPr>
              <w:t xml:space="preserve"> — 5% a year, but only once the building is </w:t>
            </w:r>
            <w:r>
              <w:rPr>
                <w:rFonts w:ascii="Arial" w:cs="Arial" w:eastAsia="Arial" w:hAnsi="Arial"/>
                <w:b/>
                <w:bCs/>
                <w:i w:val="false"/>
                <w:iCs w:val="false"/>
                <w:color w:val="000000"/>
                <w:sz w:val="18"/>
                <w:szCs w:val="18"/>
              </w:rPr>
              <w:t xml:space="preserve">used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 wear and tear on the plant inside the facility,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per IN47.</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s16(3) / s17</w:t>
            </w:r>
            <w:r>
              <w:rPr>
                <w:rFonts w:ascii="Arial" w:cs="Arial" w:eastAsia="Arial" w:hAnsi="Arial"/>
                <w:b w:val="false"/>
                <w:bCs w:val="false"/>
                <w:i w:val="false"/>
                <w:iCs w:val="false"/>
                <w:color w:val="000000"/>
                <w:sz w:val="18"/>
                <w:szCs w:val="18"/>
              </w:rPr>
              <w:t xml:space="preserve"> — input tax is claimable on goods and services </w:t>
            </w:r>
            <w:r>
              <w:rPr>
                <w:rFonts w:ascii="Arial" w:cs="Arial" w:eastAsia="Arial" w:hAnsi="Arial"/>
                <w:b/>
                <w:bCs/>
                <w:i w:val="false"/>
                <w:iCs w:val="false"/>
                <w:color w:val="000000"/>
                <w:sz w:val="18"/>
                <w:szCs w:val="18"/>
              </w:rPr>
              <w:t xml:space="preserve">acquired for the purpose of making taxable supplies</w:t>
            </w:r>
            <w:r>
              <w:rPr>
                <w:rFonts w:ascii="Arial" w:cs="Arial" w:eastAsia="Arial" w:hAnsi="Arial"/>
                <w:b w:val="false"/>
                <w:bCs w:val="false"/>
                <w:i w:val="false"/>
                <w:iCs w:val="false"/>
                <w:color w:val="000000"/>
                <w:sz w:val="18"/>
                <w:szCs w:val="18"/>
              </w:rPr>
              <w:t xml:space="preserve">, whether or not supplies have yet been made.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s11A and confirm its interaction with an existing trade before relying on it.]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central judgement: is JHB4 a new trade, or an expansion of the existing one?</w:t>
            </w:r>
            <w:r>
              <w:rPr>
                <w:rFonts w:ascii="Arial" w:cs="Arial" w:eastAsia="Arial" w:hAnsi="Arial"/>
                <w:b w:val="false"/>
                <w:bCs w:val="false"/>
                <w:i w:val="false"/>
                <w:iCs w:val="false"/>
                <w:color w:val="0070C0"/>
                <w:sz w:val="18"/>
                <w:szCs w:val="18"/>
              </w:rPr>
              <w:t xml:space="preserve"> Axion already operates five data centres. If JHB4 is an </w:t>
            </w:r>
            <w:r>
              <w:rPr>
                <w:rFonts w:ascii="Arial" w:cs="Arial" w:eastAsia="Arial" w:hAnsi="Arial"/>
                <w:b/>
                <w:bCs/>
                <w:i w:val="false"/>
                <w:iCs w:val="false"/>
                <w:color w:val="0070C0"/>
                <w:sz w:val="18"/>
                <w:szCs w:val="18"/>
              </w:rPr>
              <w:t xml:space="preserve">expansion of the same trade</w:t>
            </w:r>
            <w:r>
              <w:rPr>
                <w:rFonts w:ascii="Arial" w:cs="Arial" w:eastAsia="Arial" w:hAnsi="Arial"/>
                <w:b w:val="false"/>
                <w:bCs w:val="false"/>
                <w:i w:val="false"/>
                <w:iCs w:val="false"/>
                <w:color w:val="0070C0"/>
                <w:sz w:val="18"/>
                <w:szCs w:val="18"/>
              </w:rPr>
              <w:t xml:space="preserve">, expenditure and interest are deductible </w:t>
            </w:r>
            <w:r>
              <w:rPr>
                <w:rFonts w:ascii="Arial" w:cs="Arial" w:eastAsia="Arial" w:hAnsi="Arial"/>
                <w:b/>
                <w:bCs/>
                <w:i w:val="false"/>
                <w:iCs w:val="false"/>
                <w:color w:val="0070C0"/>
                <w:sz w:val="18"/>
                <w:szCs w:val="18"/>
              </w:rPr>
              <w:t xml:space="preserve">as incurred</w:t>
            </w:r>
            <w:r>
              <w:rPr>
                <w:rFonts w:ascii="Arial" w:cs="Arial" w:eastAsia="Arial" w:hAnsi="Arial"/>
                <w:b w:val="false"/>
                <w:bCs w:val="false"/>
                <w:i w:val="false"/>
                <w:iCs w:val="false"/>
                <w:color w:val="0070C0"/>
                <w:sz w:val="18"/>
                <w:szCs w:val="18"/>
              </w:rPr>
              <w:t xml:space="preserve">, against all of Axion’s income. If it is treated as a </w:t>
            </w:r>
            <w:r>
              <w:rPr>
                <w:rFonts w:ascii="Arial" w:cs="Arial" w:eastAsia="Arial" w:hAnsi="Arial"/>
                <w:b/>
                <w:bCs/>
                <w:i w:val="false"/>
                <w:iCs w:val="false"/>
                <w:color w:val="0070C0"/>
                <w:sz w:val="18"/>
                <w:szCs w:val="18"/>
              </w:rPr>
              <w:t xml:space="preserve">separate trade</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s11A defers</w:t>
            </w:r>
            <w:r>
              <w:rPr>
                <w:rFonts w:ascii="Arial" w:cs="Arial" w:eastAsia="Arial" w:hAnsi="Arial"/>
                <w:b w:val="false"/>
                <w:bCs w:val="false"/>
                <w:i w:val="false"/>
                <w:iCs w:val="false"/>
                <w:color w:val="0070C0"/>
                <w:sz w:val="18"/>
                <w:szCs w:val="18"/>
              </w:rPr>
              <w:t xml:space="preserve"> the deduction to the year JHB4 commences trading and </w:t>
            </w:r>
            <w:r>
              <w:rPr>
                <w:rFonts w:ascii="Arial" w:cs="Arial" w:eastAsia="Arial" w:hAnsi="Arial"/>
                <w:b/>
                <w:bCs/>
                <w:i w:val="false"/>
                <w:iCs w:val="false"/>
                <w:color w:val="0070C0"/>
                <w:sz w:val="18"/>
                <w:szCs w:val="18"/>
              </w:rPr>
              <w:t xml:space="preserve">ring-fences it against JHB4’s own income</w:t>
            </w:r>
            <w:r>
              <w:rPr>
                <w:rFonts w:ascii="Arial" w:cs="Arial" w:eastAsia="Arial" w:hAnsi="Arial"/>
                <w:b w:val="false"/>
                <w:bCs w:val="false"/>
                <w:i w:val="false"/>
                <w:iCs w:val="false"/>
                <w:color w:val="0070C0"/>
                <w:sz w:val="18"/>
                <w:szCs w:val="18"/>
              </w:rPr>
              <w:t xml:space="preserve">. The difference is years of cash tax. Raise it as the question it is, and argue the expansion view on the facts — same customers, same services, same management.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interest asymmetry is the sharp technical point in this document.</w:t>
            </w:r>
            <w:r>
              <w:rPr>
                <w:rFonts w:ascii="Arial" w:cs="Arial" w:eastAsia="Arial" w:hAnsi="Arial"/>
                <w:b w:val="false"/>
                <w:bCs w:val="false"/>
                <w:i w:val="false"/>
                <w:iCs w:val="false"/>
                <w:color w:val="0070C0"/>
                <w:sz w:val="18"/>
                <w:szCs w:val="18"/>
              </w:rPr>
              <w:t xml:space="preserve"> Undeployed drawdowns sit on </w:t>
            </w:r>
            <w:r>
              <w:rPr>
                <w:rFonts w:ascii="Arial" w:cs="Arial" w:eastAsia="Arial" w:hAnsi="Arial"/>
                <w:b/>
                <w:bCs/>
                <w:i w:val="false"/>
                <w:iCs w:val="false"/>
                <w:color w:val="0070C0"/>
                <w:sz w:val="18"/>
                <w:szCs w:val="18"/>
              </w:rPr>
              <w:t xml:space="preserve">short-term deposit</w:t>
            </w:r>
            <w:r>
              <w:rPr>
                <w:rFonts w:ascii="Arial" w:cs="Arial" w:eastAsia="Arial" w:hAnsi="Arial"/>
                <w:b w:val="false"/>
                <w:bCs w:val="false"/>
                <w:i w:val="false"/>
                <w:iCs w:val="false"/>
                <w:color w:val="0070C0"/>
                <w:sz w:val="18"/>
                <w:szCs w:val="18"/>
              </w:rPr>
              <w:t xml:space="preserve">. That deposit interest is </w:t>
            </w:r>
            <w:r>
              <w:rPr>
                <w:rFonts w:ascii="Arial" w:cs="Arial" w:eastAsia="Arial" w:hAnsi="Arial"/>
                <w:b/>
                <w:bCs/>
                <w:i w:val="false"/>
                <w:iCs w:val="false"/>
                <w:color w:val="0070C0"/>
                <w:sz w:val="18"/>
                <w:szCs w:val="18"/>
              </w:rPr>
              <w:t xml:space="preserve">gross income, taxable in full as it accrues</w:t>
            </w:r>
            <w:r>
              <w:rPr>
                <w:rFonts w:ascii="Arial" w:cs="Arial" w:eastAsia="Arial" w:hAnsi="Arial"/>
                <w:b w:val="false"/>
                <w:bCs w:val="false"/>
                <w:i w:val="false"/>
                <w:iCs w:val="false"/>
                <w:color w:val="0070C0"/>
                <w:sz w:val="18"/>
                <w:szCs w:val="18"/>
              </w:rPr>
              <w:t xml:space="preserve">. The facility interest is a deduction that may be deferred under s11A. So Axion can be </w:t>
            </w:r>
            <w:r>
              <w:rPr>
                <w:rFonts w:ascii="Arial" w:cs="Arial" w:eastAsia="Arial" w:hAnsi="Arial"/>
                <w:b/>
                <w:bCs/>
                <w:i w:val="false"/>
                <w:iCs w:val="false"/>
                <w:color w:val="0070C0"/>
                <w:sz w:val="18"/>
                <w:szCs w:val="18"/>
              </w:rPr>
              <w:t xml:space="preserve">taxed on the income while the matching expense waits</w:t>
            </w:r>
            <w:r>
              <w:rPr>
                <w:rFonts w:ascii="Arial" w:cs="Arial" w:eastAsia="Arial" w:hAnsi="Arial"/>
                <w:b w:val="false"/>
                <w:bCs w:val="false"/>
                <w:i w:val="false"/>
                <w:iCs w:val="false"/>
                <w:color w:val="0070C0"/>
                <w:sz w:val="18"/>
                <w:szCs w:val="18"/>
              </w:rPr>
              <w:t xml:space="preserve"> — the opposite of the accounting treatment.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scorecard measure makes this concrete.</w:t>
            </w:r>
            <w:r>
              <w:rPr>
                <w:rFonts w:ascii="Arial" w:cs="Arial" w:eastAsia="Arial" w:hAnsi="Arial"/>
                <w:b w:val="false"/>
                <w:bCs w:val="false"/>
                <w:i w:val="false"/>
                <w:iCs w:val="false"/>
                <w:color w:val="0070C0"/>
                <w:sz w:val="18"/>
                <w:szCs w:val="18"/>
              </w:rPr>
              <w:t xml:space="preserve"> “Net interest not capitalised” is defined as interest expense not capitalised </w:t>
            </w:r>
            <w:r>
              <w:rPr>
                <w:rFonts w:ascii="Arial" w:cs="Arial" w:eastAsia="Arial" w:hAnsi="Arial"/>
                <w:b/>
                <w:bCs/>
                <w:i w:val="false"/>
                <w:iCs w:val="false"/>
                <w:color w:val="0070C0"/>
                <w:sz w:val="18"/>
                <w:szCs w:val="18"/>
              </w:rPr>
              <w:t xml:space="preserve">less</w:t>
            </w:r>
            <w:r>
              <w:rPr>
                <w:rFonts w:ascii="Arial" w:cs="Arial" w:eastAsia="Arial" w:hAnsi="Arial"/>
                <w:b w:val="false"/>
                <w:bCs w:val="false"/>
                <w:i w:val="false"/>
                <w:iCs w:val="false"/>
                <w:color w:val="0070C0"/>
                <w:sz w:val="18"/>
                <w:szCs w:val="18"/>
              </w:rPr>
              <w:t xml:space="preserve"> interest income on drawn but undeployed funds. </w:t>
            </w:r>
            <w:r>
              <w:rPr>
                <w:rFonts w:ascii="Arial" w:cs="Arial" w:eastAsia="Arial" w:hAnsi="Arial"/>
                <w:b/>
                <w:bCs/>
                <w:i w:val="false"/>
                <w:iCs w:val="false"/>
                <w:color w:val="0070C0"/>
                <w:sz w:val="18"/>
                <w:szCs w:val="18"/>
              </w:rPr>
              <w:t xml:space="preserve">For tax these are never netted.</w:t>
            </w:r>
            <w:r>
              <w:rPr>
                <w:rFonts w:ascii="Arial" w:cs="Arial" w:eastAsia="Arial" w:hAnsi="Arial"/>
                <w:b w:val="false"/>
                <w:bCs w:val="false"/>
                <w:i w:val="false"/>
                <w:iCs w:val="false"/>
                <w:color w:val="0070C0"/>
                <w:sz w:val="18"/>
                <w:szCs w:val="18"/>
              </w:rPr>
              <w:t xml:space="preserve"> Do not read the scorecard figure as a taxable amount.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R400m drawn ahead of requirement for 6 months, deposit rate 7%, facility rate 10.5%.</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Deposit interest earned = R400m × 7% × 6/12 = </w:t>
            </w:r>
            <w:r>
              <w:rPr>
                <w:rFonts w:ascii="Arial" w:cs="Arial" w:eastAsia="Arial" w:hAnsi="Arial"/>
                <w:b/>
                <w:bCs/>
                <w:i w:val="false"/>
                <w:iCs w:val="false"/>
                <w:color w:val="0070C0"/>
                <w:sz w:val="18"/>
                <w:szCs w:val="18"/>
              </w:rPr>
              <w:t xml:space="preserve">R14.0m</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taxable in full</w:t>
            </w:r>
            <w:r>
              <w:rPr>
                <w:rFonts w:ascii="Arial" w:cs="Arial" w:eastAsia="Arial" w:hAnsi="Arial"/>
                <w:b w:val="false"/>
                <w:bCs w:val="false"/>
                <w:i w:val="false"/>
                <w:iCs w:val="false"/>
                <w:color w:val="0070C0"/>
                <w:sz w:val="18"/>
                <w:szCs w:val="18"/>
              </w:rPr>
              <w:t xml:space="preserve">, tax </w:t>
            </w:r>
            <w:r>
              <w:rPr>
                <w:rFonts w:ascii="Arial" w:cs="Arial" w:eastAsia="Arial" w:hAnsi="Arial"/>
                <w:b/>
                <w:bCs/>
                <w:i w:val="false"/>
                <w:iCs w:val="false"/>
                <w:color w:val="0070C0"/>
                <w:sz w:val="18"/>
                <w:szCs w:val="18"/>
              </w:rPr>
              <w:t xml:space="preserve">R3.78m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Facility interest on that R400m = R400m × 10.5% × 6/12 = </w:t>
            </w:r>
            <w:r>
              <w:rPr>
                <w:rFonts w:ascii="Arial" w:cs="Arial" w:eastAsia="Arial" w:hAnsi="Arial"/>
                <w:b/>
                <w:bCs/>
                <w:i w:val="false"/>
                <w:iCs w:val="false"/>
                <w:color w:val="0070C0"/>
                <w:sz w:val="18"/>
                <w:szCs w:val="18"/>
              </w:rPr>
              <w:t xml:space="preserve">R21.0m</w:t>
            </w:r>
            <w:r>
              <w:rPr>
                <w:rFonts w:ascii="Arial" w:cs="Arial" w:eastAsia="Arial" w:hAnsi="Arial"/>
                <w:b w:val="false"/>
                <w:bCs w:val="false"/>
                <w:i w:val="false"/>
                <w:iCs w:val="false"/>
                <w:color w:val="0070C0"/>
                <w:sz w:val="18"/>
                <w:szCs w:val="18"/>
              </w:rPr>
              <w:t xml:space="preserve"> — deductible, </w:t>
            </w:r>
            <w:r>
              <w:rPr>
                <w:rFonts w:ascii="Arial" w:cs="Arial" w:eastAsia="Arial" w:hAnsi="Arial"/>
                <w:b/>
                <w:bCs/>
                <w:i w:val="false"/>
                <w:iCs w:val="false"/>
                <w:color w:val="0070C0"/>
                <w:sz w:val="18"/>
                <w:szCs w:val="18"/>
              </w:rPr>
              <w:t xml:space="preserve">or deferred under s11A</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Net economic cost R7.0m; but if the deduction is deferred, Axion pays </w:t>
            </w:r>
            <w:r>
              <w:rPr>
                <w:rFonts w:ascii="Arial" w:cs="Arial" w:eastAsia="Arial" w:hAnsi="Arial"/>
                <w:b/>
                <w:bCs/>
                <w:i w:val="false"/>
                <w:iCs w:val="false"/>
                <w:color w:val="0070C0"/>
                <w:sz w:val="18"/>
                <w:szCs w:val="18"/>
              </w:rPr>
              <w:t xml:space="preserve">R3.78m of tax now</w:t>
            </w:r>
            <w:r>
              <w:rPr>
                <w:rFonts w:ascii="Arial" w:cs="Arial" w:eastAsia="Arial" w:hAnsi="Arial"/>
                <w:b w:val="false"/>
                <w:bCs w:val="false"/>
                <w:i w:val="false"/>
                <w:iCs w:val="false"/>
                <w:color w:val="0070C0"/>
                <w:sz w:val="18"/>
                <w:szCs w:val="18"/>
              </w:rPr>
              <w:t xml:space="preserve"> on the income side alone. </w:t>
            </w:r>
            <w:r>
              <w:rPr>
                <w:rFonts w:ascii="Arial" w:cs="Arial" w:eastAsia="Arial" w:hAnsi="Arial"/>
                <w:b/>
                <w:bCs/>
                <w:i w:val="false"/>
                <w:iCs w:val="false"/>
                <w:color w:val="0070C0"/>
                <w:sz w:val="18"/>
                <w:szCs w:val="18"/>
              </w:rPr>
              <w:t xml:space="preserve">Drawing ahead of requirement costs more after tax than the R7.0m the scorecard shows.</w:t>
            </w:r>
            <w:r>
              <w:rPr>
                <w:rFonts w:ascii="Arial" w:cs="Arial" w:eastAsia="Arial" w:hAnsi="Arial"/>
                <w:b w:val="false"/>
                <w:bCs w:val="false"/>
                <w:i w:val="false"/>
                <w:iCs w:val="false"/>
                <w:color w:val="0070C0"/>
                <w:sz w:val="18"/>
                <w:szCs w:val="18"/>
              </w:rPr>
              <w:t xml:space="preserve"> That strengthens the commercial case for drawdown discipline — a tax argument supporting an operational control.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IAS 23 against tax.</w:t>
            </w:r>
            <w:r>
              <w:rPr>
                <w:rFonts w:ascii="Arial" w:cs="Arial" w:eastAsia="Arial" w:hAnsi="Arial"/>
                <w:b w:val="false"/>
                <w:bCs w:val="false"/>
                <w:i w:val="false"/>
                <w:iCs w:val="false"/>
                <w:color w:val="0070C0"/>
                <w:sz w:val="18"/>
                <w:szCs w:val="18"/>
              </w:rPr>
              <w:t xml:space="preserve"> For accounting, borrowing costs are capitalised into JHB4 (net of investment income on the temporary investment of those funds). For tax, the interest is deducted or deferred and the deposit interest is taxed currently. The two bases diverge → a </w:t>
            </w:r>
            <w:r>
              <w:rPr>
                <w:rFonts w:ascii="Arial" w:cs="Arial" w:eastAsia="Arial" w:hAnsi="Arial"/>
                <w:b/>
                <w:bCs/>
                <w:i w:val="false"/>
                <w:iCs w:val="false"/>
                <w:color w:val="0070C0"/>
                <w:sz w:val="18"/>
                <w:szCs w:val="18"/>
              </w:rPr>
              <w:t xml:space="preserve">temporary difference and deferred tax</w:t>
            </w:r>
            <w:r>
              <w:rPr>
                <w:rFonts w:ascii="Arial" w:cs="Arial" w:eastAsia="Arial" w:hAnsi="Arial"/>
                <w:b w:val="false"/>
                <w:bCs w:val="false"/>
                <w:i w:val="false"/>
                <w:iCs w:val="false"/>
                <w:color w:val="0070C0"/>
                <w:sz w:val="18"/>
                <w:szCs w:val="18"/>
              </w:rPr>
              <w:t xml:space="preserve"> (Table 17).</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s13quin on the building.</w:t>
            </w:r>
            <w:r>
              <w:rPr>
                <w:rFonts w:ascii="Arial" w:cs="Arial" w:eastAsia="Arial" w:hAnsi="Arial"/>
                <w:b w:val="false"/>
                <w:bCs w:val="false"/>
                <w:i w:val="false"/>
                <w:iCs w:val="false"/>
                <w:color w:val="0070C0"/>
                <w:sz w:val="18"/>
                <w:szCs w:val="18"/>
              </w:rPr>
              <w:t xml:space="preserve"> JHB4 is new and unused, so 5% a year once it is used in Axion’s trade. But Document 6 says it will be </w:t>
            </w:r>
            <w:r>
              <w:rPr>
                <w:rFonts w:ascii="Arial" w:cs="Arial" w:eastAsia="Arial" w:hAnsi="Arial"/>
                <w:b/>
                <w:bCs/>
                <w:i w:val="false"/>
                <w:iCs w:val="false"/>
                <w:color w:val="0070C0"/>
                <w:sz w:val="18"/>
                <w:szCs w:val="18"/>
              </w:rPr>
              <w:t xml:space="preserve">brought into service in phases as customer capacity is contracted</w:t>
            </w:r>
            <w:r>
              <w:rPr>
                <w:rFonts w:ascii="Arial" w:cs="Arial" w:eastAsia="Arial" w:hAnsi="Arial"/>
                <w:b w:val="false"/>
                <w:bCs w:val="false"/>
                <w:i w:val="false"/>
                <w:iCs w:val="false"/>
                <w:color w:val="0070C0"/>
                <w:sz w:val="18"/>
                <w:szCs w:val="18"/>
              </w:rPr>
              <w:t xml:space="preserve">, and s13quin requires </w:t>
            </w:r>
            <w:r>
              <w:rPr>
                <w:rFonts w:ascii="Arial" w:cs="Arial" w:eastAsia="Arial" w:hAnsi="Arial"/>
                <w:b/>
                <w:bCs/>
                <w:i w:val="false"/>
                <w:iCs w:val="false"/>
                <w:color w:val="0070C0"/>
                <w:sz w:val="18"/>
                <w:szCs w:val="18"/>
              </w:rPr>
              <w:t xml:space="preserve">use</w:t>
            </w:r>
            <w:r>
              <w:rPr>
                <w:rFonts w:ascii="Arial" w:cs="Arial" w:eastAsia="Arial" w:hAnsi="Arial"/>
                <w:b w:val="false"/>
                <w:bCs w:val="false"/>
                <w:i w:val="false"/>
                <w:iCs w:val="false"/>
                <w:color w:val="0070C0"/>
                <w:sz w:val="18"/>
                <w:szCs w:val="18"/>
              </w:rPr>
              <w:t xml:space="preserve">. [WAITING FOR INPUT]: the phasing plan, and whether the phases are physically distinct parts of the building — the allowance may begin phase by phase rather than on the whole building at first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grid connection timing “remains critical”</w:t>
            </w:r>
            <w:r>
              <w:rPr>
                <w:rFonts w:ascii="Arial" w:cs="Arial" w:eastAsia="Arial" w:hAnsi="Arial"/>
                <w:b w:val="false"/>
                <w:bCs w:val="false"/>
                <w:i w:val="false"/>
                <w:iCs w:val="false"/>
                <w:color w:val="0070C0"/>
                <w:sz w:val="18"/>
                <w:szCs w:val="18"/>
              </w:rPr>
              <w:t xml:space="preserve"> (Document 6). For tax that is not just a delivery risk: </w:t>
            </w:r>
            <w:r>
              <w:rPr>
                <w:rFonts w:ascii="Arial" w:cs="Arial" w:eastAsia="Arial" w:hAnsi="Arial"/>
                <w:b/>
                <w:bCs/>
                <w:i w:val="false"/>
                <w:iCs w:val="false"/>
                <w:color w:val="0070C0"/>
                <w:sz w:val="18"/>
                <w:szCs w:val="18"/>
              </w:rPr>
              <w:t xml:space="preserve">no allowance arises at all</w:t>
            </w:r>
            <w:r>
              <w:rPr>
                <w:rFonts w:ascii="Arial" w:cs="Arial" w:eastAsia="Arial" w:hAnsi="Arial"/>
                <w:b w:val="false"/>
                <w:bCs w:val="false"/>
                <w:i w:val="false"/>
                <w:iCs w:val="false"/>
                <w:color w:val="0070C0"/>
                <w:sz w:val="18"/>
                <w:szCs w:val="18"/>
              </w:rPr>
              <w:t xml:space="preserve"> until the asset is brought into use. A slip past 30 June moves an entire year’s deduction.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VAT is a real cash item on a R1.2bn facility.</w:t>
            </w:r>
            <w:r>
              <w:rPr>
                <w:rFonts w:ascii="Arial" w:cs="Arial" w:eastAsia="Arial" w:hAnsi="Arial"/>
                <w:b w:val="false"/>
                <w:bCs w:val="false"/>
                <w:i w:val="false"/>
                <w:iCs w:val="false"/>
                <w:color w:val="0070C0"/>
                <w:sz w:val="18"/>
                <w:szCs w:val="18"/>
              </w:rPr>
              <w:t xml:space="preserve"> Input tax on construction is claimable </w:t>
            </w:r>
            <w:r>
              <w:rPr>
                <w:rFonts w:ascii="Arial" w:cs="Arial" w:eastAsia="Arial" w:hAnsi="Arial"/>
                <w:b/>
                <w:bCs/>
                <w:i w:val="false"/>
                <w:iCs w:val="false"/>
                <w:color w:val="0070C0"/>
                <w:sz w:val="18"/>
                <w:szCs w:val="18"/>
              </w:rPr>
              <w:t xml:space="preserve">now</w:t>
            </w:r>
            <w:r>
              <w:rPr>
                <w:rFonts w:ascii="Arial" w:cs="Arial" w:eastAsia="Arial" w:hAnsi="Arial"/>
                <w:b w:val="false"/>
                <w:bCs w:val="false"/>
                <w:i w:val="false"/>
                <w:iCs w:val="false"/>
                <w:color w:val="0070C0"/>
                <w:sz w:val="18"/>
                <w:szCs w:val="18"/>
              </w:rPr>
              <w:t xml:space="preserve">, even though JHB4 makes no supplies yet, because it is acquired for the purpose of making taxable supplies. At 15% on, say, R1bn of construction spend, that is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of input tax — a funding consideration for the drawdown profile in its own right.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s23M does not apply to this facility</w:t>
            </w:r>
            <w:r>
              <w:rPr>
                <w:rFonts w:ascii="Arial" w:cs="Arial" w:eastAsia="Arial" w:hAnsi="Arial"/>
                <w:b w:val="false"/>
                <w:bCs w:val="false"/>
                <w:i w:val="false"/>
                <w:iCs w:val="false"/>
                <w:color w:val="0070C0"/>
                <w:sz w:val="18"/>
                <w:szCs w:val="18"/>
              </w:rPr>
              <w:t xml:space="preserve"> — the lenders are a syndicate of South African banks, subject to SA tax and not in a controlling relationship with Axion.</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L. Verification status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4120"/>
        <w:gridCol w:w="2678"/>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Status</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Source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s12BA and its expiry, s12U, s12L to 2030, s20, s12C, s13quin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Guide IT39, IN 95</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s8(4)(nA) recoupment and the 1 March 2026 date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27%, dividends tax 20%, CGT inclusion 80% (effective 21.6%), VAT 15%</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 — unchanged in the February 2026 Budget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s23M percentage and controlling relationship; s24H; s12N; s11(o) detail</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s11A pre-trade expenditure and its interaction with an existing trade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w:t>
            </w:r>
            <w:r>
              <w:rPr>
                <w:rFonts w:ascii="Arial" w:cs="Arial" w:eastAsia="Arial" w:hAnsi="Arial"/>
                <w:b w:val="false"/>
                <w:bCs w:val="false"/>
                <w:i w:val="false"/>
                <w:iCs w:val="false"/>
                <w:color w:val="000000"/>
                <w:sz w:val="18"/>
                <w:szCs w:val="18"/>
              </w:rPr>
              <w:t xml:space="preserve"> — central to Table 21</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s8C, s11(lA), s25B, s103(2)</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r>
              <w:rPr>
                <w:rFonts w:ascii="Arial" w:cs="Arial" w:eastAsia="Arial" w:hAnsi="Arial"/>
                <w:b w:val="false"/>
                <w:bCs w:val="false"/>
                <w:i w:val="false"/>
                <w:iCs w:val="false"/>
                <w:color w:val="000000"/>
                <w:sz w:val="18"/>
                <w:szCs w:val="18"/>
              </w:rPr>
              <w:t xml:space="preserve"> — Table 19</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s24C, s22(3)(a)(ii), paragraph 12(2)(c) Eighth Schedule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r>
              <w:rPr>
                <w:rFonts w:ascii="Arial" w:cs="Arial" w:eastAsia="Arial" w:hAnsi="Arial"/>
                <w:b w:val="false"/>
                <w:bCs w:val="false"/>
                <w:i w:val="false"/>
                <w:iCs w:val="false"/>
                <w:color w:val="000000"/>
                <w:sz w:val="18"/>
                <w:szCs w:val="18"/>
              </w:rPr>
              <w:t xml:space="preserve"> — Table 20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s9D, s6quat, s31, s24I</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r>
              <w:rPr>
                <w:rFonts w:ascii="Arial" w:cs="Arial" w:eastAsia="Arial" w:hAnsi="Arial"/>
                <w:b w:val="false"/>
                <w:bCs w:val="false"/>
                <w:i w:val="false"/>
                <w:iCs w:val="false"/>
                <w:color w:val="000000"/>
                <w:sz w:val="18"/>
                <w:szCs w:val="18"/>
              </w:rPr>
              <w:t xml:space="preserve"> — Table 18</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threshold and rate; IN 47 write-off periods; IAS 12 paragraph references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Look them up before citing</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Read the source the CFO pointed you at</w:t>
      </w:r>
      <w:r>
        <w:rPr>
          <w:rFonts w:ascii="Arial" w:cs="Arial" w:eastAsia="Arial" w:hAnsi="Arial"/>
          <w:b w:val="false"/>
          <w:bCs w:val="false"/>
          <w:i w:val="false"/>
          <w:iCs w:val="false"/>
          <w:color w:val="000000"/>
          <w:sz w:val="19"/>
          <w:szCs w:val="19"/>
        </w:rPr>
        <w:t xml:space="preserve"> — the SARS </w:t>
      </w:r>
      <w:r>
        <w:rPr>
          <w:rFonts w:ascii="Arial" w:cs="Arial" w:eastAsia="Arial" w:hAnsi="Arial"/>
          <w:b/>
          <w:bCs/>
          <w:i w:val="false"/>
          <w:iCs w:val="false"/>
          <w:color w:val="000000"/>
          <w:sz w:val="19"/>
          <w:szCs w:val="19"/>
        </w:rPr>
        <w:t xml:space="preserve">Guide on the Allowances and Deductions Relating to Assets Used in the Generation of Electricity</w:t>
      </w:r>
      <w:r>
        <w:rPr>
          <w:rFonts w:ascii="Arial" w:cs="Arial" w:eastAsia="Arial" w:hAnsi="Arial"/>
          <w:b w:val="false"/>
          <w:bCs w:val="false"/>
          <w:i w:val="false"/>
          <w:iCs w:val="false"/>
          <w:color w:val="000000"/>
          <w:sz w:val="19"/>
          <w:szCs w:val="19"/>
        </w:rPr>
        <w:t xml:space="preserve">, publication </w:t>
      </w:r>
      <w:r>
        <w:rPr>
          <w:rFonts w:ascii="Arial" w:cs="Arial" w:eastAsia="Arial" w:hAnsi="Arial"/>
          <w:b/>
          <w:bCs/>
          <w:i w:val="false"/>
          <w:iCs w:val="false"/>
          <w:color w:val="000000"/>
          <w:sz w:val="19"/>
          <w:szCs w:val="19"/>
        </w:rPr>
        <w:t xml:space="preserve">IT39</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Every rand figure in this document is assumed.</w:t>
      </w:r>
      <w:r>
        <w:rPr>
          <w:rFonts w:ascii="Arial" w:cs="Arial" w:eastAsia="Arial" w:hAnsi="Arial"/>
          <w:b w:val="false"/>
          <w:bCs w:val="false"/>
          <w:i w:val="false"/>
          <w:iCs w:val="false"/>
          <w:color w:val="000000"/>
          <w:sz w:val="19"/>
          <w:szCs w:val="19"/>
        </w:rPr>
        <w:t xml:space="preserve"> The pre-release gives no capacity, cost, counterparty or structure for any renewable option. The examples exist so the method is fluent; the figures arrive on the day.</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2026-09-19T15:49:20.972Z</dcterms:created>
  <dcterms:modified xsi:type="dcterms:W3CDTF">2026-09-19T15:49:20.973Z</dcterms:modified>
</cp:coreProperties>
</file>

<file path=docProps/custom.xml><?xml version="1.0" encoding="utf-8"?>
<Properties xmlns="http://schemas.openxmlformats.org/officeDocument/2006/custom-properties" xmlns:vt="http://schemas.openxmlformats.org/officeDocument/2006/docPropsVTypes"/>
</file>