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2"/>
          <w:szCs w:val="32"/>
        </w:rPr>
        <w:t xml:space="preserve">Income Tax Research — Renewable Energy Allowances</w:t>
      </w:r>
    </w:p>
    <w:p>
      <w:pPr>
        <w:keepNext w:val="false"/>
        <w:spacing w:after="140" w:before="0" w:line="250" w:lineRule="auto"/>
      </w:pPr>
      <w:r>
        <w:rPr>
          <w:rFonts w:ascii="Arial" w:cs="Arial" w:eastAsia="Arial" w:hAnsi="Arial"/>
          <w:b w:val="false"/>
          <w:bCs w:val="false"/>
          <w:i w:val="false"/>
          <w:iCs w:val="false"/>
          <w:color w:val="000000"/>
          <w:sz w:val="19"/>
          <w:szCs w:val="19"/>
        </w:rPr>
        <w:t xml:space="preserve">Trigger 9  |  Axion Digital Infrastructure (Pty) Ltd  |  APC 2026 September Qualifying Exam  |  Document 7, page 18 — hyperlinked by the CFO</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How to read this document.</w:t>
            </w:r>
            <w:r>
              <w:rPr>
                <w:rFonts w:ascii="Arial" w:cs="Arial" w:eastAsia="Arial" w:hAnsi="Arial"/>
                <w:b w:val="false"/>
                <w:bCs w:val="false"/>
                <w:i w:val="false"/>
                <w:iCs w:val="false"/>
                <w:color w:val="000000"/>
                <w:sz w:val="18"/>
                <w:szCs w:val="18"/>
              </w:rPr>
              <w:t xml:space="preserve"> Legislation and technical principle are in </w:t>
            </w:r>
            <w:r>
              <w:rPr>
                <w:rFonts w:ascii="Arial" w:cs="Arial" w:eastAsia="Arial" w:hAnsi="Arial"/>
                <w:b/>
                <w:bCs/>
                <w:i w:val="false"/>
                <w:iCs w:val="false"/>
                <w:color w:val="000000"/>
                <w:sz w:val="18"/>
                <w:szCs w:val="18"/>
              </w:rPr>
              <w:t xml:space="preserve">black</w:t>
            </w:r>
            <w:r>
              <w:rPr>
                <w:rFonts w:ascii="Arial" w:cs="Arial" w:eastAsia="Arial" w:hAnsi="Arial"/>
                <w:b w:val="false"/>
                <w:bCs w:val="false"/>
                <w:i w:val="false"/>
                <w:iCs w:val="false"/>
                <w:color w:val="000000"/>
                <w:sz w:val="18"/>
                <w:szCs w:val="18"/>
              </w:rPr>
              <w:t xml:space="preserve">. Application to Axion is in </w:t>
            </w:r>
            <w:r>
              <w:rPr>
                <w:rFonts w:ascii="Arial" w:cs="Arial" w:eastAsia="Arial" w:hAnsi="Arial"/>
                <w:b w:val="false"/>
                <w:bCs w:val="false"/>
                <w:i w:val="false"/>
                <w:iCs w:val="false"/>
                <w:color w:val="0070C0"/>
                <w:sz w:val="18"/>
                <w:szCs w:val="18"/>
              </w:rPr>
              <w:t xml:space="preserve">blue</w:t>
            </w:r>
            <w:r>
              <w:rPr>
                <w:rFonts w:ascii="Arial" w:cs="Arial" w:eastAsia="Arial" w:hAnsi="Arial"/>
                <w:b w:val="false"/>
                <w:bCs w:val="false"/>
                <w:i w:val="false"/>
                <w:iCs w:val="false"/>
                <w:color w:val="000000"/>
                <w:sz w:val="18"/>
                <w:szCs w:val="18"/>
              </w:rPr>
              <w:t xml:space="preserve">.</w:t>
            </w:r>
          </w:p>
          <w:p>
            <w:pPr>
              <w:keepNext w:val="false"/>
              <w:spacing w:after="60" w:before="0" w:line="250" w:lineRule="auto"/>
            </w:pPr>
            <w:r>
              <w:rPr>
                <w:rFonts w:ascii="Arial" w:cs="Arial" w:eastAsia="Arial" w:hAnsi="Arial"/>
                <w:b/>
                <w:bCs/>
                <w:i w:val="false"/>
                <w:iCs w:val="false"/>
                <w:color w:val="000000"/>
                <w:sz w:val="18"/>
                <w:szCs w:val="18"/>
              </w:rPr>
              <w:t xml:space="preserve">Verify before you rely on it.</w:t>
            </w:r>
            <w:r>
              <w:rPr>
                <w:rFonts w:ascii="Arial" w:cs="Arial" w:eastAsia="Arial" w:hAnsi="Arial"/>
                <w:b w:val="false"/>
                <w:bCs w:val="false"/>
                <w:i w:val="false"/>
                <w:iCs w:val="false"/>
                <w:color w:val="000000"/>
                <w:sz w:val="18"/>
                <w:szCs w:val="18"/>
              </w:rPr>
              <w:t xml:space="preserve"> Section numbers, rates, thresholds and sunset dates in this document are written from knowledge and must be checked against your SAICA Income Tax Act handbook and the SARS guide the CFO linked to, before the exam. Items flagged </w:t>
            </w:r>
            <w:r>
              <w:rPr>
                <w:rFonts w:ascii="Arial" w:cs="Arial" w:eastAsia="Arial" w:hAnsi="Arial"/>
                <w:b/>
                <w:bCs/>
                <w:i w:val="false"/>
                <w:iCs w:val="false"/>
                <w:color w:val="000000"/>
                <w:sz w:val="18"/>
                <w:szCs w:val="18"/>
              </w:rPr>
              <w:t xml:space="preserve">[confirm]</w:t>
            </w:r>
            <w:r>
              <w:rPr>
                <w:rFonts w:ascii="Arial" w:cs="Arial" w:eastAsia="Arial" w:hAnsi="Arial"/>
                <w:b w:val="false"/>
                <w:bCs w:val="false"/>
                <w:i w:val="false"/>
                <w:iCs w:val="false"/>
                <w:color w:val="000000"/>
                <w:sz w:val="18"/>
                <w:szCs w:val="18"/>
              </w:rPr>
              <w:t xml:space="preserve"> are the ones most likely to have moved. Do not take a rate into the exam that you have not seen in the Act yourself.</w:t>
            </w:r>
          </w:p>
          <w:p>
            <w:pPr>
              <w:keepNext w:val="false"/>
              <w:spacing w:after="0" w:before="0" w:line="250" w:lineRule="auto"/>
            </w:pPr>
            <w:r>
              <w:rPr>
                <w:rFonts w:ascii="Arial" w:cs="Arial" w:eastAsia="Arial" w:hAnsi="Arial"/>
                <w:b/>
                <w:bCs/>
                <w:i w:val="false"/>
                <w:iCs w:val="false"/>
                <w:color w:val="000000"/>
                <w:sz w:val="18"/>
                <w:szCs w:val="18"/>
              </w:rPr>
              <w:t xml:space="preserve">Why this trigger is high priority.</w:t>
            </w:r>
            <w:r>
              <w:rPr>
                <w:rFonts w:ascii="Arial" w:cs="Arial" w:eastAsia="Arial" w:hAnsi="Arial"/>
                <w:b w:val="false"/>
                <w:bCs w:val="false"/>
                <w:i w:val="false"/>
                <w:iCs w:val="false"/>
                <w:color w:val="000000"/>
                <w:sz w:val="18"/>
                <w:szCs w:val="18"/>
              </w:rPr>
              <w:t xml:space="preserve"> The CFO gave a live hyperlink to a named SARS guide. A named, hyperlinked source in a pre-release is always examined. The guide covers sections 12B, 12BA and 12U of the Income Tax Act 58 of 1962.</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PART A — Income tax</w:t>
      </w:r>
    </w:p>
    <w:p>
      <w:pPr>
        <w:keepNext/>
        <w:spacing w:after="70" w:before="200" w:line="250" w:lineRule="auto"/>
      </w:pPr>
      <w:r>
        <w:rPr>
          <w:rFonts w:ascii="Arial" w:cs="Arial" w:eastAsia="Arial" w:hAnsi="Arial"/>
          <w:b/>
          <w:bCs/>
          <w:i w:val="false"/>
          <w:iCs w:val="false"/>
          <w:color w:val="000000"/>
          <w:sz w:val="22"/>
          <w:szCs w:val="22"/>
        </w:rPr>
        <w:t xml:space="preserve">The trigger, in one paragraph</w:t>
      </w:r>
    </w:p>
    <w:p>
      <w:pPr>
        <w:keepNext w:val="false"/>
        <w:spacing w:after="70" w:before="0" w:line="250" w:lineRule="auto"/>
      </w:pPr>
      <w:r>
        <w:rPr>
          <w:rFonts w:ascii="Arial" w:cs="Arial" w:eastAsia="Arial" w:hAnsi="Arial"/>
          <w:b w:val="false"/>
          <w:bCs w:val="false"/>
          <w:i w:val="false"/>
          <w:iCs w:val="false"/>
          <w:color w:val="000000"/>
          <w:sz w:val="19"/>
          <w:szCs w:val="19"/>
        </w:rPr>
        <w:t xml:space="preserve">Document 7 sets out three ways Axion could secure renewable electricity: additional power purchase agreements, direct investment in generation capacity (possibly with a technical partner), or off-site generation supplied through a wheeling arrangement. The CFO then asks us to familiarise ourselves with the related income tax considerations and links to the SARS guide on renewable energy allowances. </w:t>
      </w:r>
      <w:r>
        <w:rPr>
          <w:rFonts w:ascii="Arial" w:cs="Arial" w:eastAsia="Arial" w:hAnsi="Arial"/>
          <w:b w:val="false"/>
          <w:bCs w:val="false"/>
          <w:i w:val="false"/>
          <w:iCs w:val="false"/>
          <w:color w:val="0070C0"/>
          <w:sz w:val="19"/>
          <w:szCs w:val="19"/>
        </w:rPr>
        <w:t xml:space="preserve">The tax question is therefore not free-standing: it is an input into the choice between those three routes. If we compare them before tax we will flatter the PPA route, because only the ownership routes attract capital allowances. Any comparison must be done after tax.</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Section 12B — deduction for renewable energy plant</w:t>
      </w:r>
    </w:p>
    <w:p>
      <w:pPr>
        <w:keepNext/>
        <w:spacing w:after="70" w:before="200" w:line="250" w:lineRule="auto"/>
      </w:pPr>
      <w:r>
        <w:rPr>
          <w:rFonts w:ascii="Arial" w:cs="Arial" w:eastAsia="Arial" w:hAnsi="Arial"/>
          <w:b/>
          <w:bCs/>
          <w:i w:val="false"/>
          <w:iCs w:val="false"/>
          <w:color w:val="000000"/>
          <w:sz w:val="22"/>
          <w:szCs w:val="22"/>
        </w:rPr>
        <w:t xml:space="preserve">What the section allows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12B(1)(h)</w:t>
      </w:r>
      <w:r>
        <w:rPr>
          <w:rFonts w:ascii="Arial" w:cs="Arial" w:eastAsia="Arial" w:hAnsi="Arial"/>
          <w:b w:val="false"/>
          <w:bCs w:val="false"/>
          <w:i w:val="false"/>
          <w:iCs w:val="false"/>
          <w:color w:val="000000"/>
          <w:sz w:val="19"/>
          <w:szCs w:val="19"/>
        </w:rPr>
        <w:t xml:space="preserve"> grants a deduction in respect of any </w:t>
      </w:r>
      <w:r>
        <w:rPr>
          <w:rFonts w:ascii="Arial" w:cs="Arial" w:eastAsia="Arial" w:hAnsi="Arial"/>
          <w:b/>
          <w:bCs/>
          <w:i w:val="false"/>
          <w:iCs w:val="false"/>
          <w:color w:val="000000"/>
          <w:sz w:val="19"/>
          <w:szCs w:val="19"/>
        </w:rPr>
        <w:t xml:space="preserve">machinery, plant, implement, utensil or article</w:t>
      </w:r>
      <w:r>
        <w:rPr>
          <w:rFonts w:ascii="Arial" w:cs="Arial" w:eastAsia="Arial" w:hAnsi="Arial"/>
          <w:b w:val="false"/>
          <w:bCs w:val="false"/>
          <w:i w:val="false"/>
          <w:iCs w:val="false"/>
          <w:color w:val="000000"/>
          <w:sz w:val="19"/>
          <w:szCs w:val="19"/>
        </w:rPr>
        <w:t xml:space="preserve"> which is: (i) </w:t>
      </w:r>
      <w:r>
        <w:rPr>
          <w:rFonts w:ascii="Arial" w:cs="Arial" w:eastAsia="Arial" w:hAnsi="Arial"/>
          <w:b/>
          <w:bCs/>
          <w:i w:val="false"/>
          <w:iCs w:val="false"/>
          <w:color w:val="000000"/>
          <w:sz w:val="19"/>
          <w:szCs w:val="19"/>
        </w:rPr>
        <w:t xml:space="preserve">owned</w:t>
      </w:r>
      <w:r>
        <w:rPr>
          <w:rFonts w:ascii="Arial" w:cs="Arial" w:eastAsia="Arial" w:hAnsi="Arial"/>
          <w:b w:val="false"/>
          <w:bCs w:val="false"/>
          <w:i w:val="false"/>
          <w:iCs w:val="false"/>
          <w:color w:val="000000"/>
          <w:sz w:val="19"/>
          <w:szCs w:val="19"/>
        </w:rPr>
        <w:t xml:space="preserve"> by the taxpayer, or acquired by the taxpayer as purchaser under an </w:t>
      </w:r>
      <w:r>
        <w:rPr>
          <w:rFonts w:ascii="Arial" w:cs="Arial" w:eastAsia="Arial" w:hAnsi="Arial"/>
          <w:b/>
          <w:bCs/>
          <w:i w:val="false"/>
          <w:iCs w:val="false"/>
          <w:color w:val="000000"/>
          <w:sz w:val="19"/>
          <w:szCs w:val="19"/>
        </w:rPr>
        <w:t xml:space="preserve">instalment credit agreement</w:t>
      </w:r>
      <w:r>
        <w:rPr>
          <w:rFonts w:ascii="Arial" w:cs="Arial" w:eastAsia="Arial" w:hAnsi="Arial"/>
          <w:b w:val="false"/>
          <w:bCs w:val="false"/>
          <w:i w:val="false"/>
          <w:iCs w:val="false"/>
          <w:color w:val="000000"/>
          <w:sz w:val="19"/>
          <w:szCs w:val="19"/>
        </w:rPr>
        <w:t xml:space="preserve">; (ii) </w:t>
      </w:r>
      <w:r>
        <w:rPr>
          <w:rFonts w:ascii="Arial" w:cs="Arial" w:eastAsia="Arial" w:hAnsi="Arial"/>
          <w:b/>
          <w:bCs/>
          <w:i w:val="false"/>
          <w:iCs w:val="false"/>
          <w:color w:val="000000"/>
          <w:sz w:val="19"/>
          <w:szCs w:val="19"/>
        </w:rPr>
        <w:t xml:space="preserve">brought into use for the first time</w:t>
      </w:r>
      <w:r>
        <w:rPr>
          <w:rFonts w:ascii="Arial" w:cs="Arial" w:eastAsia="Arial" w:hAnsi="Arial"/>
          <w:b w:val="false"/>
          <w:bCs w:val="false"/>
          <w:i w:val="false"/>
          <w:iCs w:val="false"/>
          <w:color w:val="000000"/>
          <w:sz w:val="19"/>
          <w:szCs w:val="19"/>
        </w:rPr>
        <w:t xml:space="preserve"> by that taxpayer; (iii) for the purposes of that taxpayer’s </w:t>
      </w:r>
      <w:r>
        <w:rPr>
          <w:rFonts w:ascii="Arial" w:cs="Arial" w:eastAsia="Arial" w:hAnsi="Arial"/>
          <w:b/>
          <w:bCs/>
          <w:i w:val="false"/>
          <w:iCs w:val="false"/>
          <w:color w:val="000000"/>
          <w:sz w:val="19"/>
          <w:szCs w:val="19"/>
        </w:rPr>
        <w:t xml:space="preserve">trade</w:t>
      </w:r>
      <w:r>
        <w:rPr>
          <w:rFonts w:ascii="Arial" w:cs="Arial" w:eastAsia="Arial" w:hAnsi="Arial"/>
          <w:b w:val="false"/>
          <w:bCs w:val="false"/>
          <w:i w:val="false"/>
          <w:iCs w:val="false"/>
          <w:color w:val="000000"/>
          <w:sz w:val="19"/>
          <w:szCs w:val="19"/>
        </w:rPr>
        <w:t xml:space="preserve">; and (iv) used by that taxpayer in the </w:t>
      </w:r>
      <w:r>
        <w:rPr>
          <w:rFonts w:ascii="Arial" w:cs="Arial" w:eastAsia="Arial" w:hAnsi="Arial"/>
          <w:b/>
          <w:bCs/>
          <w:i w:val="false"/>
          <w:iCs w:val="false"/>
          <w:color w:val="000000"/>
          <w:sz w:val="19"/>
          <w:szCs w:val="19"/>
        </w:rPr>
        <w:t xml:space="preserve">generation of electricity</w:t>
      </w:r>
      <w:r>
        <w:rPr>
          <w:rFonts w:ascii="Arial" w:cs="Arial" w:eastAsia="Arial" w:hAnsi="Arial"/>
          <w:b w:val="false"/>
          <w:bCs w:val="false"/>
          <w:i w:val="false"/>
          <w:iCs w:val="false"/>
          <w:color w:val="000000"/>
          <w:sz w:val="19"/>
          <w:szCs w:val="19"/>
        </w:rPr>
        <w:t xml:space="preserve"> from a specified renewable source.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w:t>
      </w:r>
      <w:r>
        <w:rPr>
          <w:rFonts w:ascii="Arial" w:cs="Arial" w:eastAsia="Arial" w:hAnsi="Arial"/>
          <w:b/>
          <w:bCs/>
          <w:i w:val="false"/>
          <w:iCs w:val="false"/>
          <w:color w:val="000000"/>
          <w:sz w:val="19"/>
          <w:szCs w:val="19"/>
        </w:rPr>
        <w:t xml:space="preserve">specified sources</w:t>
      </w:r>
      <w:r>
        <w:rPr>
          <w:rFonts w:ascii="Arial" w:cs="Arial" w:eastAsia="Arial" w:hAnsi="Arial"/>
          <w:b w:val="false"/>
          <w:bCs w:val="false"/>
          <w:i w:val="false"/>
          <w:iCs w:val="false"/>
          <w:color w:val="000000"/>
          <w:sz w:val="19"/>
          <w:szCs w:val="19"/>
        </w:rPr>
        <w:t xml:space="preserve"> are: wind power; photovoltaic solar energy; concentrated solar energy; hydropower to produce electricity of </w:t>
      </w:r>
      <w:r>
        <w:rPr>
          <w:rFonts w:ascii="Arial" w:cs="Arial" w:eastAsia="Arial" w:hAnsi="Arial"/>
          <w:b/>
          <w:bCs/>
          <w:i w:val="false"/>
          <w:iCs w:val="false"/>
          <w:color w:val="000000"/>
          <w:sz w:val="19"/>
          <w:szCs w:val="19"/>
        </w:rPr>
        <w:t xml:space="preserve">not more than 30 megawatts</w:t>
      </w:r>
      <w:r>
        <w:rPr>
          <w:rFonts w:ascii="Arial" w:cs="Arial" w:eastAsia="Arial" w:hAnsi="Arial"/>
          <w:b w:val="false"/>
          <w:bCs w:val="false"/>
          <w:i w:val="false"/>
          <w:iCs w:val="false"/>
          <w:color w:val="000000"/>
          <w:sz w:val="19"/>
          <w:szCs w:val="19"/>
        </w:rPr>
        <w:t xml:space="preserve">; and biomass comprising organic wastes, landfill gas or plant material. </w:t>
      </w:r>
      <w:r>
        <w:rPr>
          <w:rFonts w:ascii="Arial" w:cs="Arial" w:eastAsia="Arial" w:hAnsi="Arial"/>
          <w:b/>
          <w:bCs/>
          <w:i w:val="false"/>
          <w:iCs w:val="false"/>
          <w:color w:val="000000"/>
          <w:sz w:val="19"/>
          <w:szCs w:val="19"/>
        </w:rPr>
        <w:t xml:space="preserve">[confirm the current list and the hydro threshold]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Rate — section 12B(2):</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50%</w:t>
      </w:r>
      <w:r>
        <w:rPr>
          <w:rFonts w:ascii="Arial" w:cs="Arial" w:eastAsia="Arial" w:hAnsi="Arial"/>
          <w:b w:val="false"/>
          <w:bCs w:val="false"/>
          <w:i w:val="false"/>
          <w:iCs w:val="false"/>
          <w:color w:val="000000"/>
          <w:sz w:val="19"/>
          <w:szCs w:val="19"/>
        </w:rPr>
        <w:t xml:space="preserve"> of the cost in the year the asset is brought into use, </w:t>
      </w:r>
      <w:r>
        <w:rPr>
          <w:rFonts w:ascii="Arial" w:cs="Arial" w:eastAsia="Arial" w:hAnsi="Arial"/>
          <w:b/>
          <w:bCs/>
          <w:i w:val="false"/>
          <w:iCs w:val="false"/>
          <w:color w:val="000000"/>
          <w:sz w:val="19"/>
          <w:szCs w:val="19"/>
        </w:rPr>
        <w:t xml:space="preserve">30%</w:t>
      </w:r>
      <w:r>
        <w:rPr>
          <w:rFonts w:ascii="Arial" w:cs="Arial" w:eastAsia="Arial" w:hAnsi="Arial"/>
          <w:b w:val="false"/>
          <w:bCs w:val="false"/>
          <w:i w:val="false"/>
          <w:iCs w:val="false"/>
          <w:color w:val="000000"/>
          <w:sz w:val="19"/>
          <w:szCs w:val="19"/>
        </w:rPr>
        <w:t xml:space="preserve"> in the second year and </w:t>
      </w:r>
      <w:r>
        <w:rPr>
          <w:rFonts w:ascii="Arial" w:cs="Arial" w:eastAsia="Arial" w:hAnsi="Arial"/>
          <w:b/>
          <w:bCs/>
          <w:i w:val="false"/>
          <w:iCs w:val="false"/>
          <w:color w:val="000000"/>
          <w:sz w:val="19"/>
          <w:szCs w:val="19"/>
        </w:rPr>
        <w:t xml:space="preserve">20%</w:t>
      </w:r>
      <w:r>
        <w:rPr>
          <w:rFonts w:ascii="Arial" w:cs="Arial" w:eastAsia="Arial" w:hAnsi="Arial"/>
          <w:b w:val="false"/>
          <w:bCs w:val="false"/>
          <w:i w:val="false"/>
          <w:iCs w:val="false"/>
          <w:color w:val="000000"/>
          <w:sz w:val="19"/>
          <w:szCs w:val="19"/>
        </w:rPr>
        <w:t xml:space="preserve"> in the third year.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Accelerated rate:</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100%</w:t>
      </w:r>
      <w:r>
        <w:rPr>
          <w:rFonts w:ascii="Arial" w:cs="Arial" w:eastAsia="Arial" w:hAnsi="Arial"/>
          <w:b w:val="false"/>
          <w:bCs w:val="false"/>
          <w:i w:val="false"/>
          <w:iCs w:val="false"/>
          <w:color w:val="000000"/>
          <w:sz w:val="19"/>
          <w:szCs w:val="19"/>
        </w:rPr>
        <w:t xml:space="preserve"> in the year brought into use where the asset is used in the generation of electricity from </w:t>
      </w:r>
      <w:r>
        <w:rPr>
          <w:rFonts w:ascii="Arial" w:cs="Arial" w:eastAsia="Arial" w:hAnsi="Arial"/>
          <w:b/>
          <w:bCs/>
          <w:i w:val="false"/>
          <w:iCs w:val="false"/>
          <w:color w:val="000000"/>
          <w:sz w:val="19"/>
          <w:szCs w:val="19"/>
        </w:rPr>
        <w:t xml:space="preserve">photovoltaic solar energy of not more than one megawatt</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[confirm]</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allowance is </w:t>
      </w:r>
      <w:r>
        <w:rPr>
          <w:rFonts w:ascii="Arial" w:cs="Arial" w:eastAsia="Arial" w:hAnsi="Arial"/>
          <w:b/>
          <w:bCs/>
          <w:i w:val="false"/>
          <w:iCs w:val="false"/>
          <w:color w:val="000000"/>
          <w:sz w:val="19"/>
          <w:szCs w:val="19"/>
        </w:rPr>
        <w:t xml:space="preserve">not apportioned</w:t>
      </w:r>
      <w:r>
        <w:rPr>
          <w:rFonts w:ascii="Arial" w:cs="Arial" w:eastAsia="Arial" w:hAnsi="Arial"/>
          <w:b w:val="false"/>
          <w:bCs w:val="false"/>
          <w:i w:val="false"/>
          <w:iCs w:val="false"/>
          <w:color w:val="000000"/>
          <w:sz w:val="19"/>
          <w:szCs w:val="19"/>
        </w:rPr>
        <w:t xml:space="preserve"> for a part of a year of assessment. An asset brought into use on the last day of the year still attracts the full first-year percentage. This contrasts with section 11(e), which is apportioned.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deduction extends to </w:t>
      </w:r>
      <w:r>
        <w:rPr>
          <w:rFonts w:ascii="Arial" w:cs="Arial" w:eastAsia="Arial" w:hAnsi="Arial"/>
          <w:b/>
          <w:bCs/>
          <w:i w:val="false"/>
          <w:iCs w:val="false"/>
          <w:color w:val="000000"/>
          <w:sz w:val="19"/>
          <w:szCs w:val="19"/>
        </w:rPr>
        <w:t xml:space="preserve">improvements</w:t>
      </w:r>
      <w:r>
        <w:rPr>
          <w:rFonts w:ascii="Arial" w:cs="Arial" w:eastAsia="Arial" w:hAnsi="Arial"/>
          <w:b w:val="false"/>
          <w:bCs w:val="false"/>
          <w:i w:val="false"/>
          <w:iCs w:val="false"/>
          <w:color w:val="000000"/>
          <w:sz w:val="19"/>
          <w:szCs w:val="19"/>
        </w:rPr>
        <w:t xml:space="preserve"> (other than repairs) to a qualifying asset.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Foundations and supporting structures</w:t>
      </w:r>
      <w:r>
        <w:rPr>
          <w:rFonts w:ascii="Arial" w:cs="Arial" w:eastAsia="Arial" w:hAnsi="Arial"/>
          <w:b w:val="false"/>
          <w:bCs w:val="false"/>
          <w:i w:val="false"/>
          <w:iCs w:val="false"/>
          <w:color w:val="000000"/>
          <w:sz w:val="19"/>
          <w:szCs w:val="19"/>
        </w:rPr>
        <w:t xml:space="preserve"> designed for the machinery and constructed so as to be integrated with it are deemed to form part of the cost of the machinery. </w:t>
      </w:r>
      <w:r>
        <w:rPr>
          <w:rFonts w:ascii="Arial" w:cs="Arial" w:eastAsia="Arial" w:hAnsi="Arial"/>
          <w:b/>
          <w:bCs/>
          <w:i w:val="false"/>
          <w:iCs w:val="false"/>
          <w:color w:val="000000"/>
          <w:sz w:val="19"/>
          <w:szCs w:val="19"/>
        </w:rPr>
        <w:t xml:space="preserve">[confirm the exact subsection]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Cost</w:t>
      </w:r>
      <w:r>
        <w:rPr>
          <w:rFonts w:ascii="Arial" w:cs="Arial" w:eastAsia="Arial" w:hAnsi="Arial"/>
          <w:b w:val="false"/>
          <w:bCs w:val="false"/>
          <w:i w:val="false"/>
          <w:iCs w:val="false"/>
          <w:color w:val="000000"/>
          <w:sz w:val="19"/>
          <w:szCs w:val="19"/>
        </w:rPr>
        <w:t xml:space="preserve"> is the </w:t>
      </w:r>
      <w:r>
        <w:rPr>
          <w:rFonts w:ascii="Arial" w:cs="Arial" w:eastAsia="Arial" w:hAnsi="Arial"/>
          <w:b/>
          <w:bCs/>
          <w:i w:val="false"/>
          <w:iCs w:val="false"/>
          <w:color w:val="000000"/>
          <w:sz w:val="19"/>
          <w:szCs w:val="19"/>
        </w:rPr>
        <w:t xml:space="preserve">lesser of</w:t>
      </w:r>
      <w:r>
        <w:rPr>
          <w:rFonts w:ascii="Arial" w:cs="Arial" w:eastAsia="Arial" w:hAnsi="Arial"/>
          <w:b w:val="false"/>
          <w:bCs w:val="false"/>
          <w:i w:val="false"/>
          <w:iCs w:val="false"/>
          <w:color w:val="000000"/>
          <w:sz w:val="19"/>
          <w:szCs w:val="19"/>
        </w:rPr>
        <w:t xml:space="preserve"> the actual cost to the taxpayer and the cost that would have been incurred had the asset been acquired under a </w:t>
      </w:r>
      <w:r>
        <w:rPr>
          <w:rFonts w:ascii="Arial" w:cs="Arial" w:eastAsia="Arial" w:hAnsi="Arial"/>
          <w:b/>
          <w:bCs/>
          <w:i w:val="false"/>
          <w:iCs w:val="false"/>
          <w:color w:val="000000"/>
          <w:sz w:val="19"/>
          <w:szCs w:val="19"/>
        </w:rPr>
        <w:t xml:space="preserve">cash transaction concluded at arm’s length</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Section 12B does </w:t>
      </w:r>
      <w:r>
        <w:rPr>
          <w:rFonts w:ascii="Arial" w:cs="Arial" w:eastAsia="Arial" w:hAnsi="Arial"/>
          <w:b/>
          <w:bCs/>
          <w:i w:val="false"/>
          <w:iCs w:val="false"/>
          <w:color w:val="000000"/>
          <w:sz w:val="19"/>
          <w:szCs w:val="19"/>
        </w:rPr>
        <w:t xml:space="preserve">not</w:t>
      </w:r>
      <w:r>
        <w:rPr>
          <w:rFonts w:ascii="Arial" w:cs="Arial" w:eastAsia="Arial" w:hAnsi="Arial"/>
          <w:b w:val="false"/>
          <w:bCs w:val="false"/>
          <w:i w:val="false"/>
          <w:iCs w:val="false"/>
          <w:color w:val="000000"/>
          <w:sz w:val="19"/>
          <w:szCs w:val="19"/>
        </w:rPr>
        <w:t xml:space="preserve"> require the asset to be new and unused. Second-hand qualifying plant can attract the 50/30/20 allowance. </w:t>
      </w:r>
      <w:r>
        <w:rPr>
          <w:rFonts w:ascii="Arial" w:cs="Arial" w:eastAsia="Arial" w:hAnsi="Arial"/>
          <w:b/>
          <w:bCs/>
          <w:i w:val="false"/>
          <w:iCs w:val="false"/>
          <w:color w:val="000000"/>
          <w:sz w:val="19"/>
          <w:szCs w:val="19"/>
        </w:rPr>
        <w:t xml:space="preserve">[confirm — this is a key distinction from section 12BA]</w:t>
      </w:r>
    </w:p>
    <w:p>
      <w:pPr>
        <w:keepNext/>
        <w:spacing w:after="70" w:before="200" w:line="250" w:lineRule="auto"/>
      </w:pPr>
      <w:r>
        <w:rPr>
          <w:rFonts w:ascii="Arial" w:cs="Arial" w:eastAsia="Arial" w:hAnsi="Arial"/>
          <w:b/>
          <w:bCs/>
          <w:i w:val="false"/>
          <w:iCs w:val="false"/>
          <w:color w:val="000000"/>
          <w:sz w:val="22"/>
          <w:szCs w:val="22"/>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Direct investment route.</w:t>
      </w:r>
      <w:r>
        <w:rPr>
          <w:rFonts w:ascii="Arial" w:cs="Arial" w:eastAsia="Arial" w:hAnsi="Arial"/>
          <w:b w:val="false"/>
          <w:bCs w:val="false"/>
          <w:i w:val="false"/>
          <w:iCs w:val="false"/>
          <w:color w:val="0070C0"/>
          <w:sz w:val="19"/>
          <w:szCs w:val="19"/>
        </w:rPr>
        <w:t xml:space="preserve"> If Axion itself owns the generation plant and brings it into use in its own trade, section 12B applies. This is the only one of the three routes in Document 7 that gives Axion a capital allowance.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Which rate applies turns on capacity and technology.</w:t>
      </w:r>
      <w:r>
        <w:rPr>
          <w:rFonts w:ascii="Arial" w:cs="Arial" w:eastAsia="Arial" w:hAnsi="Arial"/>
          <w:b w:val="false"/>
          <w:bCs w:val="false"/>
          <w:i w:val="false"/>
          <w:iCs w:val="false"/>
          <w:color w:val="0070C0"/>
          <w:sz w:val="19"/>
          <w:szCs w:val="19"/>
        </w:rPr>
        <w:t xml:space="preserve"> Document 7 page 19 says Axion already has “on-site solar generation” supplementing supply at its facilities. Individual rooftop installations at a data centre are likely to be under 1MW each, which would attract the 100% first-year write-off. A utility-scale off-site project serving a campus that already draws 45MW will be far above 1MW, so the ordinary 50/30/20 applies.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30MW cap applies only to hydropower.</w:t>
      </w:r>
      <w:r>
        <w:rPr>
          <w:rFonts w:ascii="Arial" w:cs="Arial" w:eastAsia="Arial" w:hAnsi="Arial"/>
          <w:b w:val="false"/>
          <w:bCs w:val="false"/>
          <w:i w:val="false"/>
          <w:iCs w:val="false"/>
          <w:color w:val="0070C0"/>
          <w:sz w:val="19"/>
          <w:szCs w:val="19"/>
        </w:rPr>
        <w:t xml:space="preserve"> There is no capacity ceiling for wind or solar in section 12B, so a large solar or wind project does not fall out of the section on size alone. Do not carry the 30MW figure across to solar — that is an easy and visible error.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No apportionment is a real planning lever.</w:t>
      </w:r>
      <w:r>
        <w:rPr>
          <w:rFonts w:ascii="Arial" w:cs="Arial" w:eastAsia="Arial" w:hAnsi="Arial"/>
          <w:b w:val="false"/>
          <w:bCs w:val="false"/>
          <w:i w:val="false"/>
          <w:iCs w:val="false"/>
          <w:color w:val="0070C0"/>
          <w:sz w:val="19"/>
          <w:szCs w:val="19"/>
        </w:rPr>
        <w:t xml:space="preserve"> Axion’s year end is 30 June. Bringing a plant into use on 29 June rather than 1 July moves 50% (or 100%) of the cost a full year earlier. On a R400m project at 27% that is roughly R54m of tax a year earlier. This interacts directly with the grid connection timing issue in the JHB4 pack — if connection slips, the allowance slips with it.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Ask about the existing on-site solar.</w:t>
      </w:r>
      <w:r>
        <w:rPr>
          <w:rFonts w:ascii="Arial" w:cs="Arial" w:eastAsia="Arial" w:hAnsi="Arial"/>
          <w:b w:val="false"/>
          <w:bCs w:val="false"/>
          <w:i w:val="false"/>
          <w:iCs w:val="false"/>
          <w:color w:val="0070C0"/>
          <w:sz w:val="19"/>
          <w:szCs w:val="19"/>
        </w:rPr>
        <w:t xml:space="preserve"> It is already in use, so allowances may already be running through the FY2026 and FY2027 computations. We need to know when each installation was brought into use and what was claimed, because it affects both the current tax charge and any recoupment if plant is replaced.</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Section 12BA — the enhanced 125% allowance</w:t>
      </w:r>
    </w:p>
    <w:p>
      <w:pPr>
        <w:keepNext/>
        <w:spacing w:after="70" w:before="200" w:line="250" w:lineRule="auto"/>
      </w:pPr>
      <w:r>
        <w:rPr>
          <w:rFonts w:ascii="Arial" w:cs="Arial" w:eastAsia="Arial" w:hAnsi="Arial"/>
          <w:b/>
          <w:bCs/>
          <w:i w:val="false"/>
          <w:iCs w:val="false"/>
          <w:color w:val="000000"/>
          <w:sz w:val="22"/>
          <w:szCs w:val="22"/>
        </w:rPr>
        <w:t xml:space="preserve">What the section allowed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12BA</w:t>
      </w:r>
      <w:r>
        <w:rPr>
          <w:rFonts w:ascii="Arial" w:cs="Arial" w:eastAsia="Arial" w:hAnsi="Arial"/>
          <w:b w:val="false"/>
          <w:bCs w:val="false"/>
          <w:i w:val="false"/>
          <w:iCs w:val="false"/>
          <w:color w:val="000000"/>
          <w:sz w:val="19"/>
          <w:szCs w:val="19"/>
        </w:rPr>
        <w:t xml:space="preserve"> granted a deduction of </w:t>
      </w:r>
      <w:r>
        <w:rPr>
          <w:rFonts w:ascii="Arial" w:cs="Arial" w:eastAsia="Arial" w:hAnsi="Arial"/>
          <w:b/>
          <w:bCs/>
          <w:i w:val="false"/>
          <w:iCs w:val="false"/>
          <w:color w:val="000000"/>
          <w:sz w:val="19"/>
          <w:szCs w:val="19"/>
        </w:rPr>
        <w:t xml:space="preserve">125% of the cost</w:t>
      </w:r>
      <w:r>
        <w:rPr>
          <w:rFonts w:ascii="Arial" w:cs="Arial" w:eastAsia="Arial" w:hAnsi="Arial"/>
          <w:b w:val="false"/>
          <w:bCs w:val="false"/>
          <w:i w:val="false"/>
          <w:iCs w:val="false"/>
          <w:color w:val="000000"/>
          <w:sz w:val="19"/>
          <w:szCs w:val="19"/>
        </w:rPr>
        <w:t xml:space="preserve"> of qualifying renewable energy plant, claimed </w:t>
      </w:r>
      <w:r>
        <w:rPr>
          <w:rFonts w:ascii="Arial" w:cs="Arial" w:eastAsia="Arial" w:hAnsi="Arial"/>
          <w:b/>
          <w:bCs/>
          <w:i w:val="false"/>
          <w:iCs w:val="false"/>
          <w:color w:val="000000"/>
          <w:sz w:val="19"/>
          <w:szCs w:val="19"/>
        </w:rPr>
        <w:t xml:space="preserve">in full in the year the asset was brought into use</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asset had to be </w:t>
      </w:r>
      <w:r>
        <w:rPr>
          <w:rFonts w:ascii="Arial" w:cs="Arial" w:eastAsia="Arial" w:hAnsi="Arial"/>
          <w:b/>
          <w:bCs/>
          <w:i w:val="false"/>
          <w:iCs w:val="false"/>
          <w:color w:val="000000"/>
          <w:sz w:val="19"/>
          <w:szCs w:val="19"/>
        </w:rPr>
        <w:t xml:space="preserve">new and unused</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owned</w:t>
      </w:r>
      <w:r>
        <w:rPr>
          <w:rFonts w:ascii="Arial" w:cs="Arial" w:eastAsia="Arial" w:hAnsi="Arial"/>
          <w:b w:val="false"/>
          <w:bCs w:val="false"/>
          <w:i w:val="false"/>
          <w:iCs w:val="false"/>
          <w:color w:val="000000"/>
          <w:sz w:val="19"/>
          <w:szCs w:val="19"/>
        </w:rPr>
        <w:t xml:space="preserve"> by the taxpayer, </w:t>
      </w:r>
      <w:r>
        <w:rPr>
          <w:rFonts w:ascii="Arial" w:cs="Arial" w:eastAsia="Arial" w:hAnsi="Arial"/>
          <w:b/>
          <w:bCs/>
          <w:i w:val="false"/>
          <w:iCs w:val="false"/>
          <w:color w:val="000000"/>
          <w:sz w:val="19"/>
          <w:szCs w:val="19"/>
        </w:rPr>
        <w:t xml:space="preserve">brought into use for the first time</w:t>
      </w:r>
      <w:r>
        <w:rPr>
          <w:rFonts w:ascii="Arial" w:cs="Arial" w:eastAsia="Arial" w:hAnsi="Arial"/>
          <w:b w:val="false"/>
          <w:bCs w:val="false"/>
          <w:i w:val="false"/>
          <w:iCs w:val="false"/>
          <w:color w:val="000000"/>
          <w:sz w:val="19"/>
          <w:szCs w:val="19"/>
        </w:rPr>
        <w:t xml:space="preserve"> for the purposes of the taxpayer’s trade, and used in the generation of electricity from the same specified renewable sources as section 12B.</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Unlike section 12B, there was </w:t>
      </w:r>
      <w:r>
        <w:rPr>
          <w:rFonts w:ascii="Arial" w:cs="Arial" w:eastAsia="Arial" w:hAnsi="Arial"/>
          <w:b/>
          <w:bCs/>
          <w:i w:val="false"/>
          <w:iCs w:val="false"/>
          <w:color w:val="000000"/>
          <w:sz w:val="19"/>
          <w:szCs w:val="19"/>
        </w:rPr>
        <w:t xml:space="preserve">no generation capacity threshold</w:t>
      </w:r>
      <w:r>
        <w:rPr>
          <w:rFonts w:ascii="Arial" w:cs="Arial" w:eastAsia="Arial" w:hAnsi="Arial"/>
          <w:b w:val="false"/>
          <w:bCs w:val="false"/>
          <w:i w:val="false"/>
          <w:iCs w:val="false"/>
          <w:color w:val="000000"/>
          <w:sz w:val="19"/>
          <w:szCs w:val="19"/>
        </w:rPr>
        <w:t xml:space="preserve"> — the enhanced allowance was available regardless of the size of the project.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allowance was </w:t>
      </w:r>
      <w:r>
        <w:rPr>
          <w:rFonts w:ascii="Arial" w:cs="Arial" w:eastAsia="Arial" w:hAnsi="Arial"/>
          <w:b/>
          <w:bCs/>
          <w:i w:val="false"/>
          <w:iCs w:val="false"/>
          <w:color w:val="000000"/>
          <w:sz w:val="19"/>
          <w:szCs w:val="19"/>
        </w:rPr>
        <w:t xml:space="preserve">not apportioned</w:t>
      </w:r>
      <w:r>
        <w:rPr>
          <w:rFonts w:ascii="Arial" w:cs="Arial" w:eastAsia="Arial" w:hAnsi="Arial"/>
          <w:b w:val="false"/>
          <w:bCs w:val="false"/>
          <w:i w:val="false"/>
          <w:iCs w:val="false"/>
          <w:color w:val="000000"/>
          <w:sz w:val="19"/>
          <w:szCs w:val="19"/>
        </w:rPr>
        <w:t xml:space="preserve"> for part of a year.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The section applied only to assets brought into use on or after 1 March 2023 and before 1 March 2025.</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[confirm — and confirm whether any subsequent amendment extended, replaced or reintroduced it]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Sections 12B and 12BA are </w:t>
      </w:r>
      <w:r>
        <w:rPr>
          <w:rFonts w:ascii="Arial" w:cs="Arial" w:eastAsia="Arial" w:hAnsi="Arial"/>
          <w:b/>
          <w:bCs/>
          <w:i w:val="false"/>
          <w:iCs w:val="false"/>
          <w:color w:val="000000"/>
          <w:sz w:val="19"/>
          <w:szCs w:val="19"/>
        </w:rPr>
        <w:t xml:space="preserve">mutually exclusive</w:t>
      </w:r>
      <w:r>
        <w:rPr>
          <w:rFonts w:ascii="Arial" w:cs="Arial" w:eastAsia="Arial" w:hAnsi="Arial"/>
          <w:b w:val="false"/>
          <w:bCs w:val="false"/>
          <w:i w:val="false"/>
          <w:iCs w:val="false"/>
          <w:color w:val="000000"/>
          <w:sz w:val="19"/>
          <w:szCs w:val="19"/>
        </w:rPr>
        <w:t xml:space="preserve"> in respect of the same asset.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w:t>
      </w:r>
      <w:r>
        <w:rPr>
          <w:rFonts w:ascii="Arial" w:cs="Arial" w:eastAsia="Arial" w:hAnsi="Arial"/>
          <w:b/>
          <w:bCs/>
          <w:i w:val="false"/>
          <w:iCs w:val="false"/>
          <w:color w:val="000000"/>
          <w:sz w:val="19"/>
          <w:szCs w:val="19"/>
        </w:rPr>
        <w:t xml:space="preserve">specific recoupment rule</w:t>
      </w:r>
      <w:r>
        <w:rPr>
          <w:rFonts w:ascii="Arial" w:cs="Arial" w:eastAsia="Arial" w:hAnsi="Arial"/>
          <w:b w:val="false"/>
          <w:bCs w:val="false"/>
          <w:i w:val="false"/>
          <w:iCs w:val="false"/>
          <w:color w:val="000000"/>
          <w:sz w:val="19"/>
          <w:szCs w:val="19"/>
        </w:rPr>
        <w:t xml:space="preserve"> applied where an asset on which the 125% allowance was claimed was subsequently disposed of within a prescribed period. </w:t>
      </w:r>
      <w:r>
        <w:rPr>
          <w:rFonts w:ascii="Arial" w:cs="Arial" w:eastAsia="Arial" w:hAnsi="Arial"/>
          <w:b/>
          <w:bCs/>
          <w:i w:val="false"/>
          <w:iCs w:val="false"/>
          <w:color w:val="000000"/>
          <w:sz w:val="19"/>
          <w:szCs w:val="19"/>
        </w:rPr>
        <w:t xml:space="preserve">[confirm the wording and the period — do not guess this one]</w:t>
      </w:r>
    </w:p>
    <w:p>
      <w:pPr>
        <w:keepNext/>
        <w:spacing w:after="70" w:before="200" w:line="250" w:lineRule="auto"/>
      </w:pPr>
      <w:r>
        <w:rPr>
          <w:rFonts w:ascii="Arial" w:cs="Arial" w:eastAsia="Arial" w:hAnsi="Arial"/>
          <w:b/>
          <w:bCs/>
          <w:i w:val="false"/>
          <w:iCs w:val="false"/>
          <w:color w:val="000000"/>
          <w:sz w:val="22"/>
          <w:szCs w:val="22"/>
        </w:rPr>
        <w:t xml:space="preserve">Application to Axion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70C0"/>
                <w:sz w:val="18"/>
                <w:szCs w:val="18"/>
              </w:rPr>
              <w:t xml:space="preserve">The window has closed.</w:t>
            </w:r>
            <w:r>
              <w:rPr>
                <w:rFonts w:ascii="Arial" w:cs="Arial" w:eastAsia="Arial" w:hAnsi="Arial"/>
                <w:b w:val="false"/>
                <w:bCs w:val="false"/>
                <w:i w:val="false"/>
                <w:iCs w:val="false"/>
                <w:color w:val="0070C0"/>
                <w:sz w:val="18"/>
                <w:szCs w:val="18"/>
              </w:rPr>
              <w:t xml:space="preserve"> Section 12BA applied only to assets brought into use before 1 March 2025. Axion’s FY2026 ended on 30 June 2026, and any project arising from the Document 7 options would be brought into use in FY2027 at the earliest. </w:t>
            </w:r>
            <w:r>
              <w:rPr>
                <w:rFonts w:ascii="Arial" w:cs="Arial" w:eastAsia="Arial" w:hAnsi="Arial"/>
                <w:b/>
                <w:bCs/>
                <w:i w:val="false"/>
                <w:iCs w:val="false"/>
                <w:color w:val="0070C0"/>
                <w:sz w:val="18"/>
                <w:szCs w:val="18"/>
              </w:rPr>
              <w:t xml:space="preserve">The 125% allowance is not available for the renewable options now under consideration.</w:t>
            </w:r>
          </w:p>
          <w:p>
            <w:pPr>
              <w:keepNext w:val="false"/>
              <w:spacing w:after="0" w:before="0" w:line="250" w:lineRule="auto"/>
            </w:pPr>
            <w:r>
              <w:rPr>
                <w:rFonts w:ascii="Arial" w:cs="Arial" w:eastAsia="Arial" w:hAnsi="Arial"/>
                <w:b w:val="false"/>
                <w:bCs w:val="false"/>
                <w:i w:val="false"/>
                <w:iCs w:val="false"/>
                <w:color w:val="0070C0"/>
                <w:sz w:val="18"/>
                <w:szCs w:val="18"/>
              </w:rPr>
              <w:t xml:space="preserve">Being able to say this, rather than claiming an allowance that has lapsed, is the point. In the August paper the tax task was decided by exactly this kind of precision — candidates who reached for the nearest plausible provision instead of working the facts lost the task.</w:t>
            </w:r>
          </w:p>
        </w:tc>
      </w:tr>
    </w:tbl>
    <w:p>
      <w:pPr>
        <w:keepNext w:val="false"/>
        <w:spacing w:after="0" w:before="0" w:line="250" w:lineRule="auto"/>
      </w:pPr>
      <w:r>
        <w:rPr>
          <w:rFonts w:ascii="Arial" w:cs="Arial" w:eastAsia="Arial" w:hAnsi="Arial"/>
          <w:sz w:val="10"/>
          <w:szCs w:val="10"/>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But check the existing assets.</w:t>
      </w:r>
      <w:r>
        <w:rPr>
          <w:rFonts w:ascii="Arial" w:cs="Arial" w:eastAsia="Arial" w:hAnsi="Arial"/>
          <w:b w:val="false"/>
          <w:bCs w:val="false"/>
          <w:i w:val="false"/>
          <w:iCs w:val="false"/>
          <w:color w:val="0070C0"/>
          <w:sz w:val="19"/>
          <w:szCs w:val="19"/>
        </w:rPr>
        <w:t xml:space="preserve"> If any of Axion’s on-site solar was brought into use between 1 March 2023 and 28 February 2025, a 125% allowance may already sit in the tax computation. That matters for two reasons: the effective tax rate reconciliation in those years, and a potential recoupment exposure if that plant is later disposed of or replaced.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Do not assume the sunset is the end of the story.</w:t>
      </w:r>
      <w:r>
        <w:rPr>
          <w:rFonts w:ascii="Arial" w:cs="Arial" w:eastAsia="Arial" w:hAnsi="Arial"/>
          <w:b w:val="false"/>
          <w:bCs w:val="false"/>
          <w:i w:val="false"/>
          <w:iCs w:val="false"/>
          <w:color w:val="0070C0"/>
          <w:sz w:val="19"/>
          <w:szCs w:val="19"/>
        </w:rPr>
        <w:t xml:space="preserve"> Government has a stated policy interest in accelerating private generation. Confirm from the current Act whether anything replaced section 12BA. If a replacement incentive exists, it changes the economics of the direct investment route materially.</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Section 12U — roads and fences for renewable generation</w:t>
      </w:r>
    </w:p>
    <w:p>
      <w:pPr>
        <w:keepNext/>
        <w:spacing w:after="70" w:before="200" w:line="250" w:lineRule="auto"/>
      </w:pPr>
      <w:r>
        <w:rPr>
          <w:rFonts w:ascii="Arial" w:cs="Arial" w:eastAsia="Arial" w:hAnsi="Arial"/>
          <w:b/>
          <w:bCs/>
          <w:i w:val="false"/>
          <w:iCs w:val="false"/>
          <w:color w:val="000000"/>
          <w:sz w:val="22"/>
          <w:szCs w:val="22"/>
        </w:rPr>
        <w:t xml:space="preserve">What the section allows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12U</w:t>
      </w:r>
      <w:r>
        <w:rPr>
          <w:rFonts w:ascii="Arial" w:cs="Arial" w:eastAsia="Arial" w:hAnsi="Arial"/>
          <w:b w:val="false"/>
          <w:bCs w:val="false"/>
          <w:i w:val="false"/>
          <w:iCs w:val="false"/>
          <w:color w:val="000000"/>
          <w:sz w:val="19"/>
          <w:szCs w:val="19"/>
        </w:rPr>
        <w:t xml:space="preserve"> allows a deduction for expenditure incurred on the </w:t>
      </w:r>
      <w:r>
        <w:rPr>
          <w:rFonts w:ascii="Arial" w:cs="Arial" w:eastAsia="Arial" w:hAnsi="Arial"/>
          <w:b/>
          <w:bCs/>
          <w:i w:val="false"/>
          <w:iCs w:val="false"/>
          <w:color w:val="000000"/>
          <w:sz w:val="19"/>
          <w:szCs w:val="19"/>
        </w:rPr>
        <w:t xml:space="preserve">construction of roads</w:t>
      </w:r>
      <w:r>
        <w:rPr>
          <w:rFonts w:ascii="Arial" w:cs="Arial" w:eastAsia="Arial" w:hAnsi="Arial"/>
          <w:b w:val="false"/>
          <w:bCs w:val="false"/>
          <w:i w:val="false"/>
          <w:iCs w:val="false"/>
          <w:color w:val="000000"/>
          <w:sz w:val="19"/>
          <w:szCs w:val="19"/>
        </w:rPr>
        <w:t xml:space="preserve"> and the </w:t>
      </w:r>
      <w:r>
        <w:rPr>
          <w:rFonts w:ascii="Arial" w:cs="Arial" w:eastAsia="Arial" w:hAnsi="Arial"/>
          <w:b/>
          <w:bCs/>
          <w:i w:val="false"/>
          <w:iCs w:val="false"/>
          <w:color w:val="000000"/>
          <w:sz w:val="19"/>
          <w:szCs w:val="19"/>
        </w:rPr>
        <w:t xml:space="preserve">erection of fences</w:t>
      </w:r>
      <w:r>
        <w:rPr>
          <w:rFonts w:ascii="Arial" w:cs="Arial" w:eastAsia="Arial" w:hAnsi="Arial"/>
          <w:b w:val="false"/>
          <w:bCs w:val="false"/>
          <w:i w:val="false"/>
          <w:iCs w:val="false"/>
          <w:color w:val="000000"/>
          <w:sz w:val="19"/>
          <w:szCs w:val="19"/>
        </w:rPr>
        <w:t xml:space="preserve">, and improvements to them, used in connection with the generation of electricity from the specified renewable sources.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deduction is available where the electricity generated </w:t>
      </w:r>
      <w:r>
        <w:rPr>
          <w:rFonts w:ascii="Arial" w:cs="Arial" w:eastAsia="Arial" w:hAnsi="Arial"/>
          <w:b/>
          <w:bCs/>
          <w:i w:val="false"/>
          <w:iCs w:val="false"/>
          <w:color w:val="000000"/>
          <w:sz w:val="19"/>
          <w:szCs w:val="19"/>
        </w:rPr>
        <w:t xml:space="preserve">exceeds 5 megawatts</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[confirm the threshold and how it is measured]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expenditure is deducted </w:t>
      </w:r>
      <w:r>
        <w:rPr>
          <w:rFonts w:ascii="Arial" w:cs="Arial" w:eastAsia="Arial" w:hAnsi="Arial"/>
          <w:b/>
          <w:bCs/>
          <w:i w:val="false"/>
          <w:iCs w:val="false"/>
          <w:color w:val="000000"/>
          <w:sz w:val="19"/>
          <w:szCs w:val="19"/>
        </w:rPr>
        <w:t xml:space="preserve">in full in the year in which it is incurred</w:t>
      </w:r>
      <w:r>
        <w:rPr>
          <w:rFonts w:ascii="Arial" w:cs="Arial" w:eastAsia="Arial" w:hAnsi="Arial"/>
          <w:b w:val="false"/>
          <w:bCs w:val="false"/>
          <w:i w:val="false"/>
          <w:iCs w:val="false"/>
          <w:color w:val="000000"/>
          <w:sz w:val="19"/>
          <w:szCs w:val="19"/>
        </w:rPr>
        <w:t xml:space="preserve">, rather than spread over a period.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[confirm]</w:t>
      </w:r>
      <w:r>
        <w:rPr>
          <w:rFonts w:ascii="Arial" w:cs="Arial" w:eastAsia="Arial" w:hAnsi="Arial"/>
          <w:b w:val="false"/>
          <w:bCs w:val="false"/>
          <w:i w:val="false"/>
          <w:iCs w:val="false"/>
          <w:color w:val="000000"/>
          <w:sz w:val="19"/>
          <w:szCs w:val="19"/>
        </w:rPr>
        <w:t xml:space="preserve"> whether section 12U extends beyond roads and fences to transmission lines, substations and other supporting infrastructure, or whether that expenditure must be dealt with under section 12B, section 13quin or section 11(e). This is the single most important open question on this section for Axion.</w:t>
      </w:r>
    </w:p>
    <w:p>
      <w:pPr>
        <w:keepNext/>
        <w:spacing w:after="70" w:before="200" w:line="250" w:lineRule="auto"/>
      </w:pPr>
      <w:r>
        <w:rPr>
          <w:rFonts w:ascii="Arial" w:cs="Arial" w:eastAsia="Arial" w:hAnsi="Arial"/>
          <w:b/>
          <w:bCs/>
          <w:i w:val="false"/>
          <w:iCs w:val="false"/>
          <w:color w:val="000000"/>
          <w:sz w:val="22"/>
          <w:szCs w:val="22"/>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 utility-scale off-site project of the kind contemplated in Document 7 would comfortably exceed 5MW, so section 12U is in point for site access roads and perimeter fencing.</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Grid and transmission infrastructure is the real question.</w:t>
      </w:r>
      <w:r>
        <w:rPr>
          <w:rFonts w:ascii="Arial" w:cs="Arial" w:eastAsia="Arial" w:hAnsi="Arial"/>
          <w:b w:val="false"/>
          <w:bCs w:val="false"/>
          <w:i w:val="false"/>
          <w:iCs w:val="false"/>
          <w:color w:val="0070C0"/>
          <w:sz w:val="19"/>
          <w:szCs w:val="19"/>
        </w:rPr>
        <w:t xml:space="preserve"> Document 7 page 19 states that each new development requires “access to sufficient electricity and supporting transmission and distribution infrastructure”, and page 20 describes electricity being “transmitted and wheeled” to an agreed metering point. The cost of connecting a generation site to the network could be very large. We must be able to say which section covers it rather than lumping it in with the plant.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If generation is </w:t>
      </w:r>
      <w:r>
        <w:rPr>
          <w:rFonts w:ascii="Arial" w:cs="Arial" w:eastAsia="Arial" w:hAnsi="Arial"/>
          <w:b/>
          <w:bCs/>
          <w:i w:val="false"/>
          <w:iCs w:val="false"/>
          <w:color w:val="0070C0"/>
          <w:sz w:val="19"/>
          <w:szCs w:val="19"/>
        </w:rPr>
        <w:t xml:space="preserve">below 5MW</w:t>
      </w:r>
      <w:r>
        <w:rPr>
          <w:rFonts w:ascii="Arial" w:cs="Arial" w:eastAsia="Arial" w:hAnsi="Arial"/>
          <w:b w:val="false"/>
          <w:bCs w:val="false"/>
          <w:i w:val="false"/>
          <w:iCs w:val="false"/>
          <w:color w:val="0070C0"/>
          <w:sz w:val="19"/>
          <w:szCs w:val="19"/>
        </w:rPr>
        <w:t xml:space="preserve"> — for example incremental rooftop solar at an existing facility — section 12U is not available and the associated civil works fall back to first principles: capital in nature, no specific allowance, so consider section 13quin or section 11(e) depending on what the expenditure actually is.</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The three sections side by side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2678"/>
        <w:gridCol w:w="2678"/>
        <w:gridCol w:w="2678"/>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 12B</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 12BA</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 12U</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What it covers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Renewable energy plant and machinery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Renewable energy plant and machinery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Roads and fences for renewable generation</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Rate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val="false"/>
                <w:bCs w:val="false"/>
                <w:i w:val="false"/>
                <w:iCs w:val="false"/>
                <w:color w:val="000000"/>
                <w:sz w:val="18"/>
                <w:szCs w:val="18"/>
              </w:rPr>
              <w:t xml:space="preserve">50% / 30% / 20% over three years.</w:t>
            </w:r>
          </w:p>
          <w:p>
            <w:pPr>
              <w:keepNext w:val="false"/>
              <w:spacing w:after="0" w:before="0" w:line="250" w:lineRule="auto"/>
            </w:pPr>
            <w:r>
              <w:rPr>
                <w:rFonts w:ascii="Arial" w:cs="Arial" w:eastAsia="Arial" w:hAnsi="Arial"/>
                <w:b w:val="false"/>
                <w:bCs w:val="false"/>
                <w:i w:val="false"/>
                <w:iCs w:val="false"/>
                <w:color w:val="000000"/>
                <w:sz w:val="18"/>
                <w:szCs w:val="18"/>
              </w:rPr>
              <w:t xml:space="preserve">100% for PV solar not exceeding 1MW</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125% in the year brought into use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100% in the year incurred</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and unused?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required </w:t>
            </w:r>
            <w:r>
              <w:rPr>
                <w:rFonts w:ascii="Arial" w:cs="Arial" w:eastAsia="Arial" w:hAnsi="Arial"/>
                <w:b/>
                <w:bCs/>
                <w:i w:val="false"/>
                <w:iCs w:val="false"/>
                <w:color w:val="000000"/>
                <w:sz w:val="18"/>
                <w:szCs w:val="18"/>
              </w:rPr>
              <w:t xml:space="preserve">[confirm]</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Required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n/a</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Capacity limit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30MW for hydro only. No limit for wind or solar</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None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Only available above 5MW</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Apportioned for part-year?</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n/a — deducted when incurred</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Available to Axion now?</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Yes</w:t>
            </w:r>
            <w:r>
              <w:rPr>
                <w:rFonts w:ascii="Arial" w:cs="Arial" w:eastAsia="Arial" w:hAnsi="Arial"/>
                <w:b w:val="false"/>
                <w:bCs w:val="false"/>
                <w:i w:val="false"/>
                <w:iCs w:val="false"/>
                <w:color w:val="0070C0"/>
                <w:sz w:val="18"/>
                <w:szCs w:val="18"/>
              </w:rPr>
              <w:t xml:space="preserve"> — if Axion owns the plant and brings it into use in its own trade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w:t>
            </w:r>
            <w:r>
              <w:rPr>
                <w:rFonts w:ascii="Arial" w:cs="Arial" w:eastAsia="Arial" w:hAnsi="Arial"/>
                <w:b w:val="false"/>
                <w:bCs w:val="false"/>
                <w:i w:val="false"/>
                <w:iCs w:val="false"/>
                <w:color w:val="0070C0"/>
                <w:sz w:val="18"/>
                <w:szCs w:val="18"/>
              </w:rPr>
              <w:t xml:space="preserve"> — the window closed on 28 February 2025</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Yes</w:t>
            </w:r>
            <w:r>
              <w:rPr>
                <w:rFonts w:ascii="Arial" w:cs="Arial" w:eastAsia="Arial" w:hAnsi="Arial"/>
                <w:b w:val="false"/>
                <w:bCs w:val="false"/>
                <w:i w:val="false"/>
                <w:iCs w:val="false"/>
                <w:color w:val="0070C0"/>
                <w:sz w:val="18"/>
                <w:szCs w:val="18"/>
              </w:rPr>
              <w:t xml:space="preserve"> — if the project exceeds 5MW</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Who actually gets the allowance — the structuring question</w:t>
      </w:r>
    </w:p>
    <w:p>
      <w:pPr>
        <w:keepNext w:val="false"/>
        <w:spacing w:after="70" w:before="0" w:line="250" w:lineRule="auto"/>
      </w:pPr>
      <w:r>
        <w:rPr>
          <w:rFonts w:ascii="Arial" w:cs="Arial" w:eastAsia="Arial" w:hAnsi="Arial"/>
          <w:b w:val="false"/>
          <w:bCs w:val="false"/>
          <w:i w:val="false"/>
          <w:iCs w:val="false"/>
          <w:color w:val="000000"/>
          <w:sz w:val="19"/>
          <w:szCs w:val="19"/>
        </w:rPr>
        <w:t xml:space="preserve">This is the most important practical point on the whole trigger, and it is the one most likely to be examined, because Document 7 says the direct investment would be made “potentially with an experienced technical partner”.</w:t>
      </w:r>
    </w:p>
    <w:p>
      <w:pPr>
        <w:keepNext/>
        <w:spacing w:after="70" w:before="200" w:line="250" w:lineRule="auto"/>
      </w:pPr>
      <w:r>
        <w:rPr>
          <w:rFonts w:ascii="Arial" w:cs="Arial" w:eastAsia="Arial" w:hAnsi="Arial"/>
          <w:b/>
          <w:bCs/>
          <w:i w:val="false"/>
          <w:iCs w:val="false"/>
          <w:color w:val="000000"/>
          <w:sz w:val="22"/>
          <w:szCs w:val="22"/>
        </w:rPr>
        <w:t xml:space="preserve">The principle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capital allowance belongs to the person who </w:t>
      </w:r>
      <w:r>
        <w:rPr>
          <w:rFonts w:ascii="Arial" w:cs="Arial" w:eastAsia="Arial" w:hAnsi="Arial"/>
          <w:b/>
          <w:bCs/>
          <w:i w:val="false"/>
          <w:iCs w:val="false"/>
          <w:color w:val="000000"/>
          <w:sz w:val="19"/>
          <w:szCs w:val="19"/>
        </w:rPr>
        <w:t xml:space="preserve">owns</w:t>
      </w:r>
      <w:r>
        <w:rPr>
          <w:rFonts w:ascii="Arial" w:cs="Arial" w:eastAsia="Arial" w:hAnsi="Arial"/>
          <w:b w:val="false"/>
          <w:bCs w:val="false"/>
          <w:i w:val="false"/>
          <w:iCs w:val="false"/>
          <w:color w:val="000000"/>
          <w:sz w:val="19"/>
          <w:szCs w:val="19"/>
        </w:rPr>
        <w:t xml:space="preserve"> the asset (or holds it as purchaser under an instalment credit agreement), </w:t>
      </w:r>
      <w:r>
        <w:rPr>
          <w:rFonts w:ascii="Arial" w:cs="Arial" w:eastAsia="Arial" w:hAnsi="Arial"/>
          <w:b/>
          <w:bCs/>
          <w:i w:val="false"/>
          <w:iCs w:val="false"/>
          <w:color w:val="000000"/>
          <w:sz w:val="19"/>
          <w:szCs w:val="19"/>
        </w:rPr>
        <w:t xml:space="preserve">brings it into use</w:t>
      </w:r>
      <w:r>
        <w:rPr>
          <w:rFonts w:ascii="Arial" w:cs="Arial" w:eastAsia="Arial" w:hAnsi="Arial"/>
          <w:b w:val="false"/>
          <w:bCs w:val="false"/>
          <w:i w:val="false"/>
          <w:iCs w:val="false"/>
          <w:color w:val="000000"/>
          <w:sz w:val="19"/>
          <w:szCs w:val="19"/>
        </w:rPr>
        <w:t xml:space="preserve">, and </w:t>
      </w:r>
      <w:r>
        <w:rPr>
          <w:rFonts w:ascii="Arial" w:cs="Arial" w:eastAsia="Arial" w:hAnsi="Arial"/>
          <w:b/>
          <w:bCs/>
          <w:i w:val="false"/>
          <w:iCs w:val="false"/>
          <w:color w:val="000000"/>
          <w:sz w:val="19"/>
          <w:szCs w:val="19"/>
        </w:rPr>
        <w:t xml:space="preserve">uses it in that person’s own trade in the production of income</w:t>
      </w:r>
      <w:r>
        <w:rPr>
          <w:rFonts w:ascii="Arial" w:cs="Arial" w:eastAsia="Arial" w:hAnsi="Arial"/>
          <w:b w:val="false"/>
          <w:bCs w:val="false"/>
          <w:i w:val="false"/>
          <w:iCs w:val="false"/>
          <w:color w:val="000000"/>
          <w:sz w:val="19"/>
          <w:szCs w:val="19"/>
        </w:rPr>
        <w:t xml:space="preserve">. All four elements must be present in the same taxpayer.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Partnership — section 24H.</w:t>
      </w:r>
      <w:r>
        <w:rPr>
          <w:rFonts w:ascii="Arial" w:cs="Arial" w:eastAsia="Arial" w:hAnsi="Arial"/>
          <w:b w:val="false"/>
          <w:bCs w:val="false"/>
          <w:i w:val="false"/>
          <w:iCs w:val="false"/>
          <w:color w:val="000000"/>
          <w:sz w:val="19"/>
          <w:szCs w:val="19"/>
        </w:rPr>
        <w:t xml:space="preserve"> A partnership is transparent for tax. Each partner is deemed to carry on the trade of the partnership and claims its </w:t>
      </w:r>
      <w:r>
        <w:rPr>
          <w:rFonts w:ascii="Arial" w:cs="Arial" w:eastAsia="Arial" w:hAnsi="Arial"/>
          <w:b/>
          <w:bCs/>
          <w:i w:val="false"/>
          <w:iCs w:val="false"/>
          <w:color w:val="000000"/>
          <w:sz w:val="19"/>
          <w:szCs w:val="19"/>
        </w:rPr>
        <w:t xml:space="preserve">proportionate share</w:t>
      </w:r>
      <w:r>
        <w:rPr>
          <w:rFonts w:ascii="Arial" w:cs="Arial" w:eastAsia="Arial" w:hAnsi="Arial"/>
          <w:b w:val="false"/>
          <w:bCs w:val="false"/>
          <w:i w:val="false"/>
          <w:iCs w:val="false"/>
          <w:color w:val="000000"/>
          <w:sz w:val="19"/>
          <w:szCs w:val="19"/>
        </w:rPr>
        <w:t xml:space="preserve"> of the allowance in its own return, against its own other income.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Company.</w:t>
      </w:r>
      <w:r>
        <w:rPr>
          <w:rFonts w:ascii="Arial" w:cs="Arial" w:eastAsia="Arial" w:hAnsi="Arial"/>
          <w:b w:val="false"/>
          <w:bCs w:val="false"/>
          <w:i w:val="false"/>
          <w:iCs w:val="false"/>
          <w:color w:val="000000"/>
          <w:sz w:val="19"/>
          <w:szCs w:val="19"/>
        </w:rPr>
        <w:t xml:space="preserve"> A company that owns the plant claims the allowance in its own right. Its shareholders get nothing directly, and the benefit is trapped in that company until it has taxable income.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Lessee.</w:t>
      </w:r>
      <w:r>
        <w:rPr>
          <w:rFonts w:ascii="Arial" w:cs="Arial" w:eastAsia="Arial" w:hAnsi="Arial"/>
          <w:b w:val="false"/>
          <w:bCs w:val="false"/>
          <w:i w:val="false"/>
          <w:iCs w:val="false"/>
          <w:color w:val="000000"/>
          <w:sz w:val="19"/>
          <w:szCs w:val="19"/>
        </w:rPr>
        <w:t xml:space="preserve"> A lessee does not own the asset and generally cannot claim, unless a provision such as section 12N (improvements on land not owned by the taxpayer) deems it to be the owner.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Buyer of electricity.</w:t>
      </w:r>
      <w:r>
        <w:rPr>
          <w:rFonts w:ascii="Arial" w:cs="Arial" w:eastAsia="Arial" w:hAnsi="Arial"/>
          <w:b w:val="false"/>
          <w:bCs w:val="false"/>
          <w:i w:val="false"/>
          <w:iCs w:val="false"/>
          <w:color w:val="000000"/>
          <w:sz w:val="19"/>
          <w:szCs w:val="19"/>
        </w:rPr>
        <w:t xml:space="preserve"> A person who merely buys the output has no asset and no allowance. Its deduction is the cost of the electricity under section 11(a).</w:t>
      </w:r>
    </w:p>
    <w:p>
      <w:pPr>
        <w:keepNext/>
        <w:spacing w:after="70" w:before="200" w:line="250" w:lineRule="auto"/>
      </w:pPr>
      <w:r>
        <w:rPr>
          <w:rFonts w:ascii="Arial" w:cs="Arial" w:eastAsia="Arial" w:hAnsi="Arial"/>
          <w:b/>
          <w:bCs/>
          <w:i w:val="false"/>
          <w:iCs w:val="false"/>
          <w:color w:val="000000"/>
          <w:sz w:val="22"/>
          <w:szCs w:val="22"/>
        </w:rPr>
        <w:t xml:space="preserve">What each of Axion’s three routes produces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3090"/>
        <w:gridCol w:w="2678"/>
        <w:gridCol w:w="2266"/>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Route</w:t>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Who owns the plant</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Who claims the allowance</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Axion’s deduction</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Additional PPAs</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independent power producer</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IPP — not Axion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Section 11(a) on electricity purchased, as incurred</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Direct investment — unincorporated joint operation or partnership</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Axion and the partner hold undivided shares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claims its </w:t>
            </w:r>
            <w:r>
              <w:rPr>
                <w:rFonts w:ascii="Arial" w:cs="Arial" w:eastAsia="Arial" w:hAnsi="Arial"/>
                <w:b/>
                <w:bCs/>
                <w:i w:val="false"/>
                <w:iCs w:val="false"/>
                <w:color w:val="0070C0"/>
                <w:sz w:val="18"/>
                <w:szCs w:val="18"/>
              </w:rPr>
              <w:t xml:space="preserve">share</w:t>
            </w:r>
            <w:r>
              <w:rPr>
                <w:rFonts w:ascii="Arial" w:cs="Arial" w:eastAsia="Arial" w:hAnsi="Arial"/>
                <w:b w:val="false"/>
                <w:bCs w:val="false"/>
                <w:i w:val="false"/>
                <w:iCs w:val="false"/>
                <w:color w:val="0070C0"/>
                <w:sz w:val="18"/>
                <w:szCs w:val="18"/>
              </w:rPr>
              <w:t xml:space="preserve"> directly, against its own taxable income — section 24H</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Section 12B / 12U on its share, plus section 11(a) on operating costs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Direct investment — separate project company</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project company (SPV)</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SPV. Axion gets nothing directly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Section 11(a) on electricity it buys from the SPV</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Off-site generation with wheeling</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Depends on whether Axion owns the off-site plant or contracts for its output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Follows whichever of the above applies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Plus section 11(a) on wheeling and network charges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Why this matters so much for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Axion has taxable income to shelter.</w:t>
      </w:r>
      <w:r>
        <w:rPr>
          <w:rFonts w:ascii="Arial" w:cs="Arial" w:eastAsia="Arial" w:hAnsi="Arial"/>
          <w:b w:val="false"/>
          <w:bCs w:val="false"/>
          <w:i w:val="false"/>
          <w:iCs w:val="false"/>
          <w:color w:val="0070C0"/>
          <w:sz w:val="19"/>
          <w:szCs w:val="19"/>
        </w:rPr>
        <w:t xml:space="preserve"> Profit before tax was R325m in FY2026 and has grown every year. An allowance claimed </w:t>
      </w:r>
      <w:r>
        <w:rPr>
          <w:rFonts w:ascii="Arial" w:cs="Arial" w:eastAsia="Arial" w:hAnsi="Arial"/>
          <w:b/>
          <w:bCs/>
          <w:i w:val="false"/>
          <w:iCs w:val="false"/>
          <w:color w:val="0070C0"/>
          <w:sz w:val="19"/>
          <w:szCs w:val="19"/>
        </w:rPr>
        <w:t xml:space="preserve">in Axion</w:t>
      </w:r>
      <w:r>
        <w:rPr>
          <w:rFonts w:ascii="Arial" w:cs="Arial" w:eastAsia="Arial" w:hAnsi="Arial"/>
          <w:b w:val="false"/>
          <w:bCs w:val="false"/>
          <w:i w:val="false"/>
          <w:iCs w:val="false"/>
          <w:color w:val="0070C0"/>
          <w:sz w:val="19"/>
          <w:szCs w:val="19"/>
        </w:rPr>
        <w:t xml:space="preserve"> produces an immediate cash tax saving. The same allowance claimed in a </w:t>
      </w:r>
      <w:r>
        <w:rPr>
          <w:rFonts w:ascii="Arial" w:cs="Arial" w:eastAsia="Arial" w:hAnsi="Arial"/>
          <w:b/>
          <w:bCs/>
          <w:i w:val="false"/>
          <w:iCs w:val="false"/>
          <w:color w:val="0070C0"/>
          <w:sz w:val="19"/>
          <w:szCs w:val="19"/>
        </w:rPr>
        <w:t xml:space="preserve">start-up SPV with no other income</w:t>
      </w:r>
      <w:r>
        <w:rPr>
          <w:rFonts w:ascii="Arial" w:cs="Arial" w:eastAsia="Arial" w:hAnsi="Arial"/>
          <w:b w:val="false"/>
          <w:bCs w:val="false"/>
          <w:i w:val="false"/>
          <w:iCs w:val="false"/>
          <w:color w:val="0070C0"/>
          <w:sz w:val="19"/>
          <w:szCs w:val="19"/>
        </w:rPr>
        <w:t xml:space="preserve"> produces an assessed loss that sits unused until the SPV becomes profitable — which for a project with a long construction period could be years away.</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On a R400m plant, the first-year 50% allowance is worth roughly </w:t>
      </w:r>
      <w:r>
        <w:rPr>
          <w:rFonts w:ascii="Arial" w:cs="Arial" w:eastAsia="Arial" w:hAnsi="Arial"/>
          <w:b/>
          <w:bCs/>
          <w:i w:val="false"/>
          <w:iCs w:val="false"/>
          <w:color w:val="0070C0"/>
          <w:sz w:val="19"/>
          <w:szCs w:val="19"/>
        </w:rPr>
        <w:t xml:space="preserve">R54m of cash tax</w:t>
      </w:r>
      <w:r>
        <w:rPr>
          <w:rFonts w:ascii="Arial" w:cs="Arial" w:eastAsia="Arial" w:hAnsi="Arial"/>
          <w:b w:val="false"/>
          <w:bCs w:val="false"/>
          <w:i w:val="false"/>
          <w:iCs w:val="false"/>
          <w:color w:val="0070C0"/>
          <w:sz w:val="19"/>
          <w:szCs w:val="19"/>
        </w:rPr>
        <w:t xml:space="preserve"> at 27% if claimed in Axion, and </w:t>
      </w:r>
      <w:r>
        <w:rPr>
          <w:rFonts w:ascii="Arial" w:cs="Arial" w:eastAsia="Arial" w:hAnsi="Arial"/>
          <w:b/>
          <w:bCs/>
          <w:i w:val="false"/>
          <w:iCs w:val="false"/>
          <w:color w:val="0070C0"/>
          <w:sz w:val="19"/>
          <w:szCs w:val="19"/>
        </w:rPr>
        <w:t xml:space="preserve">nothing in year one</w:t>
      </w:r>
      <w:r>
        <w:rPr>
          <w:rFonts w:ascii="Arial" w:cs="Arial" w:eastAsia="Arial" w:hAnsi="Arial"/>
          <w:b w:val="false"/>
          <w:bCs w:val="false"/>
          <w:i w:val="false"/>
          <w:iCs w:val="false"/>
          <w:color w:val="0070C0"/>
          <w:sz w:val="19"/>
          <w:szCs w:val="19"/>
        </w:rPr>
        <w:t xml:space="preserve"> if trapped in an SPV. That difference alone could change which structure the board should choose.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This is the same decision as trigger 8, viewed from a different angle.</w:t>
      </w:r>
      <w:r>
        <w:rPr>
          <w:rFonts w:ascii="Arial" w:cs="Arial" w:eastAsia="Arial" w:hAnsi="Arial"/>
          <w:b w:val="false"/>
          <w:bCs w:val="false"/>
          <w:i w:val="false"/>
          <w:iCs w:val="false"/>
          <w:color w:val="0070C0"/>
          <w:sz w:val="19"/>
          <w:szCs w:val="19"/>
        </w:rPr>
        <w:t xml:space="preserve"> The choice between a joint operation and a separate incorporated vehicle drives the IFRS 11 accounting classification *and* the tax outcome — but the two are determined independently and can point in different directions. A strong answer addresses both in one place rather than treating them as separate questions.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PPA gives Axion no allowance at all.</w:t>
      </w:r>
      <w:r>
        <w:rPr>
          <w:rFonts w:ascii="Arial" w:cs="Arial" w:eastAsia="Arial" w:hAnsi="Arial"/>
          <w:b w:val="false"/>
          <w:bCs w:val="false"/>
          <w:i w:val="false"/>
          <w:iCs w:val="false"/>
          <w:color w:val="0070C0"/>
          <w:sz w:val="19"/>
          <w:szCs w:val="19"/>
        </w:rPr>
        <w:t xml:space="preserve"> If the board compares “buy electricity” against “build generation” on a pre-tax basis, the comparison is wrong. The pack itself says the initial feasibility screen is pre-tax (Document 3), so tax belongs at the </w:t>
      </w:r>
      <w:r>
        <w:rPr>
          <w:rFonts w:ascii="Arial" w:cs="Arial" w:eastAsia="Arial" w:hAnsi="Arial"/>
          <w:b/>
          <w:bCs/>
          <w:i w:val="false"/>
          <w:iCs w:val="false"/>
          <w:color w:val="0070C0"/>
          <w:sz w:val="19"/>
          <w:szCs w:val="19"/>
        </w:rPr>
        <w:t xml:space="preserve">detailed assessment</w:t>
      </w:r>
      <w:r>
        <w:rPr>
          <w:rFonts w:ascii="Arial" w:cs="Arial" w:eastAsia="Arial" w:hAnsi="Arial"/>
          <w:b w:val="false"/>
          <w:bCs w:val="false"/>
          <w:i w:val="false"/>
          <w:iCs w:val="false"/>
          <w:color w:val="0070C0"/>
          <w:sz w:val="19"/>
          <w:szCs w:val="19"/>
        </w:rPr>
        <w:t xml:space="preserve"> stage — and we should say so if a task asks us to compare the options.</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Adjacent provisions Axion must also consider</w:t>
      </w:r>
    </w:p>
    <w:p>
      <w:pPr>
        <w:keepNext w:val="false"/>
        <w:spacing w:after="100" w:before="0" w:line="250" w:lineRule="auto"/>
      </w:pPr>
      <w:r>
        <w:rPr>
          <w:rFonts w:ascii="Arial" w:cs="Arial" w:eastAsia="Arial" w:hAnsi="Arial"/>
          <w:b w:val="false"/>
          <w:bCs w:val="false"/>
          <w:i/>
          <w:iCs/>
          <w:color w:val="000000"/>
          <w:sz w:val="18"/>
          <w:szCs w:val="18"/>
        </w:rPr>
        <w:t xml:space="preserve">Breadth is what separates a competent tax answer from a borderline one. These are the provisions a reviewer would expect to see considered, even if briefly, and in some cases ruled out with a reason.</w:t>
      </w:r>
    </w:p>
    <w:p>
      <w:pPr>
        <w:keepNext/>
        <w:spacing w:after="70" w:before="200" w:line="250" w:lineRule="auto"/>
      </w:pPr>
      <w:r>
        <w:rPr>
          <w:rFonts w:ascii="Arial" w:cs="Arial" w:eastAsia="Arial" w:hAnsi="Arial"/>
          <w:b/>
          <w:bCs/>
          <w:i w:val="false"/>
          <w:iCs w:val="false"/>
          <w:color w:val="000000"/>
          <w:sz w:val="22"/>
          <w:szCs w:val="22"/>
        </w:rPr>
        <w:t xml:space="preserve">Capital allowances on Axion’s other assets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4738"/>
        <w:gridCol w:w="4120"/>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Provision</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does</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s11(e)</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Wear and tear on machinery, plant, implements, utensils and articles used in the trade where no other allowance applies.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for part of a year. Write-off periods per Interpretation Note 47.</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default for data centre equipment — cooling plant, UPS, batteries, generators, network equipment — to the extent no specific section applies. Note the apportionment, which differs from s12B.</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s12C</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Plant and machinery used </w:t>
            </w:r>
            <w:r>
              <w:rPr>
                <w:rFonts w:ascii="Arial" w:cs="Arial" w:eastAsia="Arial" w:hAnsi="Arial"/>
                <w:b/>
                <w:bCs/>
                <w:i w:val="false"/>
                <w:iCs w:val="false"/>
                <w:color w:val="000000"/>
                <w:sz w:val="18"/>
                <w:szCs w:val="18"/>
              </w:rPr>
              <w:t xml:space="preserve">directly in a process of manufacture</w:t>
            </w:r>
            <w:r>
              <w:rPr>
                <w:rFonts w:ascii="Arial" w:cs="Arial" w:eastAsia="Arial" w:hAnsi="Arial"/>
                <w:b w:val="false"/>
                <w:bCs w:val="false"/>
                <w:i w:val="false"/>
                <w:iCs w:val="false"/>
                <w:color w:val="000000"/>
                <w:sz w:val="18"/>
                <w:szCs w:val="18"/>
              </w:rPr>
              <w:t xml:space="preserve"> or similar process. 40/20/20/20 for new and unused; 20% over five years otherwise.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Rule this out and say why.</w:t>
            </w:r>
            <w:r>
              <w:rPr>
                <w:rFonts w:ascii="Arial" w:cs="Arial" w:eastAsia="Arial" w:hAnsi="Arial"/>
                <w:b w:val="false"/>
                <w:bCs w:val="false"/>
                <w:i w:val="false"/>
                <w:iCs w:val="false"/>
                <w:color w:val="0070C0"/>
                <w:sz w:val="18"/>
                <w:szCs w:val="18"/>
              </w:rPr>
              <w:t xml:space="preserve"> Axion provides colocation and connectivity services; it does not manufacture anything. s12C does not apply. Stating the obvious clearly is rewarded — leaving it unsaid is not.</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s13(1)</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Buildings used in a process of manufacture — 5%.</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Also not applicable, for the same reason.</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s13quin</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Commercial buildings: 5% of the cost of any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building or improvement used by the taxpayer in the production of income in the course of its trade. Special rules where a building, or part of one, is acquired from another person.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This is the section for Axion’s data centre buildings, including </w:t>
            </w:r>
            <w:r>
              <w:rPr>
                <w:rFonts w:ascii="Arial" w:cs="Arial" w:eastAsia="Arial" w:hAnsi="Arial"/>
                <w:b/>
                <w:bCs/>
                <w:i w:val="false"/>
                <w:iCs w:val="false"/>
                <w:color w:val="0070C0"/>
                <w:sz w:val="18"/>
                <w:szCs w:val="18"/>
              </w:rPr>
              <w:t xml:space="preserve">JHB4</w:t>
            </w:r>
            <w:r>
              <w:rPr>
                <w:rFonts w:ascii="Arial" w:cs="Arial" w:eastAsia="Arial" w:hAnsi="Arial"/>
                <w:b w:val="false"/>
                <w:bCs w:val="false"/>
                <w:i w:val="false"/>
                <w:iCs w:val="false"/>
                <w:color w:val="0070C0"/>
                <w:sz w:val="18"/>
                <w:szCs w:val="18"/>
              </w:rPr>
              <w:t xml:space="preserve">. Worth pinning down because JHB4 is under construction and the pack tells us it will be brought into service in phases — which raises when each phase is “used” for s13quin.</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s12N</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Deems a taxpayer that holds a right of use of land to be the owner of improvements it effects on that land, so that it can claim allowances. </w:t>
            </w:r>
            <w:r>
              <w:rPr>
                <w:rFonts w:ascii="Arial" w:cs="Arial" w:eastAsia="Arial" w:hAnsi="Arial"/>
                <w:b/>
                <w:bCs/>
                <w:i w:val="false"/>
                <w:iCs w:val="false"/>
                <w:color w:val="000000"/>
                <w:sz w:val="18"/>
                <w:szCs w:val="18"/>
              </w:rPr>
              <w:t xml:space="preserve">[confirm scope]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Relevant if generation plant, a substation or a transmission line is constructed on municipal, Eskom or leased land — a realistic scenario for off-site generation and wheeling.</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s23A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Limits the capital allowances a </w:t>
            </w:r>
            <w:r>
              <w:rPr>
                <w:rFonts w:ascii="Arial" w:cs="Arial" w:eastAsia="Arial" w:hAnsi="Arial"/>
                <w:b/>
                <w:bCs/>
                <w:i w:val="false"/>
                <w:iCs w:val="false"/>
                <w:color w:val="000000"/>
                <w:sz w:val="18"/>
                <w:szCs w:val="18"/>
              </w:rPr>
              <w:t xml:space="preserve">lessor</w:t>
            </w:r>
            <w:r>
              <w:rPr>
                <w:rFonts w:ascii="Arial" w:cs="Arial" w:eastAsia="Arial" w:hAnsi="Arial"/>
                <w:b w:val="false"/>
                <w:bCs w:val="false"/>
                <w:i w:val="false"/>
                <w:iCs w:val="false"/>
                <w:color w:val="000000"/>
                <w:sz w:val="18"/>
                <w:szCs w:val="18"/>
              </w:rPr>
              <w:t xml:space="preserve"> may deduct on “affected assets” let to lessees to the rental income derived from those assets. Turns on the narrow definition of “operating lease” in s23A(1).</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Cross-link to trigger 1.</w:t>
            </w:r>
            <w:r>
              <w:rPr>
                <w:rFonts w:ascii="Arial" w:cs="Arial" w:eastAsia="Arial" w:hAnsi="Arial"/>
                <w:b w:val="false"/>
                <w:bCs w:val="false"/>
                <w:i w:val="false"/>
                <w:iCs w:val="false"/>
                <w:color w:val="0070C0"/>
                <w:sz w:val="18"/>
                <w:szCs w:val="18"/>
              </w:rPr>
              <w:t xml:space="preserve"> If colocation contracts are held to contain leases, consider whether Axion is a lessor of affected assets and whether s23A limits its allowances. Axion’s 3–5 year contracts would almost certainly fall outside the narrow s23A definition of an operating lease. </w:t>
            </w:r>
            <w:r>
              <w:rPr>
                <w:rFonts w:ascii="Arial" w:cs="Arial" w:eastAsia="Arial" w:hAnsi="Arial"/>
                <w:b/>
                <w:bCs/>
                <w:i w:val="false"/>
                <w:iCs w:val="false"/>
                <w:color w:val="0070C0"/>
                <w:sz w:val="18"/>
                <w:szCs w:val="18"/>
              </w:rPr>
              <w:t xml:space="preserve">[confirm]</w:t>
            </w:r>
            <w:r>
              <w:rPr>
                <w:rFonts w:ascii="Arial" w:cs="Arial" w:eastAsia="Arial" w:hAnsi="Arial"/>
                <w:b w:val="false"/>
                <w:bCs w:val="false"/>
                <w:i w:val="false"/>
                <w:iCs w:val="false"/>
                <w:color w:val="0070C0"/>
                <w:sz w:val="18"/>
                <w:szCs w:val="18"/>
              </w:rPr>
              <w:t xml:space="preserve"> — this is a sophisticated point but only make it if you can state it accurately.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Deductions, recoupments and losses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4738"/>
        <w:gridCol w:w="4120"/>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Provision</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does</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General deduction formula: expenditure and losses actually incurred in the production of income, not of a capital nature.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Electricity purchased under a PPA, wheeling and network charges, and transmission losses borne by Axion. This is the </w:t>
            </w:r>
            <w:r>
              <w:rPr>
                <w:rFonts w:ascii="Arial" w:cs="Arial" w:eastAsia="Arial" w:hAnsi="Arial"/>
                <w:b/>
                <w:bCs/>
                <w:i w:val="false"/>
                <w:iCs w:val="false"/>
                <w:color w:val="0070C0"/>
                <w:sz w:val="18"/>
                <w:szCs w:val="18"/>
              </w:rPr>
              <w:t xml:space="preserve">only</w:t>
            </w:r>
            <w:r>
              <w:rPr>
                <w:rFonts w:ascii="Arial" w:cs="Arial" w:eastAsia="Arial" w:hAnsi="Arial"/>
                <w:b w:val="false"/>
                <w:bCs w:val="false"/>
                <w:i w:val="false"/>
                <w:iCs w:val="false"/>
                <w:color w:val="0070C0"/>
                <w:sz w:val="18"/>
                <w:szCs w:val="18"/>
              </w:rPr>
              <w:t xml:space="preserve"> deduction on the PPA route.</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s11(d)</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Repairs to property occupied for trade or from which income is derived.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Maintenance of generation and facility plant. Draw the repair-versus-improvement line carefully — an improvement is capital and falls to s12B or s13quin instead.</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s11(o)</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Scrapping allowance where an asset with a write-off period not exceeding 10 years is alienated, lost or destroyed for proceeds less than its tax value.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Relevant when generation plant or facility equipment is replaced during an upgrade.</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Recoups allowances previously claimed, to the extent the proceeds on disposal exceed the tax value — limited to the allowances actually claimed. Any excess above original cost is a capital gain.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Directly relevant if Axion disposes of generation plant, and especially if any asset carried a 125% s12BA allowance, where a special recoupment rule may apply.</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s20</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Assessed losses. The balance of an assessed loss brought forward may be set off only against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[confirm current threshold]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Model this, do not assume it.</w:t>
            </w:r>
            <w:r>
              <w:rPr>
                <w:rFonts w:ascii="Arial" w:cs="Arial" w:eastAsia="Arial" w:hAnsi="Arial"/>
                <w:b w:val="false"/>
                <w:bCs w:val="false"/>
                <w:i w:val="false"/>
                <w:iCs w:val="false"/>
                <w:color w:val="0070C0"/>
                <w:sz w:val="18"/>
                <w:szCs w:val="18"/>
              </w:rPr>
              <w:t xml:space="preserve"> A large first-year allowance could push Axion into an assessed loss or increase an existing one. The 80% limitation then defers part of the cash benefit into later years, which reduces the present value of the tax shield in any NPV.</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s24J</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Incurral and accrual of interest on the yield-to-maturity basis.</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Interest on project debt funding a generation project, and on the R1.2bn JHB4 facility.</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s23M</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Limits the deduction of interest incurred in respect of debt owed to a creditor in a </w:t>
            </w:r>
            <w:r>
              <w:rPr>
                <w:rFonts w:ascii="Arial" w:cs="Arial" w:eastAsia="Arial" w:hAnsi="Arial"/>
                <w:b/>
                <w:bCs/>
                <w:i w:val="false"/>
                <w:iCs w:val="false"/>
                <w:color w:val="000000"/>
                <w:sz w:val="18"/>
                <w:szCs w:val="18"/>
              </w:rPr>
              <w:t xml:space="preserve">controlling relationship</w:t>
            </w:r>
            <w:r>
              <w:rPr>
                <w:rFonts w:ascii="Arial" w:cs="Arial" w:eastAsia="Arial" w:hAnsi="Arial"/>
                <w:b w:val="false"/>
                <w:bCs w:val="false"/>
                <w:i w:val="false"/>
                <w:iCs w:val="false"/>
                <w:color w:val="000000"/>
                <w:sz w:val="18"/>
                <w:szCs w:val="18"/>
              </w:rPr>
              <w:t xml:space="preserve"> with the debtor where that creditor is </w:t>
            </w:r>
            <w:r>
              <w:rPr>
                <w:rFonts w:ascii="Arial" w:cs="Arial" w:eastAsia="Arial" w:hAnsi="Arial"/>
                <w:b/>
                <w:bCs/>
                <w:i w:val="false"/>
                <w:iCs w:val="false"/>
                <w:color w:val="000000"/>
                <w:sz w:val="18"/>
                <w:szCs w:val="18"/>
              </w:rPr>
              <w:t xml:space="preserve">not subject to South African tax</w:t>
            </w:r>
            <w:r>
              <w:rPr>
                <w:rFonts w:ascii="Arial" w:cs="Arial" w:eastAsia="Arial" w:hAnsi="Arial"/>
                <w:b w:val="false"/>
                <w:bCs w:val="false"/>
                <w:i w:val="false"/>
                <w:iCs w:val="false"/>
                <w:color w:val="000000"/>
                <w:sz w:val="18"/>
                <w:szCs w:val="18"/>
              </w:rPr>
              <w:t xml:space="preserve"> on the interest.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Check whether any funding comes from Ubuntu or Horizon, or from an offshore lender. Both hold large stakes — Ubuntu 35% and Horizon 30% — so the controlling relationship test needs to be applied properly rather than assumed away.</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s31</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Transfer pricing — arm’s length pricing of cross-border transactions between connected persons.</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Only if a partner, lender or equipment supplier is a non-resident connected person. Consider and rule out if not.</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Eighth Schedule</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gains tax. Base cost is reduced by allowances claimed, so accelerated allowances increase the eventual gain.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Relevant on any eventual disposal of generation plant or of the undeveloped land in trigger 2.</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s45 / s42</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Intra-group transactions and asset-for-share transactions — roll-over relief.</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point only if a project is later moved into or out of a group company, or if plant is acquired in exchange for shares.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Provisions to check for sunset before you rely on them</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12L — energy efficiency savings allowance.</w:t>
      </w:r>
      <w:r>
        <w:rPr>
          <w:rFonts w:ascii="Arial" w:cs="Arial" w:eastAsia="Arial" w:hAnsi="Arial"/>
          <w:b w:val="false"/>
          <w:bCs w:val="false"/>
          <w:i w:val="false"/>
          <w:iCs w:val="false"/>
          <w:color w:val="000000"/>
          <w:sz w:val="19"/>
          <w:szCs w:val="19"/>
        </w:rPr>
        <w:t xml:space="preserve"> A deduction based on verified energy efficiency savings. The section was legislated to apply only in respect of years of assessment ending before a stated date. </w:t>
      </w:r>
      <w:r>
        <w:rPr>
          <w:rFonts w:ascii="Arial" w:cs="Arial" w:eastAsia="Arial" w:hAnsi="Arial"/>
          <w:b/>
          <w:bCs/>
          <w:i w:val="false"/>
          <w:iCs w:val="false"/>
          <w:color w:val="000000"/>
          <w:sz w:val="19"/>
          <w:szCs w:val="19"/>
        </w:rPr>
        <w:t xml:space="preserve">[confirm — on the version I am working from, it does not apply to years of assessment ending on or after 1 January 2026, which would put Axion’s 30 June 2026 year outside it.]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If that is right, section 12L is a second provision on this trigger that has lapsed. Be ready to say so. Two lapsed incentives in one case is not a coincidence — the examiner may be testing whether we check dates or simply recite what we revised.</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Other taxes — do not stop at income tax</w:t>
      </w:r>
    </w:p>
    <w:p>
      <w:pPr>
        <w:keepNext/>
        <w:spacing w:after="70" w:before="200" w:line="250" w:lineRule="auto"/>
      </w:pPr>
      <w:r>
        <w:rPr>
          <w:rFonts w:ascii="Arial" w:cs="Arial" w:eastAsia="Arial" w:hAnsi="Arial"/>
          <w:b/>
          <w:bCs/>
          <w:i w:val="false"/>
          <w:iCs w:val="false"/>
          <w:color w:val="000000"/>
          <w:sz w:val="22"/>
          <w:szCs w:val="22"/>
        </w:rPr>
        <w:t xml:space="preserve">Value-added tax</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supply of electricity is a </w:t>
      </w:r>
      <w:r>
        <w:rPr>
          <w:rFonts w:ascii="Arial" w:cs="Arial" w:eastAsia="Arial" w:hAnsi="Arial"/>
          <w:b/>
          <w:bCs/>
          <w:i w:val="false"/>
          <w:iCs w:val="false"/>
          <w:color w:val="000000"/>
          <w:sz w:val="19"/>
          <w:szCs w:val="19"/>
        </w:rPr>
        <w:t xml:space="preserve">standard-rated taxable supply at 15%</w:t>
      </w:r>
      <w:r>
        <w:rPr>
          <w:rFonts w:ascii="Arial" w:cs="Arial" w:eastAsia="Arial" w:hAnsi="Arial"/>
          <w:b w:val="false"/>
          <w:bCs w:val="false"/>
          <w:i w:val="false"/>
          <w:iCs w:val="false"/>
          <w:color w:val="000000"/>
          <w:sz w:val="19"/>
          <w:szCs w:val="19"/>
        </w:rPr>
        <w:t xml:space="preserve">. It is not zero-rated and not exempt.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Input tax on the construction of plant, on imported equipment and on services acquired is claimable to the extent that the goods or services are acquired for the purpose of making </w:t>
      </w:r>
      <w:r>
        <w:rPr>
          <w:rFonts w:ascii="Arial" w:cs="Arial" w:eastAsia="Arial" w:hAnsi="Arial"/>
          <w:b/>
          <w:bCs/>
          <w:i w:val="false"/>
          <w:iCs w:val="false"/>
          <w:color w:val="000000"/>
          <w:sz w:val="19"/>
          <w:szCs w:val="19"/>
        </w:rPr>
        <w:t xml:space="preserve">taxable supplies</w:t>
      </w:r>
      <w:r>
        <w:rPr>
          <w:rFonts w:ascii="Arial" w:cs="Arial" w:eastAsia="Arial" w:hAnsi="Arial"/>
          <w:b w:val="false"/>
          <w:bCs w:val="false"/>
          <w:i w:val="false"/>
          <w:iCs w:val="false"/>
          <w:color w:val="000000"/>
          <w:sz w:val="19"/>
          <w:szCs w:val="19"/>
        </w:rPr>
        <w:t xml:space="preserve"> — section 16(3) read with section 17.</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Time of supply and value of supply rules determine when output tax is accounted for; the general rule is the earlier of invoice or payment.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Axion recharges electricity to its customers</w:t>
      </w:r>
      <w:r>
        <w:rPr>
          <w:rFonts w:ascii="Arial" w:cs="Arial" w:eastAsia="Arial" w:hAnsi="Arial"/>
          <w:b w:val="false"/>
          <w:bCs w:val="false"/>
          <w:i w:val="false"/>
          <w:iCs w:val="false"/>
          <w:color w:val="0070C0"/>
          <w:sz w:val="19"/>
          <w:szCs w:val="19"/>
        </w:rPr>
        <w:t xml:space="preserve"> (Document 5, page 14), including a contribution towards the electricity used to cool and support the facility. That recharge is consideration for a taxable supply and carries </w:t>
      </w:r>
      <w:r>
        <w:rPr>
          <w:rFonts w:ascii="Arial" w:cs="Arial" w:eastAsia="Arial" w:hAnsi="Arial"/>
          <w:b/>
          <w:bCs/>
          <w:i w:val="false"/>
          <w:iCs w:val="false"/>
          <w:color w:val="0070C0"/>
          <w:sz w:val="19"/>
          <w:szCs w:val="19"/>
        </w:rPr>
        <w:t xml:space="preserve">output VAT at 15%</w:t>
      </w:r>
      <w:r>
        <w:rPr>
          <w:rFonts w:ascii="Arial" w:cs="Arial" w:eastAsia="Arial" w:hAnsi="Arial"/>
          <w:b w:val="false"/>
          <w:bCs w:val="false"/>
          <w:i w:val="false"/>
          <w:iCs w:val="false"/>
          <w:color w:val="0070C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Input tax on a renewable plant, on PPA purchases from a VAT-registered IPP, and on wheeling and network charges should be fully claimable, because Axion makes taxable supplies. Confirm the VAT status of the counterparty in any wheeling arrangement.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Watch imported equipment — VAT on importation and customs duty on specialised generation plant affect the project cost used in the appraisal, and the VAT is recoverable while the duty is not.</w:t>
      </w:r>
    </w:p>
    <w:p>
      <w:pPr>
        <w:keepNext/>
        <w:spacing w:after="70" w:before="200" w:line="250" w:lineRule="auto"/>
      </w:pPr>
      <w:r>
        <w:rPr>
          <w:rFonts w:ascii="Arial" w:cs="Arial" w:eastAsia="Arial" w:hAnsi="Arial"/>
          <w:b/>
          <w:bCs/>
          <w:i w:val="false"/>
          <w:iCs w:val="false"/>
          <w:color w:val="000000"/>
          <w:sz w:val="22"/>
          <w:szCs w:val="22"/>
        </w:rPr>
        <w:t xml:space="preserve">Carbon tax</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w:t>
      </w:r>
      <w:r>
        <w:rPr>
          <w:rFonts w:ascii="Arial" w:cs="Arial" w:eastAsia="Arial" w:hAnsi="Arial"/>
          <w:b/>
          <w:bCs/>
          <w:i w:val="false"/>
          <w:iCs w:val="false"/>
          <w:color w:val="000000"/>
          <w:sz w:val="19"/>
          <w:szCs w:val="19"/>
        </w:rPr>
        <w:t xml:space="preserve">Carbon Tax Act 15 of 2019</w:t>
      </w:r>
      <w:r>
        <w:rPr>
          <w:rFonts w:ascii="Arial" w:cs="Arial" w:eastAsia="Arial" w:hAnsi="Arial"/>
          <w:b w:val="false"/>
          <w:bCs w:val="false"/>
          <w:i w:val="false"/>
          <w:iCs w:val="false"/>
          <w:color w:val="000000"/>
          <w:sz w:val="19"/>
          <w:szCs w:val="19"/>
        </w:rPr>
        <w:t xml:space="preserve"> imposes tax on greenhouse gas emissions from fuel combustion, industrial process and fugitive sources, where the taxpayer conducts an activity above the threshold set for that activity. Stationary combustion is measured by aggregated installed thermal capacity.</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tax applies to </w:t>
      </w:r>
      <w:r>
        <w:rPr>
          <w:rFonts w:ascii="Arial" w:cs="Arial" w:eastAsia="Arial" w:hAnsi="Arial"/>
          <w:b/>
          <w:bCs/>
          <w:i w:val="false"/>
          <w:iCs w:val="false"/>
          <w:color w:val="000000"/>
          <w:sz w:val="19"/>
          <w:szCs w:val="19"/>
        </w:rPr>
        <w:t xml:space="preserve">Scope 1</w:t>
      </w:r>
      <w:r>
        <w:rPr>
          <w:rFonts w:ascii="Arial" w:cs="Arial" w:eastAsia="Arial" w:hAnsi="Arial"/>
          <w:b w:val="false"/>
          <w:bCs w:val="false"/>
          <w:i w:val="false"/>
          <w:iCs w:val="false"/>
          <w:color w:val="000000"/>
          <w:sz w:val="19"/>
          <w:szCs w:val="19"/>
        </w:rPr>
        <w:t xml:space="preserve"> emissions — emissions from sources the entity owns or controls. It does not apply to Scope 2 emissions from purchased electricity, because the tax is levied on the generator.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Axion’s Scope 1 exposure is its diesel backup generators</w:t>
      </w:r>
      <w:r>
        <w:rPr>
          <w:rFonts w:ascii="Arial" w:cs="Arial" w:eastAsia="Arial" w:hAnsi="Arial"/>
          <w:b w:val="false"/>
          <w:bCs w:val="false"/>
          <w:i w:val="false"/>
          <w:iCs w:val="false"/>
          <w:color w:val="0070C0"/>
          <w:sz w:val="19"/>
          <w:szCs w:val="19"/>
        </w:rPr>
        <w:t xml:space="preserve"> (Document 7, page 19). Check whether the aggregated installed capacity across the five facilities crosses the registration threshold. The pack notes that diesel for backup generators is excluded from the electricity mix table — which is exactly where a carbon tax question would hide.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Important for the appraisal, and easy to get wrong:</w:t>
      </w:r>
      <w:r>
        <w:rPr>
          <w:rFonts w:ascii="Arial" w:cs="Arial" w:eastAsia="Arial" w:hAnsi="Arial"/>
          <w:b w:val="false"/>
          <w:bCs w:val="false"/>
          <w:i w:val="false"/>
          <w:iCs w:val="false"/>
          <w:color w:val="0070C0"/>
          <w:sz w:val="19"/>
          <w:szCs w:val="19"/>
        </w:rPr>
        <w:t xml:space="preserve"> buying renewable electricity reduces Axion’s </w:t>
      </w:r>
      <w:r>
        <w:rPr>
          <w:rFonts w:ascii="Arial" w:cs="Arial" w:eastAsia="Arial" w:hAnsi="Arial"/>
          <w:b/>
          <w:bCs/>
          <w:i w:val="false"/>
          <w:iCs w:val="false"/>
          <w:color w:val="0070C0"/>
          <w:sz w:val="19"/>
          <w:szCs w:val="19"/>
        </w:rPr>
        <w:t xml:space="preserve">Scope 2</w:t>
      </w:r>
      <w:r>
        <w:rPr>
          <w:rFonts w:ascii="Arial" w:cs="Arial" w:eastAsia="Arial" w:hAnsi="Arial"/>
          <w:b w:val="false"/>
          <w:bCs w:val="false"/>
          <w:i w:val="false"/>
          <w:iCs w:val="false"/>
          <w:color w:val="0070C0"/>
          <w:sz w:val="19"/>
          <w:szCs w:val="19"/>
        </w:rPr>
        <w:t xml:space="preserve"> emissions, which are not directly carbon taxed in South Africa. So a renewable PPA or wheeling arrangement may deliver a real sustainability and reputational benefit but </w:t>
      </w:r>
      <w:r>
        <w:rPr>
          <w:rFonts w:ascii="Arial" w:cs="Arial" w:eastAsia="Arial" w:hAnsi="Arial"/>
          <w:b/>
          <w:bCs/>
          <w:i w:val="false"/>
          <w:iCs w:val="false"/>
          <w:color w:val="0070C0"/>
          <w:sz w:val="19"/>
          <w:szCs w:val="19"/>
        </w:rPr>
        <w:t xml:space="preserve">little or no carbon tax saving</w:t>
      </w:r>
      <w:r>
        <w:rPr>
          <w:rFonts w:ascii="Arial" w:cs="Arial" w:eastAsia="Arial" w:hAnsi="Arial"/>
          <w:b w:val="false"/>
          <w:bCs w:val="false"/>
          <w:i w:val="false"/>
          <w:iCs w:val="false"/>
          <w:color w:val="0070C0"/>
          <w:sz w:val="19"/>
          <w:szCs w:val="19"/>
        </w:rPr>
        <w:t xml:space="preserve">. Do not put a carbon tax saving into the NPV without establishing that it exists.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environmental levy on electricity generated from non-renewable sources is levied on the generator and reaches Axion through the tariff, not as a direct liability — relevant to the cost comparison, not to Axion’s tax computation.</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Worked illustration</w:t>
      </w:r>
    </w:p>
    <w:p>
      <w:pPr>
        <w:keepNext w:val="false"/>
        <w:spacing w:after="100" w:before="0" w:line="250" w:lineRule="auto"/>
      </w:pPr>
      <w:r>
        <w:rPr>
          <w:rFonts w:ascii="Arial" w:cs="Arial" w:eastAsia="Arial" w:hAnsi="Arial"/>
          <w:b w:val="false"/>
          <w:bCs w:val="false"/>
          <w:i/>
          <w:iCs/>
          <w:color w:val="000000"/>
          <w:sz w:val="18"/>
          <w:szCs w:val="18"/>
        </w:rPr>
        <w:t xml:space="preserve">Illustrative only — the pack gives no project figures. The purpose is to have the mechanics fluent before the exam, not to predict the numbers.</w:t>
      </w:r>
    </w:p>
    <w:p>
      <w:pPr>
        <w:keepNext w:val="false"/>
        <w:spacing w:after="70" w:before="0" w:line="250" w:lineRule="auto"/>
      </w:pPr>
      <w:r>
        <w:rPr>
          <w:rFonts w:ascii="Arial" w:cs="Arial" w:eastAsia="Arial" w:hAnsi="Arial"/>
          <w:b w:val="false"/>
          <w:bCs w:val="false"/>
          <w:i w:val="false"/>
          <w:iCs w:val="false"/>
          <w:color w:val="000000"/>
          <w:sz w:val="19"/>
          <w:szCs w:val="19"/>
        </w:rPr>
        <w:t xml:space="preserve">Assume an off-site solar project with a capacity of 30MW, brought into use in FY2027: plant and machinery R400m, site roads and perimeter fencing R20m. Company tax rate 27%.</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2266"/>
        <w:gridCol w:w="2266"/>
        <w:gridCol w:w="2266"/>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FY2028</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FY2029</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 12B on plant (50 / 30 / 20 of R400m)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R200.0m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R120.0m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R80.0m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 12U on roads and fences (100% when incurred)</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R120.0m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R80.0m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saving at 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R59.4m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R32.4m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R21.6m</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If Axion owns the plant directly</w:t>
      </w:r>
      <w:r>
        <w:rPr>
          <w:rFonts w:ascii="Arial" w:cs="Arial" w:eastAsia="Arial" w:hAnsi="Arial"/>
          <w:b w:val="false"/>
          <w:bCs w:val="false"/>
          <w:i w:val="false"/>
          <w:iCs w:val="false"/>
          <w:color w:val="0070C0"/>
          <w:sz w:val="19"/>
          <w:szCs w:val="19"/>
        </w:rPr>
        <w:t xml:space="preserve">, those savings are real cash in the year claimed, because Axion has taxable income (profit before tax of R325m in FY2026).</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If the plant sits in an SPV with no other income</w:t>
      </w:r>
      <w:r>
        <w:rPr>
          <w:rFonts w:ascii="Arial" w:cs="Arial" w:eastAsia="Arial" w:hAnsi="Arial"/>
          <w:b w:val="false"/>
          <w:bCs w:val="false"/>
          <w:i w:val="false"/>
          <w:iCs w:val="false"/>
          <w:color w:val="0070C0"/>
          <w:sz w:val="19"/>
          <w:szCs w:val="19"/>
        </w:rPr>
        <w:t xml:space="preserve">, the R220m deduction creates an assessed loss. No cash benefit arises until the SPV is profitable, and even then the section 20 limitation caps how much of the brought-forward loss can be used each year. The nominal deduction is identical; the present value is not.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If Axion buys the electricity under a PPA instead</w:t>
      </w:r>
      <w:r>
        <w:rPr>
          <w:rFonts w:ascii="Arial" w:cs="Arial" w:eastAsia="Arial" w:hAnsi="Arial"/>
          <w:b w:val="false"/>
          <w:bCs w:val="false"/>
          <w:i w:val="false"/>
          <w:iCs w:val="false"/>
          <w:color w:val="0070C0"/>
          <w:sz w:val="19"/>
          <w:szCs w:val="19"/>
        </w:rPr>
        <w:t xml:space="preserve">, there is no allowance at all — only a section 11(a) deduction for the electricity as it is consumed. The tax shield is spread evenly over the life of the contract rather than front-loaded.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Note that section 12BA, had it still been available, would have given a </w:t>
      </w:r>
      <w:r>
        <w:rPr>
          <w:rFonts w:ascii="Arial" w:cs="Arial" w:eastAsia="Arial" w:hAnsi="Arial"/>
          <w:b/>
          <w:bCs/>
          <w:i w:val="false"/>
          <w:iCs w:val="false"/>
          <w:color w:val="0070C0"/>
          <w:sz w:val="19"/>
          <w:szCs w:val="19"/>
        </w:rPr>
        <w:t xml:space="preserve">R500m deduction in FY2027 alone</w:t>
      </w:r>
      <w:r>
        <w:rPr>
          <w:rFonts w:ascii="Arial" w:cs="Arial" w:eastAsia="Arial" w:hAnsi="Arial"/>
          <w:b w:val="false"/>
          <w:bCs w:val="false"/>
          <w:i w:val="false"/>
          <w:iCs w:val="false"/>
          <w:color w:val="0070C0"/>
          <w:sz w:val="19"/>
          <w:szCs w:val="19"/>
        </w:rPr>
        <w:t xml:space="preserve"> (125% of R400m) — a first-year tax saving of R135m. That is the scale of what lapsed on 28 February 2025, and it is a fair point to make to the board when explaining why the economics of building now are weaker than they were two years ago.</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What-if scenarios — flex the understanding</w:t>
      </w:r>
    </w:p>
    <w:p>
      <w:pPr>
        <w:keepNext w:val="false"/>
        <w:spacing w:after="100" w:before="0" w:line="250" w:lineRule="auto"/>
      </w:pPr>
      <w:r>
        <w:rPr>
          <w:rFonts w:ascii="Arial" w:cs="Arial" w:eastAsia="Arial" w:hAnsi="Arial"/>
          <w:b w:val="false"/>
          <w:bCs w:val="false"/>
          <w:i/>
          <w:iCs/>
          <w:color w:val="000000"/>
          <w:sz w:val="18"/>
          <w:szCs w:val="18"/>
        </w:rPr>
        <w:t xml:space="preserve">Step 5 of the UCT method. The information on the day will change at least one fact. Work these through now so that nothing on the day is new.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914"/>
        <w:gridCol w:w="6386"/>
      </w:tblGrid>
      <w:tr>
        <w:trPr>
          <w:tblHeader/>
        </w:trPr>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if…</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Then</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plant is </w:t>
            </w:r>
            <w:r>
              <w:rPr>
                <w:rFonts w:ascii="Arial" w:cs="Arial" w:eastAsia="Arial" w:hAnsi="Arial"/>
                <w:b/>
                <w:bCs/>
                <w:i w:val="false"/>
                <w:iCs w:val="false"/>
                <w:color w:val="000000"/>
                <w:sz w:val="18"/>
                <w:szCs w:val="18"/>
              </w:rPr>
              <w:t xml:space="preserve">second-hand</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 12B does not require new and unused, so the 50/30/20 should still apply. Section 12BA did require new and unused. </w:t>
            </w:r>
            <w:r>
              <w:rPr>
                <w:rFonts w:ascii="Arial" w:cs="Arial" w:eastAsia="Arial" w:hAnsi="Arial"/>
                <w:b/>
                <w:bCs/>
                <w:i w:val="false"/>
                <w:iCs w:val="false"/>
                <w:color w:val="000000"/>
                <w:sz w:val="18"/>
                <w:szCs w:val="18"/>
              </w:rPr>
              <w:t xml:space="preserve">[confirm]</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PV installation is </w:t>
            </w:r>
            <w:r>
              <w:rPr>
                <w:rFonts w:ascii="Arial" w:cs="Arial" w:eastAsia="Arial" w:hAnsi="Arial"/>
                <w:b/>
                <w:bCs/>
                <w:i w:val="false"/>
                <w:iCs w:val="false"/>
                <w:color w:val="000000"/>
                <w:sz w:val="18"/>
                <w:szCs w:val="18"/>
              </w:rPr>
              <w:t xml:space="preserve">exactly 1MW</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100% write-off applies to capacity </w:t>
            </w:r>
            <w:r>
              <w:rPr>
                <w:rFonts w:ascii="Arial" w:cs="Arial" w:eastAsia="Arial" w:hAnsi="Arial"/>
                <w:b/>
                <w:bCs/>
                <w:i w:val="false"/>
                <w:iCs w:val="false"/>
                <w:color w:val="000000"/>
                <w:sz w:val="18"/>
                <w:szCs w:val="18"/>
              </w:rPr>
              <w:t xml:space="preserve">not more than</w:t>
            </w:r>
            <w:r>
              <w:rPr>
                <w:rFonts w:ascii="Arial" w:cs="Arial" w:eastAsia="Arial" w:hAnsi="Arial"/>
                <w:b w:val="false"/>
                <w:bCs w:val="false"/>
                <w:i w:val="false"/>
                <w:iCs w:val="false"/>
                <w:color w:val="000000"/>
                <w:sz w:val="18"/>
                <w:szCs w:val="18"/>
              </w:rPr>
              <w:t xml:space="preserve"> one megawatt, so 1MW qualifies. Read the threshold wording carefully — “not exceeding” and “less than” are different tests.</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 is </w:t>
            </w:r>
            <w:r>
              <w:rPr>
                <w:rFonts w:ascii="Arial" w:cs="Arial" w:eastAsia="Arial" w:hAnsi="Arial"/>
                <w:b/>
                <w:bCs/>
                <w:i w:val="false"/>
                <w:iCs w:val="false"/>
                <w:color w:val="000000"/>
                <w:sz w:val="18"/>
                <w:szCs w:val="18"/>
              </w:rPr>
              <w:t xml:space="preserve">hydropower above 30MW</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 falls outside the section 12B list. Consider section 11(e) instead, and say so rather than forcing it into 12B.</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plant is </w:t>
            </w:r>
            <w:r>
              <w:rPr>
                <w:rFonts w:ascii="Arial" w:cs="Arial" w:eastAsia="Arial" w:hAnsi="Arial"/>
                <w:b/>
                <w:bCs/>
                <w:i w:val="false"/>
                <w:iCs w:val="false"/>
                <w:color w:val="000000"/>
                <w:sz w:val="18"/>
                <w:szCs w:val="18"/>
              </w:rPr>
              <w:t xml:space="preserve">leased</w:t>
            </w:r>
            <w:r>
              <w:rPr>
                <w:rFonts w:ascii="Arial" w:cs="Arial" w:eastAsia="Arial" w:hAnsi="Arial"/>
                <w:b w:val="false"/>
                <w:bCs w:val="false"/>
                <w:i w:val="false"/>
                <w:iCs w:val="false"/>
                <w:color w:val="000000"/>
                <w:sz w:val="18"/>
                <w:szCs w:val="18"/>
              </w:rPr>
              <w:t xml:space="preserve"> rather than bought</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ownership, so no allowance. The rental is deductible under section 11(a). Consider whether an instalment credit agreement exists instead, which would make Axion the deemed owner.</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partner owns the plant and Axion just takes the output</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This is a PPA in substance whatever it is called. Section 11(a) only. Also test whether the arrangement contains a lease for accounting purposes — trigger 8.</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plant is brought into use </w:t>
            </w:r>
            <w:r>
              <w:rPr>
                <w:rFonts w:ascii="Arial" w:cs="Arial" w:eastAsia="Arial" w:hAnsi="Arial"/>
                <w:b/>
                <w:bCs/>
                <w:i w:val="false"/>
                <w:iCs w:val="false"/>
                <w:color w:val="000000"/>
                <w:sz w:val="18"/>
                <w:szCs w:val="18"/>
              </w:rPr>
              <w:t xml:space="preserve">after</w:t>
            </w:r>
            <w:r>
              <w:rPr>
                <w:rFonts w:ascii="Arial" w:cs="Arial" w:eastAsia="Arial" w:hAnsi="Arial"/>
                <w:b w:val="false"/>
                <w:bCs w:val="false"/>
                <w:i w:val="false"/>
                <w:iCs w:val="false"/>
                <w:color w:val="000000"/>
                <w:sz w:val="18"/>
                <w:szCs w:val="18"/>
              </w:rPr>
              <w:t xml:space="preserve"> 30 June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whole first-year allowance shifts a full year. Because there is no apportionment, a few days can move R54m of cash tax in the illustration above.</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grid connection is delayed</w:t>
            </w:r>
            <w:r>
              <w:rPr>
                <w:rFonts w:ascii="Arial" w:cs="Arial" w:eastAsia="Arial" w:hAnsi="Arial"/>
                <w:b w:val="false"/>
                <w:bCs w:val="false"/>
                <w:i w:val="false"/>
                <w:iCs w:val="false"/>
                <w:color w:val="000000"/>
                <w:sz w:val="18"/>
                <w:szCs w:val="18"/>
              </w:rPr>
              <w:t xml:space="preserve"> so the plant cannot operate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asset is not brought into use, so no allowance arises at all until it is. This mirrors the borrowing cost issue in JHB4 — the same delay hits both the tax deduction and the capitalisation of interest.</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Axion sells </w:t>
            </w:r>
            <w:r>
              <w:rPr>
                <w:rFonts w:ascii="Arial" w:cs="Arial" w:eastAsia="Arial" w:hAnsi="Arial"/>
                <w:b/>
                <w:bCs/>
                <w:i w:val="false"/>
                <w:iCs w:val="false"/>
                <w:color w:val="000000"/>
                <w:sz w:val="18"/>
                <w:szCs w:val="18"/>
              </w:rPr>
              <w:t xml:space="preserve">surplus</w:t>
            </w:r>
            <w:r>
              <w:rPr>
                <w:rFonts w:ascii="Arial" w:cs="Arial" w:eastAsia="Arial" w:hAnsi="Arial"/>
                <w:b w:val="false"/>
                <w:bCs w:val="false"/>
                <w:i w:val="false"/>
                <w:iCs w:val="false"/>
                <w:color w:val="000000"/>
                <w:sz w:val="18"/>
                <w:szCs w:val="18"/>
              </w:rPr>
              <w:t xml:space="preserve"> electricity to third parties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Consider whether that is a separate trade, how it affects the production of income test, and the VAT and regulatory consequences of selling rather than self-consuming.</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project is later </w:t>
            </w:r>
            <w:r>
              <w:rPr>
                <w:rFonts w:ascii="Arial" w:cs="Arial" w:eastAsia="Arial" w:hAnsi="Arial"/>
                <w:b/>
                <w:bCs/>
                <w:i w:val="false"/>
                <w:iCs w:val="false"/>
                <w:color w:val="000000"/>
                <w:sz w:val="18"/>
                <w:szCs w:val="18"/>
              </w:rPr>
              <w:t xml:space="preserve">moved into a group company</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Consider section 45 intra-group relief, the continuation of allowances, and the recoupment that would otherwise arise.</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new strategic investor</w:t>
            </w:r>
            <w:r>
              <w:rPr>
                <w:rFonts w:ascii="Arial" w:cs="Arial" w:eastAsia="Arial" w:hAnsi="Arial"/>
                <w:b w:val="false"/>
                <w:bCs w:val="false"/>
                <w:i w:val="false"/>
                <w:iCs w:val="false"/>
                <w:color w:val="000000"/>
                <w:sz w:val="18"/>
                <w:szCs w:val="18"/>
              </w:rPr>
              <w:t xml:space="preserve"> comes in at the project level</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Revisit who owns the plant, whether a controlling relationship arises for section 23M, and whether the structure is still a partnership for section 24H.</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Information we would request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Project capacity in MW, and the technology — solar PV, wind, or other. This determines both the rate and whether section 12U is available.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plant will be new and unused.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legal form of any arrangement with the technical partner — unincorporated joint operation, partnership, or a separate company — and the shareholding or participation percentages.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expected date the plant will be brought into use, relative to 30 June.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 split of total project cost between plant and machinery, roads and fences, transmission and connection infrastructure, and land.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Axion’s current assessed loss position, if any, and forecast taxable income for FY2027 to FY2029.</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sections 12B or 12BA were claimed on the existing on-site solar, and in which years of assessment each installation was brought into use.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identity and tax residence of any project lender or partner, for sections 23M and 31.</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Axion is registered for carbon tax, and the aggregated installed thermal capacity of its backup generators.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any land or infrastructure will be built on land Axion does not own, for section 12N.</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PART B — Financial reporting implications</w:t>
      </w:r>
    </w:p>
    <w:p>
      <w:pPr>
        <w:keepNext w:val="false"/>
        <w:spacing w:after="100" w:before="0" w:line="250" w:lineRule="auto"/>
      </w:pPr>
      <w:r>
        <w:rPr>
          <w:rFonts w:ascii="Arial" w:cs="Arial" w:eastAsia="Arial" w:hAnsi="Arial"/>
          <w:b w:val="false"/>
          <w:bCs w:val="false"/>
          <w:i/>
          <w:iCs/>
          <w:color w:val="000000"/>
          <w:sz w:val="18"/>
          <w:szCs w:val="18"/>
        </w:rPr>
        <w:t xml:space="preserve">Tax is the primary trigger, but the same three renewable routes in Document 7 carry significant accounting consequences, and the accounting drives the balance sheet that the funding decision depends on. Legislation and standards in black, application to Axion in blue.</w:t>
      </w:r>
    </w:p>
    <w:p>
      <w:pPr>
        <w:keepNext/>
        <w:spacing w:after="70" w:before="200" w:line="250" w:lineRule="auto"/>
      </w:pPr>
      <w:r>
        <w:rPr>
          <w:rFonts w:ascii="Arial" w:cs="Arial" w:eastAsia="Arial" w:hAnsi="Arial"/>
          <w:b/>
          <w:bCs/>
          <w:i w:val="false"/>
          <w:iCs w:val="false"/>
          <w:color w:val="000000"/>
          <w:sz w:val="22"/>
          <w:szCs w:val="22"/>
        </w:rPr>
        <w:t xml:space="preserve">B1. Does a power purchase agreement contain a lease? — IFRS 16</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contract is, or contains, a lease if it conveys the </w:t>
      </w:r>
      <w:r>
        <w:rPr>
          <w:rFonts w:ascii="Arial" w:cs="Arial" w:eastAsia="Arial" w:hAnsi="Arial"/>
          <w:b/>
          <w:bCs/>
          <w:i w:val="false"/>
          <w:iCs w:val="false"/>
          <w:color w:val="000000"/>
          <w:sz w:val="19"/>
          <w:szCs w:val="19"/>
        </w:rPr>
        <w:t xml:space="preserve">right to control the use of an identified asset</w:t>
      </w:r>
      <w:r>
        <w:rPr>
          <w:rFonts w:ascii="Arial" w:cs="Arial" w:eastAsia="Arial" w:hAnsi="Arial"/>
          <w:b w:val="false"/>
          <w:bCs w:val="false"/>
          <w:i w:val="false"/>
          <w:iCs w:val="false"/>
          <w:color w:val="000000"/>
          <w:sz w:val="19"/>
          <w:szCs w:val="19"/>
        </w:rPr>
        <w:t xml:space="preserve"> for a period of time in exchange for consideration. Three tests must all be met.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Identified asset.</w:t>
      </w:r>
      <w:r>
        <w:rPr>
          <w:rFonts w:ascii="Arial" w:cs="Arial" w:eastAsia="Arial" w:hAnsi="Arial"/>
          <w:b w:val="false"/>
          <w:bCs w:val="false"/>
          <w:i w:val="false"/>
          <w:iCs w:val="false"/>
          <w:color w:val="000000"/>
          <w:sz w:val="19"/>
          <w:szCs w:val="19"/>
        </w:rPr>
        <w:t xml:space="preserve"> The asset must be explicitly or implicitly specified. There is no identified asset if the supplier has a </w:t>
      </w:r>
      <w:r>
        <w:rPr>
          <w:rFonts w:ascii="Arial" w:cs="Arial" w:eastAsia="Arial" w:hAnsi="Arial"/>
          <w:b/>
          <w:bCs/>
          <w:i w:val="false"/>
          <w:iCs w:val="false"/>
          <w:color w:val="000000"/>
          <w:sz w:val="19"/>
          <w:szCs w:val="19"/>
        </w:rPr>
        <w:t xml:space="preserve">substantive substitution right</w:t>
      </w:r>
      <w:r>
        <w:rPr>
          <w:rFonts w:ascii="Arial" w:cs="Arial" w:eastAsia="Arial" w:hAnsi="Arial"/>
          <w:b w:val="false"/>
          <w:bCs w:val="false"/>
          <w:i w:val="false"/>
          <w:iCs w:val="false"/>
          <w:color w:val="000000"/>
          <w:sz w:val="19"/>
          <w:szCs w:val="19"/>
        </w:rPr>
        <w:t xml:space="preserve"> — the practical ability to substitute throughout the period of use, and economic benefit from doing so. A </w:t>
      </w:r>
      <w:r>
        <w:rPr>
          <w:rFonts w:ascii="Arial" w:cs="Arial" w:eastAsia="Arial" w:hAnsi="Arial"/>
          <w:b/>
          <w:bCs/>
          <w:i w:val="false"/>
          <w:iCs w:val="false"/>
          <w:color w:val="000000"/>
          <w:sz w:val="19"/>
          <w:szCs w:val="19"/>
        </w:rPr>
        <w:t xml:space="preserve">capacity portion</w:t>
      </w:r>
      <w:r>
        <w:rPr>
          <w:rFonts w:ascii="Arial" w:cs="Arial" w:eastAsia="Arial" w:hAnsi="Arial"/>
          <w:b w:val="false"/>
          <w:bCs w:val="false"/>
          <w:i w:val="false"/>
          <w:iCs w:val="false"/>
          <w:color w:val="000000"/>
          <w:sz w:val="19"/>
          <w:szCs w:val="19"/>
        </w:rPr>
        <w:t xml:space="preserve"> of an asset is an identified asset only if it is </w:t>
      </w:r>
      <w:r>
        <w:rPr>
          <w:rFonts w:ascii="Arial" w:cs="Arial" w:eastAsia="Arial" w:hAnsi="Arial"/>
          <w:b/>
          <w:bCs/>
          <w:i w:val="false"/>
          <w:iCs w:val="false"/>
          <w:color w:val="000000"/>
          <w:sz w:val="19"/>
          <w:szCs w:val="19"/>
        </w:rPr>
        <w:t xml:space="preserve">physically distinct</w:t>
      </w:r>
      <w:r>
        <w:rPr>
          <w:rFonts w:ascii="Arial" w:cs="Arial" w:eastAsia="Arial" w:hAnsi="Arial"/>
          <w:b w:val="false"/>
          <w:bCs w:val="false"/>
          <w:i w:val="false"/>
          <w:iCs w:val="false"/>
          <w:color w:val="000000"/>
          <w:sz w:val="19"/>
          <w:szCs w:val="19"/>
        </w:rPr>
        <w:t xml:space="preserve">; a stated proportion of a plant’s total output is not.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Right to obtain substantially all of the economic benefits</w:t>
      </w:r>
      <w:r>
        <w:rPr>
          <w:rFonts w:ascii="Arial" w:cs="Arial" w:eastAsia="Arial" w:hAnsi="Arial"/>
          <w:b w:val="false"/>
          <w:bCs w:val="false"/>
          <w:i w:val="false"/>
          <w:iCs w:val="false"/>
          <w:color w:val="000000"/>
          <w:sz w:val="19"/>
          <w:szCs w:val="19"/>
        </w:rPr>
        <w:t xml:space="preserve"> from use of the asset throughout the period of use.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Right to direct the use.</w:t>
      </w:r>
      <w:r>
        <w:rPr>
          <w:rFonts w:ascii="Arial" w:cs="Arial" w:eastAsia="Arial" w:hAnsi="Arial"/>
          <w:b w:val="false"/>
          <w:bCs w:val="false"/>
          <w:i w:val="false"/>
          <w:iCs w:val="false"/>
          <w:color w:val="000000"/>
          <w:sz w:val="19"/>
          <w:szCs w:val="19"/>
        </w:rPr>
        <w:t xml:space="preserve"> Who decides how and for what purpose the asset is used? Where those decisions are </w:t>
      </w:r>
      <w:r>
        <w:rPr>
          <w:rFonts w:ascii="Arial" w:cs="Arial" w:eastAsia="Arial" w:hAnsi="Arial"/>
          <w:b/>
          <w:bCs/>
          <w:i w:val="false"/>
          <w:iCs w:val="false"/>
          <w:color w:val="000000"/>
          <w:sz w:val="19"/>
          <w:szCs w:val="19"/>
        </w:rPr>
        <w:t xml:space="preserve">predetermined</w:t>
      </w:r>
      <w:r>
        <w:rPr>
          <w:rFonts w:ascii="Arial" w:cs="Arial" w:eastAsia="Arial" w:hAnsi="Arial"/>
          <w:b w:val="false"/>
          <w:bCs w:val="false"/>
          <w:i w:val="false"/>
          <w:iCs w:val="false"/>
          <w:color w:val="000000"/>
          <w:sz w:val="19"/>
          <w:szCs w:val="19"/>
        </w:rPr>
        <w:t xml:space="preserve">, the customer still has the right to direct use if it </w:t>
      </w:r>
      <w:r>
        <w:rPr>
          <w:rFonts w:ascii="Arial" w:cs="Arial" w:eastAsia="Arial" w:hAnsi="Arial"/>
          <w:b/>
          <w:bCs/>
          <w:i w:val="false"/>
          <w:iCs w:val="false"/>
          <w:color w:val="000000"/>
          <w:sz w:val="19"/>
          <w:szCs w:val="19"/>
        </w:rPr>
        <w:t xml:space="preserve">designed the asset</w:t>
      </w:r>
      <w:r>
        <w:rPr>
          <w:rFonts w:ascii="Arial" w:cs="Arial" w:eastAsia="Arial" w:hAnsi="Arial"/>
          <w:b w:val="false"/>
          <w:bCs w:val="false"/>
          <w:i w:val="false"/>
          <w:iCs w:val="false"/>
          <w:color w:val="000000"/>
          <w:sz w:val="19"/>
          <w:szCs w:val="19"/>
        </w:rPr>
        <w:t xml:space="preserve"> in a way that predetermines how and for what purpose it will be used, or if it operates the asset.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If the contract contains a lease and Axion is the lessee, it recognises a </w:t>
      </w:r>
      <w:r>
        <w:rPr>
          <w:rFonts w:ascii="Arial" w:cs="Arial" w:eastAsia="Arial" w:hAnsi="Arial"/>
          <w:b/>
          <w:bCs/>
          <w:i w:val="false"/>
          <w:iCs w:val="false"/>
          <w:color w:val="000000"/>
          <w:sz w:val="19"/>
          <w:szCs w:val="19"/>
        </w:rPr>
        <w:t xml:space="preserve">right-of-use asset and a lease liability</w:t>
      </w:r>
      <w:r>
        <w:rPr>
          <w:rFonts w:ascii="Arial" w:cs="Arial" w:eastAsia="Arial" w:hAnsi="Arial"/>
          <w:b w:val="false"/>
          <w:bCs w:val="false"/>
          <w:i w:val="false"/>
          <w:iCs w:val="false"/>
          <w:color w:val="000000"/>
          <w:sz w:val="19"/>
          <w:szCs w:val="19"/>
        </w:rPr>
        <w:t xml:space="preserve"> measured at the present value of the lease payments, unless the short-term or low-value exemptions apply.</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This is the most consequential accounting question on the renewable trigger, and the reason is not technical — it is the balance sheet. </w:t>
      </w:r>
      <w:r>
        <w:rPr>
          <w:rFonts w:ascii="Arial" w:cs="Arial" w:eastAsia="Arial" w:hAnsi="Arial"/>
          <w:b/>
          <w:bCs/>
          <w:i w:val="false"/>
          <w:iCs w:val="false"/>
          <w:color w:val="0070C0"/>
          <w:sz w:val="19"/>
          <w:szCs w:val="19"/>
        </w:rPr>
        <w:t xml:space="preserve">If a PPA is a lease, it puts a liability onto Axion’s statement of financial position.</w:t>
      </w:r>
      <w:r>
        <w:rPr>
          <w:rFonts w:ascii="Arial" w:cs="Arial" w:eastAsia="Arial" w:hAnsi="Arial"/>
          <w:b w:val="false"/>
          <w:bCs w:val="false"/>
          <w:i w:val="false"/>
          <w:iCs w:val="false"/>
          <w:color w:val="0070C0"/>
          <w:sz w:val="19"/>
          <w:szCs w:val="19"/>
        </w:rPr>
        <w:t xml:space="preserve"> Borrowings are already 4.35 times EBITDA and operating profit covers finance costs only 1.87 times. A long-dated lease liability on a 15 or 20 year offtake could be very large, and it may fall within the definition of debt in the bank covenants.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Work the tests properly rather than assuming.</w:t>
      </w:r>
      <w:r>
        <w:rPr>
          <w:rFonts w:ascii="Arial" w:cs="Arial" w:eastAsia="Arial" w:hAnsi="Arial"/>
          <w:b w:val="false"/>
          <w:bCs w:val="false"/>
          <w:i w:val="false"/>
          <w:iCs w:val="false"/>
          <w:color w:val="0070C0"/>
          <w:sz w:val="19"/>
          <w:szCs w:val="19"/>
        </w:rPr>
        <w:t xml:space="preserve"> A PPA for the entire output of a </w:t>
      </w:r>
      <w:r>
        <w:rPr>
          <w:rFonts w:ascii="Arial" w:cs="Arial" w:eastAsia="Arial" w:hAnsi="Arial"/>
          <w:b/>
          <w:bCs/>
          <w:i w:val="false"/>
          <w:iCs w:val="false"/>
          <w:color w:val="0070C0"/>
          <w:sz w:val="19"/>
          <w:szCs w:val="19"/>
        </w:rPr>
        <w:t xml:space="preserve">specific, named</w:t>
      </w:r>
      <w:r>
        <w:rPr>
          <w:rFonts w:ascii="Arial" w:cs="Arial" w:eastAsia="Arial" w:hAnsi="Arial"/>
          <w:b w:val="false"/>
          <w:bCs w:val="false"/>
          <w:i w:val="false"/>
          <w:iCs w:val="false"/>
          <w:color w:val="0070C0"/>
          <w:sz w:val="19"/>
          <w:szCs w:val="19"/>
        </w:rPr>
        <w:t xml:space="preserve"> solar or wind farm points strongly towards an identified asset. A contract for a stated volume of renewable electricity from a producer’s </w:t>
      </w:r>
      <w:r>
        <w:rPr>
          <w:rFonts w:ascii="Arial" w:cs="Arial" w:eastAsia="Arial" w:hAnsi="Arial"/>
          <w:b/>
          <w:bCs/>
          <w:i w:val="false"/>
          <w:iCs w:val="false"/>
          <w:color w:val="0070C0"/>
          <w:sz w:val="19"/>
          <w:szCs w:val="19"/>
        </w:rPr>
        <w:t xml:space="preserve">portfolio</w:t>
      </w:r>
      <w:r>
        <w:rPr>
          <w:rFonts w:ascii="Arial" w:cs="Arial" w:eastAsia="Arial" w:hAnsi="Arial"/>
          <w:b w:val="false"/>
          <w:bCs w:val="false"/>
          <w:i w:val="false"/>
          <w:iCs w:val="false"/>
          <w:color w:val="0070C0"/>
          <w:sz w:val="19"/>
          <w:szCs w:val="19"/>
        </w:rPr>
        <w:t xml:space="preserve">, with the producer free to source it from anywhere, points away from one — there is no identified asset and no lease.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“designed the asset” limb is the one to watch.</w:t>
      </w:r>
      <w:r>
        <w:rPr>
          <w:rFonts w:ascii="Arial" w:cs="Arial" w:eastAsia="Arial" w:hAnsi="Arial"/>
          <w:b w:val="false"/>
          <w:bCs w:val="false"/>
          <w:i w:val="false"/>
          <w:iCs w:val="false"/>
          <w:color w:val="0070C0"/>
          <w:sz w:val="19"/>
          <w:szCs w:val="19"/>
        </w:rPr>
        <w:t xml:space="preserve"> Document 7 contemplates direct involvement in construction and operations. If Axion specifies or designs a plant built to serve it, the predetermined-decisions test is likely to be met and the arrangement becomes a lease even though Axion does not operate it day to day.</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Ask for: whether the plant is named in the contract, whether the producer can substitute supply, whether Axion takes all of the output or a share, the contract term, and whether Axion had any role in specifying the plant.</w:t>
      </w:r>
    </w:p>
    <w:p>
      <w:pPr>
        <w:keepNext/>
        <w:spacing w:after="70" w:before="200" w:line="250" w:lineRule="auto"/>
      </w:pPr>
      <w:r>
        <w:rPr>
          <w:rFonts w:ascii="Arial" w:cs="Arial" w:eastAsia="Arial" w:hAnsi="Arial"/>
          <w:b/>
          <w:bCs/>
          <w:i w:val="false"/>
          <w:iCs w:val="false"/>
          <w:color w:val="000000"/>
          <w:sz w:val="22"/>
          <w:szCs w:val="22"/>
        </w:rPr>
        <w:t xml:space="preserve">B2. If it is not a lease — is it a derivative? IFRS 9</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contract to buy a non-financial item that </w:t>
      </w:r>
      <w:r>
        <w:rPr>
          <w:rFonts w:ascii="Arial" w:cs="Arial" w:eastAsia="Arial" w:hAnsi="Arial"/>
          <w:b/>
          <w:bCs/>
          <w:i w:val="false"/>
          <w:iCs w:val="false"/>
          <w:color w:val="000000"/>
          <w:sz w:val="19"/>
          <w:szCs w:val="19"/>
        </w:rPr>
        <w:t xml:space="preserve">can be settled net in cash</w:t>
      </w:r>
      <w:r>
        <w:rPr>
          <w:rFonts w:ascii="Arial" w:cs="Arial" w:eastAsia="Arial" w:hAnsi="Arial"/>
          <w:b w:val="false"/>
          <w:bCs w:val="false"/>
          <w:i w:val="false"/>
          <w:iCs w:val="false"/>
          <w:color w:val="000000"/>
          <w:sz w:val="19"/>
          <w:szCs w:val="19"/>
        </w:rPr>
        <w:t xml:space="preserve"> or by another financial instrument is within the scope of IFRS 9 and is measured at </w:t>
      </w:r>
      <w:r>
        <w:rPr>
          <w:rFonts w:ascii="Arial" w:cs="Arial" w:eastAsia="Arial" w:hAnsi="Arial"/>
          <w:b/>
          <w:bCs/>
          <w:i w:val="false"/>
          <w:iCs w:val="false"/>
          <w:color w:val="000000"/>
          <w:sz w:val="19"/>
          <w:szCs w:val="19"/>
        </w:rPr>
        <w:t xml:space="preserve">fair value through profit or loss</w:t>
      </w:r>
      <w:r>
        <w:rPr>
          <w:rFonts w:ascii="Arial" w:cs="Arial" w:eastAsia="Arial" w:hAnsi="Arial"/>
          <w:b w:val="false"/>
          <w:bCs w:val="false"/>
          <w:i w:val="false"/>
          <w:iCs w:val="false"/>
          <w:color w:val="000000"/>
          <w:sz w:val="19"/>
          <w:szCs w:val="19"/>
        </w:rPr>
        <w:t xml:space="preserve">, unless it was entered into and continues to be held for the entity’s </w:t>
      </w:r>
      <w:r>
        <w:rPr>
          <w:rFonts w:ascii="Arial" w:cs="Arial" w:eastAsia="Arial" w:hAnsi="Arial"/>
          <w:b/>
          <w:bCs/>
          <w:i w:val="false"/>
          <w:iCs w:val="false"/>
          <w:color w:val="000000"/>
          <w:sz w:val="19"/>
          <w:szCs w:val="19"/>
        </w:rPr>
        <w:t xml:space="preserve">expected purchase, sale or usage requirements</w:t>
      </w:r>
      <w:r>
        <w:rPr>
          <w:rFonts w:ascii="Arial" w:cs="Arial" w:eastAsia="Arial" w:hAnsi="Arial"/>
          <w:b w:val="false"/>
          <w:bCs w:val="false"/>
          <w:i w:val="false"/>
          <w:iCs w:val="false"/>
          <w:color w:val="000000"/>
          <w:sz w:val="19"/>
          <w:szCs w:val="19"/>
        </w:rPr>
        <w:t xml:space="preserve"> — the </w:t>
      </w:r>
      <w:r>
        <w:rPr>
          <w:rFonts w:ascii="Arial" w:cs="Arial" w:eastAsia="Arial" w:hAnsi="Arial"/>
          <w:b/>
          <w:bCs/>
          <w:i w:val="false"/>
          <w:iCs w:val="false"/>
          <w:color w:val="000000"/>
          <w:sz w:val="19"/>
          <w:szCs w:val="19"/>
        </w:rPr>
        <w:t xml:space="preserve">own-use exemption</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w:t>
      </w:r>
      <w:r>
        <w:rPr>
          <w:rFonts w:ascii="Arial" w:cs="Arial" w:eastAsia="Arial" w:hAnsi="Arial"/>
          <w:b/>
          <w:bCs/>
          <w:i w:val="false"/>
          <w:iCs w:val="false"/>
          <w:color w:val="000000"/>
          <w:sz w:val="19"/>
          <w:szCs w:val="19"/>
        </w:rPr>
        <w:t xml:space="preserve">physical</w:t>
      </w:r>
      <w:r>
        <w:rPr>
          <w:rFonts w:ascii="Arial" w:cs="Arial" w:eastAsia="Arial" w:hAnsi="Arial"/>
          <w:b w:val="false"/>
          <w:bCs w:val="false"/>
          <w:i w:val="false"/>
          <w:iCs w:val="false"/>
          <w:color w:val="000000"/>
          <w:sz w:val="19"/>
          <w:szCs w:val="19"/>
        </w:rPr>
        <w:t xml:space="preserve"> PPA under which the buyer takes and consumes the electricity generally meets the own-use exemption and is accounted for as an executory contract — expensed as the electricity is consumed.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w:t>
      </w:r>
      <w:r>
        <w:rPr>
          <w:rFonts w:ascii="Arial" w:cs="Arial" w:eastAsia="Arial" w:hAnsi="Arial"/>
          <w:b/>
          <w:bCs/>
          <w:i w:val="false"/>
          <w:iCs w:val="false"/>
          <w:color w:val="000000"/>
          <w:sz w:val="19"/>
          <w:szCs w:val="19"/>
        </w:rPr>
        <w:t xml:space="preserve">virtual or financial</w:t>
      </w:r>
      <w:r>
        <w:rPr>
          <w:rFonts w:ascii="Arial" w:cs="Arial" w:eastAsia="Arial" w:hAnsi="Arial"/>
          <w:b w:val="false"/>
          <w:bCs w:val="false"/>
          <w:i w:val="false"/>
          <w:iCs w:val="false"/>
          <w:color w:val="000000"/>
          <w:sz w:val="19"/>
          <w:szCs w:val="19"/>
        </w:rPr>
        <w:t xml:space="preserve"> PPA, settled net against a reference price without physical delivery, does </w:t>
      </w:r>
      <w:r>
        <w:rPr>
          <w:rFonts w:ascii="Arial" w:cs="Arial" w:eastAsia="Arial" w:hAnsi="Arial"/>
          <w:b/>
          <w:bCs/>
          <w:i w:val="false"/>
          <w:iCs w:val="false"/>
          <w:color w:val="000000"/>
          <w:sz w:val="19"/>
          <w:szCs w:val="19"/>
        </w:rPr>
        <w:t xml:space="preserve">not</w:t>
      </w:r>
      <w:r>
        <w:rPr>
          <w:rFonts w:ascii="Arial" w:cs="Arial" w:eastAsia="Arial" w:hAnsi="Arial"/>
          <w:b w:val="false"/>
          <w:bCs w:val="false"/>
          <w:i w:val="false"/>
          <w:iCs w:val="false"/>
          <w:color w:val="000000"/>
          <w:sz w:val="19"/>
          <w:szCs w:val="19"/>
        </w:rPr>
        <w:t xml:space="preserve"> meet the own-use exemption and is a derivative measured at fair value through profit or loss.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Embedded derivatives</w:t>
      </w:r>
      <w:r>
        <w:rPr>
          <w:rFonts w:ascii="Arial" w:cs="Arial" w:eastAsia="Arial" w:hAnsi="Arial"/>
          <w:b w:val="false"/>
          <w:bCs w:val="false"/>
          <w:i w:val="false"/>
          <w:iCs w:val="false"/>
          <w:color w:val="000000"/>
          <w:sz w:val="19"/>
          <w:szCs w:val="19"/>
        </w:rPr>
        <w:t xml:space="preserve"> must be separated from a host contract where their economic characteristics and risks are not closely related to the host — for example pricing linked to a foreign currency or to an index unrelated to electricity.</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 physical PPA delivering electricity Axion actually consumes at its data centres should meet the own-use exemption. Say so, and say why — Axion has 45MW of installed capacity and consumes continuously, so the usage requirement is genuine.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virtual PPA would be a very different outcome:</w:t>
      </w:r>
      <w:r>
        <w:rPr>
          <w:rFonts w:ascii="Arial" w:cs="Arial" w:eastAsia="Arial" w:hAnsi="Arial"/>
          <w:b w:val="false"/>
          <w:bCs w:val="false"/>
          <w:i w:val="false"/>
          <w:iCs w:val="false"/>
          <w:color w:val="0070C0"/>
          <w:sz w:val="19"/>
          <w:szCs w:val="19"/>
        </w:rPr>
        <w:t xml:space="preserve"> fair value movements through profit or loss every reporting period, driven by electricity price curves. For a company being benchmarked by its institutional investors against listed infrastructure businesses, that volatility in reported earnings is a real commercial consideration, not just a technical one.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Check any </w:t>
      </w:r>
      <w:r>
        <w:rPr>
          <w:rFonts w:ascii="Arial" w:cs="Arial" w:eastAsia="Arial" w:hAnsi="Arial"/>
          <w:b/>
          <w:bCs/>
          <w:i w:val="false"/>
          <w:iCs w:val="false"/>
          <w:color w:val="0070C0"/>
          <w:sz w:val="19"/>
          <w:szCs w:val="19"/>
        </w:rPr>
        <w:t xml:space="preserve">escalation mechanism</w:t>
      </w:r>
      <w:r>
        <w:rPr>
          <w:rFonts w:ascii="Arial" w:cs="Arial" w:eastAsia="Arial" w:hAnsi="Arial"/>
          <w:b w:val="false"/>
          <w:bCs w:val="false"/>
          <w:i w:val="false"/>
          <w:iCs w:val="false"/>
          <w:color w:val="0070C0"/>
          <w:sz w:val="19"/>
          <w:szCs w:val="19"/>
        </w:rPr>
        <w:t xml:space="preserve">. If pricing escalates by reference to something other than electricity — an inflation index applied in an unusual way, or a currency — test whether an embedded derivative must be separated.</w:t>
      </w:r>
    </w:p>
    <w:p>
      <w:pPr>
        <w:keepNext/>
        <w:spacing w:after="70" w:before="200" w:line="250" w:lineRule="auto"/>
      </w:pPr>
      <w:r>
        <w:rPr>
          <w:rFonts w:ascii="Arial" w:cs="Arial" w:eastAsia="Arial" w:hAnsi="Arial"/>
          <w:b/>
          <w:bCs/>
          <w:i w:val="false"/>
          <w:iCs w:val="false"/>
          <w:color w:val="000000"/>
          <w:sz w:val="22"/>
          <w:szCs w:val="22"/>
        </w:rPr>
        <w:t xml:space="preserve">B3. Direct investment with a partner — IFRS 10, IFRS 11 and IAS 28</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Control — IFRS 10:</w:t>
      </w:r>
      <w:r>
        <w:rPr>
          <w:rFonts w:ascii="Arial" w:cs="Arial" w:eastAsia="Arial" w:hAnsi="Arial"/>
          <w:b w:val="false"/>
          <w:bCs w:val="false"/>
          <w:i w:val="false"/>
          <w:iCs w:val="false"/>
          <w:color w:val="000000"/>
          <w:sz w:val="19"/>
          <w:szCs w:val="19"/>
        </w:rPr>
        <w:t xml:space="preserve"> power over the investee, exposure to variable returns, and the ability to use that power to affect those returns. Control means consolidation.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Joint control — IFRS 11:</w:t>
      </w:r>
      <w:r>
        <w:rPr>
          <w:rFonts w:ascii="Arial" w:cs="Arial" w:eastAsia="Arial" w:hAnsi="Arial"/>
          <w:b w:val="false"/>
          <w:bCs w:val="false"/>
          <w:i w:val="false"/>
          <w:iCs w:val="false"/>
          <w:color w:val="000000"/>
          <w:sz w:val="19"/>
          <w:szCs w:val="19"/>
        </w:rPr>
        <w:t xml:space="preserve"> the contractually agreed sharing of control, which exists only when decisions about the relevant activities require the </w:t>
      </w:r>
      <w:r>
        <w:rPr>
          <w:rFonts w:ascii="Arial" w:cs="Arial" w:eastAsia="Arial" w:hAnsi="Arial"/>
          <w:b/>
          <w:bCs/>
          <w:i w:val="false"/>
          <w:iCs w:val="false"/>
          <w:color w:val="000000"/>
          <w:sz w:val="19"/>
          <w:szCs w:val="19"/>
        </w:rPr>
        <w:t xml:space="preserve">unanimous consent</w:t>
      </w:r>
      <w:r>
        <w:rPr>
          <w:rFonts w:ascii="Arial" w:cs="Arial" w:eastAsia="Arial" w:hAnsi="Arial"/>
          <w:b w:val="false"/>
          <w:bCs w:val="false"/>
          <w:i w:val="false"/>
          <w:iCs w:val="false"/>
          <w:color w:val="000000"/>
          <w:sz w:val="19"/>
          <w:szCs w:val="19"/>
        </w:rPr>
        <w:t xml:space="preserve"> of the parties sharing control.</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Joint operation versus joint venture:</w:t>
      </w:r>
      <w:r>
        <w:rPr>
          <w:rFonts w:ascii="Arial" w:cs="Arial" w:eastAsia="Arial" w:hAnsi="Arial"/>
          <w:b w:val="false"/>
          <w:bCs w:val="false"/>
          <w:i w:val="false"/>
          <w:iCs w:val="false"/>
          <w:color w:val="000000"/>
          <w:sz w:val="19"/>
          <w:szCs w:val="19"/>
        </w:rPr>
        <w:t xml:space="preserve"> a joint operation exists where the parties have </w:t>
      </w:r>
      <w:r>
        <w:rPr>
          <w:rFonts w:ascii="Arial" w:cs="Arial" w:eastAsia="Arial" w:hAnsi="Arial"/>
          <w:b/>
          <w:bCs/>
          <w:i w:val="false"/>
          <w:iCs w:val="false"/>
          <w:color w:val="000000"/>
          <w:sz w:val="19"/>
          <w:szCs w:val="19"/>
        </w:rPr>
        <w:t xml:space="preserve">rights to the assets and obligations for the liabilities</w:t>
      </w:r>
      <w:r>
        <w:rPr>
          <w:rFonts w:ascii="Arial" w:cs="Arial" w:eastAsia="Arial" w:hAnsi="Arial"/>
          <w:b w:val="false"/>
          <w:bCs w:val="false"/>
          <w:i w:val="false"/>
          <w:iCs w:val="false"/>
          <w:color w:val="000000"/>
          <w:sz w:val="19"/>
          <w:szCs w:val="19"/>
        </w:rPr>
        <w:t xml:space="preserve">; a joint venture exists where they have rights to the </w:t>
      </w:r>
      <w:r>
        <w:rPr>
          <w:rFonts w:ascii="Arial" w:cs="Arial" w:eastAsia="Arial" w:hAnsi="Arial"/>
          <w:b/>
          <w:bCs/>
          <w:i w:val="false"/>
          <w:iCs w:val="false"/>
          <w:color w:val="000000"/>
          <w:sz w:val="19"/>
          <w:szCs w:val="19"/>
        </w:rPr>
        <w:t xml:space="preserve">net assets</w:t>
      </w:r>
      <w:r>
        <w:rPr>
          <w:rFonts w:ascii="Arial" w:cs="Arial" w:eastAsia="Arial" w:hAnsi="Arial"/>
          <w:b w:val="false"/>
          <w:bCs w:val="false"/>
          <w:i w:val="false"/>
          <w:iCs w:val="false"/>
          <w:color w:val="000000"/>
          <w:sz w:val="19"/>
          <w:szCs w:val="19"/>
        </w:rPr>
        <w:t xml:space="preserve">. Where the arrangement is structured through a </w:t>
      </w:r>
      <w:r>
        <w:rPr>
          <w:rFonts w:ascii="Arial" w:cs="Arial" w:eastAsia="Arial" w:hAnsi="Arial"/>
          <w:b/>
          <w:bCs/>
          <w:i w:val="false"/>
          <w:iCs w:val="false"/>
          <w:color w:val="000000"/>
          <w:sz w:val="19"/>
          <w:szCs w:val="19"/>
        </w:rPr>
        <w:t xml:space="preserve">separate vehicle</w:t>
      </w:r>
      <w:r>
        <w:rPr>
          <w:rFonts w:ascii="Arial" w:cs="Arial" w:eastAsia="Arial" w:hAnsi="Arial"/>
          <w:b w:val="false"/>
          <w:bCs w:val="false"/>
          <w:i w:val="false"/>
          <w:iCs w:val="false"/>
          <w:color w:val="000000"/>
          <w:sz w:val="19"/>
          <w:szCs w:val="19"/>
        </w:rPr>
        <w:t xml:space="preserve">, assess the legal form of the vehicle, the contractual terms, and </w:t>
      </w:r>
      <w:r>
        <w:rPr>
          <w:rFonts w:ascii="Arial" w:cs="Arial" w:eastAsia="Arial" w:hAnsi="Arial"/>
          <w:b/>
          <w:bCs/>
          <w:i w:val="false"/>
          <w:iCs w:val="false"/>
          <w:color w:val="000000"/>
          <w:sz w:val="19"/>
          <w:szCs w:val="19"/>
        </w:rPr>
        <w:t xml:space="preserve">other facts and circumstances</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Two facts commonly convert what looks like a joint venture into a joint operation: the parties take </w:t>
      </w:r>
      <w:r>
        <w:rPr>
          <w:rFonts w:ascii="Arial" w:cs="Arial" w:eastAsia="Arial" w:hAnsi="Arial"/>
          <w:b/>
          <w:bCs/>
          <w:i w:val="false"/>
          <w:iCs w:val="false"/>
          <w:color w:val="000000"/>
          <w:sz w:val="19"/>
          <w:szCs w:val="19"/>
        </w:rPr>
        <w:t xml:space="preserve">substantially all of the output</w:t>
      </w:r>
      <w:r>
        <w:rPr>
          <w:rFonts w:ascii="Arial" w:cs="Arial" w:eastAsia="Arial" w:hAnsi="Arial"/>
          <w:b w:val="false"/>
          <w:bCs w:val="false"/>
          <w:i w:val="false"/>
          <w:iCs w:val="false"/>
          <w:color w:val="000000"/>
          <w:sz w:val="19"/>
          <w:szCs w:val="19"/>
        </w:rPr>
        <w:t xml:space="preserve"> of the arrangement, and the arrangement depends on the parties for settlement of its liabilities.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Accounting consequence:</w:t>
      </w:r>
      <w:r>
        <w:rPr>
          <w:rFonts w:ascii="Arial" w:cs="Arial" w:eastAsia="Arial" w:hAnsi="Arial"/>
          <w:b w:val="false"/>
          <w:bCs w:val="false"/>
          <w:i w:val="false"/>
          <w:iCs w:val="false"/>
          <w:color w:val="000000"/>
          <w:sz w:val="19"/>
          <w:szCs w:val="19"/>
        </w:rPr>
        <w:t xml:space="preserve"> a joint operator recognises its </w:t>
      </w:r>
      <w:r>
        <w:rPr>
          <w:rFonts w:ascii="Arial" w:cs="Arial" w:eastAsia="Arial" w:hAnsi="Arial"/>
          <w:b/>
          <w:bCs/>
          <w:i w:val="false"/>
          <w:iCs w:val="false"/>
          <w:color w:val="000000"/>
          <w:sz w:val="19"/>
          <w:szCs w:val="19"/>
        </w:rPr>
        <w:t xml:space="preserve">share of assets, liabilities, revenue and expenses</w:t>
      </w:r>
      <w:r>
        <w:rPr>
          <w:rFonts w:ascii="Arial" w:cs="Arial" w:eastAsia="Arial" w:hAnsi="Arial"/>
          <w:b w:val="false"/>
          <w:bCs w:val="false"/>
          <w:i w:val="false"/>
          <w:iCs w:val="false"/>
          <w:color w:val="000000"/>
          <w:sz w:val="19"/>
          <w:szCs w:val="19"/>
        </w:rPr>
        <w:t xml:space="preserve"> line by line. A joint venturer or an investor with significant influence applies the </w:t>
      </w:r>
      <w:r>
        <w:rPr>
          <w:rFonts w:ascii="Arial" w:cs="Arial" w:eastAsia="Arial" w:hAnsi="Arial"/>
          <w:b/>
          <w:bCs/>
          <w:i w:val="false"/>
          <w:iCs w:val="false"/>
          <w:color w:val="000000"/>
          <w:sz w:val="19"/>
          <w:szCs w:val="19"/>
        </w:rPr>
        <w:t xml:space="preserve">equity method</w:t>
      </w:r>
      <w:r>
        <w:rPr>
          <w:rFonts w:ascii="Arial" w:cs="Arial" w:eastAsia="Arial" w:hAnsi="Arial"/>
          <w:b w:val="false"/>
          <w:bCs w:val="false"/>
          <w:i w:val="false"/>
          <w:iCs w:val="false"/>
          <w:color w:val="000000"/>
          <w:sz w:val="19"/>
          <w:szCs w:val="19"/>
        </w:rPr>
        <w:t xml:space="preserve"> — a single line.</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output test is likely to be decisive here.</w:t>
      </w:r>
      <w:r>
        <w:rPr>
          <w:rFonts w:ascii="Arial" w:cs="Arial" w:eastAsia="Arial" w:hAnsi="Arial"/>
          <w:b w:val="false"/>
          <w:bCs w:val="false"/>
          <w:i w:val="false"/>
          <w:iCs w:val="false"/>
          <w:color w:val="0070C0"/>
          <w:sz w:val="19"/>
          <w:szCs w:val="19"/>
        </w:rPr>
        <w:t xml:space="preserve"> If Axion and the technical partner build a plant and Axion takes all or substantially all of the electricity, that is a strong indicator of a </w:t>
      </w:r>
      <w:r>
        <w:rPr>
          <w:rFonts w:ascii="Arial" w:cs="Arial" w:eastAsia="Arial" w:hAnsi="Arial"/>
          <w:b/>
          <w:bCs/>
          <w:i w:val="false"/>
          <w:iCs w:val="false"/>
          <w:color w:val="0070C0"/>
          <w:sz w:val="19"/>
          <w:szCs w:val="19"/>
        </w:rPr>
        <w:t xml:space="preserve">joint operation</w:t>
      </w:r>
      <w:r>
        <w:rPr>
          <w:rFonts w:ascii="Arial" w:cs="Arial" w:eastAsia="Arial" w:hAnsi="Arial"/>
          <w:b w:val="false"/>
          <w:bCs w:val="false"/>
          <w:i w:val="false"/>
          <w:iCs w:val="false"/>
          <w:color w:val="0070C0"/>
          <w:sz w:val="19"/>
          <w:szCs w:val="19"/>
        </w:rPr>
        <w:t xml:space="preserve"> even if the project is housed in a separate company. Do not assume that a separate legal entity means equity accounting — that is precisely the error the August paper penalised.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Balance sheet consequence, and it points the opposite way to the tax answer.</w:t>
      </w:r>
      <w:r>
        <w:rPr>
          <w:rFonts w:ascii="Arial" w:cs="Arial" w:eastAsia="Arial" w:hAnsi="Arial"/>
          <w:b w:val="false"/>
          <w:bCs w:val="false"/>
          <w:i w:val="false"/>
          <w:iCs w:val="false"/>
          <w:color w:val="0070C0"/>
          <w:sz w:val="19"/>
          <w:szCs w:val="19"/>
        </w:rPr>
        <w:t xml:space="preserve"> A joint operation brings Axion’s </w:t>
      </w:r>
      <w:r>
        <w:rPr>
          <w:rFonts w:ascii="Arial" w:cs="Arial" w:eastAsia="Arial" w:hAnsi="Arial"/>
          <w:b/>
          <w:bCs/>
          <w:i w:val="false"/>
          <w:iCs w:val="false"/>
          <w:color w:val="0070C0"/>
          <w:sz w:val="19"/>
          <w:szCs w:val="19"/>
        </w:rPr>
        <w:t xml:space="preserve">share of the project debt onto its balance sheet</w:t>
      </w:r>
      <w:r>
        <w:rPr>
          <w:rFonts w:ascii="Arial" w:cs="Arial" w:eastAsia="Arial" w:hAnsi="Arial"/>
          <w:b w:val="false"/>
          <w:bCs w:val="false"/>
          <w:i w:val="false"/>
          <w:iCs w:val="false"/>
          <w:color w:val="0070C0"/>
          <w:sz w:val="19"/>
          <w:szCs w:val="19"/>
        </w:rPr>
        <w:t xml:space="preserve">, worsening gearing and covenant headroom. A joint venture keeps it off, in a single equity-accounted line. Meanwhile the tax analysis favours the transparent structure, because that is what lets Axion claim the allowance against its own taxable income. </w:t>
      </w:r>
      <w:r>
        <w:rPr>
          <w:rFonts w:ascii="Arial" w:cs="Arial" w:eastAsia="Arial" w:hAnsi="Arial"/>
          <w:b/>
          <w:bCs/>
          <w:i w:val="false"/>
          <w:iCs w:val="false"/>
          <w:color w:val="0070C0"/>
          <w:sz w:val="19"/>
          <w:szCs w:val="19"/>
        </w:rPr>
        <w:t xml:space="preserve">The two pull in opposite directions, and a good answer says so.</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Ask for the draft shareholders’ or joint operation agreement: how are decisions made, is unanimous consent required, who takes the output, and who is obliged to fund the liabilities?</w:t>
      </w:r>
    </w:p>
    <w:p>
      <w:pPr>
        <w:keepNext/>
        <w:spacing w:after="70" w:before="200" w:line="250" w:lineRule="auto"/>
      </w:pPr>
      <w:r>
        <w:rPr>
          <w:rFonts w:ascii="Arial" w:cs="Arial" w:eastAsia="Arial" w:hAnsi="Arial"/>
          <w:b/>
          <w:bCs/>
          <w:i w:val="false"/>
          <w:iCs w:val="false"/>
          <w:color w:val="000000"/>
          <w:sz w:val="22"/>
          <w:szCs w:val="22"/>
        </w:rPr>
        <w:t xml:space="preserve">B4. The generation asset itself — IAS 16, IAS 23, IAS 36</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IAS 16:</w:t>
      </w:r>
      <w:r>
        <w:rPr>
          <w:rFonts w:ascii="Arial" w:cs="Arial" w:eastAsia="Arial" w:hAnsi="Arial"/>
          <w:b w:val="false"/>
          <w:bCs w:val="false"/>
          <w:i w:val="false"/>
          <w:iCs w:val="false"/>
          <w:color w:val="000000"/>
          <w:sz w:val="19"/>
          <w:szCs w:val="19"/>
        </w:rPr>
        <w:t xml:space="preserve"> cost comprises the purchase price, costs directly attributable to bringing the asset to the location and condition necessary for it to operate, and the initial estimate of the </w:t>
      </w:r>
      <w:r>
        <w:rPr>
          <w:rFonts w:ascii="Arial" w:cs="Arial" w:eastAsia="Arial" w:hAnsi="Arial"/>
          <w:b/>
          <w:bCs/>
          <w:i w:val="false"/>
          <w:iCs w:val="false"/>
          <w:color w:val="000000"/>
          <w:sz w:val="19"/>
          <w:szCs w:val="19"/>
        </w:rPr>
        <w:t xml:space="preserve">decommissioning and restoration</w:t>
      </w:r>
      <w:r>
        <w:rPr>
          <w:rFonts w:ascii="Arial" w:cs="Arial" w:eastAsia="Arial" w:hAnsi="Arial"/>
          <w:b w:val="false"/>
          <w:bCs w:val="false"/>
          <w:i w:val="false"/>
          <w:iCs w:val="false"/>
          <w:color w:val="000000"/>
          <w:sz w:val="19"/>
          <w:szCs w:val="19"/>
        </w:rPr>
        <w:t xml:space="preserve"> obligation.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Componentisation:</w:t>
      </w:r>
      <w:r>
        <w:rPr>
          <w:rFonts w:ascii="Arial" w:cs="Arial" w:eastAsia="Arial" w:hAnsi="Arial"/>
          <w:b w:val="false"/>
          <w:bCs w:val="false"/>
          <w:i w:val="false"/>
          <w:iCs w:val="false"/>
          <w:color w:val="000000"/>
          <w:sz w:val="19"/>
          <w:szCs w:val="19"/>
        </w:rPr>
        <w:t xml:space="preserve"> each part with a cost significant in relation to the total and a different useful life is depreciated separately. For a solar plant, panels, inverters, mounting structures and transformers typically have materially different lives.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Depreciation begins when the asset is </w:t>
      </w:r>
      <w:r>
        <w:rPr>
          <w:rFonts w:ascii="Arial" w:cs="Arial" w:eastAsia="Arial" w:hAnsi="Arial"/>
          <w:b/>
          <w:bCs/>
          <w:i w:val="false"/>
          <w:iCs w:val="false"/>
          <w:color w:val="000000"/>
          <w:sz w:val="19"/>
          <w:szCs w:val="19"/>
        </w:rPr>
        <w:t xml:space="preserve">available for use</w:t>
      </w:r>
      <w:r>
        <w:rPr>
          <w:rFonts w:ascii="Arial" w:cs="Arial" w:eastAsia="Arial" w:hAnsi="Arial"/>
          <w:b w:val="false"/>
          <w:bCs w:val="false"/>
          <w:i w:val="false"/>
          <w:iCs w:val="false"/>
          <w:color w:val="000000"/>
          <w:sz w:val="19"/>
          <w:szCs w:val="19"/>
        </w:rPr>
        <w:t xml:space="preserve"> — not when it starts generating revenue.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IAS 23:</w:t>
      </w:r>
      <w:r>
        <w:rPr>
          <w:rFonts w:ascii="Arial" w:cs="Arial" w:eastAsia="Arial" w:hAnsi="Arial"/>
          <w:b w:val="false"/>
          <w:bCs w:val="false"/>
          <w:i w:val="false"/>
          <w:iCs w:val="false"/>
          <w:color w:val="000000"/>
          <w:sz w:val="19"/>
          <w:szCs w:val="19"/>
        </w:rPr>
        <w:t xml:space="preserve"> borrowing costs directly attributable to a qualifying asset are capitalised; capitalisation is </w:t>
      </w:r>
      <w:r>
        <w:rPr>
          <w:rFonts w:ascii="Arial" w:cs="Arial" w:eastAsia="Arial" w:hAnsi="Arial"/>
          <w:b/>
          <w:bCs/>
          <w:i w:val="false"/>
          <w:iCs w:val="false"/>
          <w:color w:val="000000"/>
          <w:sz w:val="19"/>
          <w:szCs w:val="19"/>
        </w:rPr>
        <w:t xml:space="preserve">suspended</w:t>
      </w:r>
      <w:r>
        <w:rPr>
          <w:rFonts w:ascii="Arial" w:cs="Arial" w:eastAsia="Arial" w:hAnsi="Arial"/>
          <w:b w:val="false"/>
          <w:bCs w:val="false"/>
          <w:i w:val="false"/>
          <w:iCs w:val="false"/>
          <w:color w:val="000000"/>
          <w:sz w:val="19"/>
          <w:szCs w:val="19"/>
        </w:rPr>
        <w:t xml:space="preserve"> during extended interruptions and </w:t>
      </w:r>
      <w:r>
        <w:rPr>
          <w:rFonts w:ascii="Arial" w:cs="Arial" w:eastAsia="Arial" w:hAnsi="Arial"/>
          <w:b/>
          <w:bCs/>
          <w:i w:val="false"/>
          <w:iCs w:val="false"/>
          <w:color w:val="000000"/>
          <w:sz w:val="19"/>
          <w:szCs w:val="19"/>
        </w:rPr>
        <w:t xml:space="preserve">ceases</w:t>
      </w:r>
      <w:r>
        <w:rPr>
          <w:rFonts w:ascii="Arial" w:cs="Arial" w:eastAsia="Arial" w:hAnsi="Arial"/>
          <w:b w:val="false"/>
          <w:bCs w:val="false"/>
          <w:i w:val="false"/>
          <w:iCs w:val="false"/>
          <w:color w:val="000000"/>
          <w:sz w:val="19"/>
          <w:szCs w:val="19"/>
        </w:rPr>
        <w:t xml:space="preserve"> when substantially all activities necessary to prepare the asset for its intended use are complete.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IAS 36:</w:t>
      </w:r>
      <w:r>
        <w:rPr>
          <w:rFonts w:ascii="Arial" w:cs="Arial" w:eastAsia="Arial" w:hAnsi="Arial"/>
          <w:b w:val="false"/>
          <w:bCs w:val="false"/>
          <w:i w:val="false"/>
          <w:iCs w:val="false"/>
          <w:color w:val="000000"/>
          <w:sz w:val="19"/>
          <w:szCs w:val="19"/>
        </w:rPr>
        <w:t xml:space="preserve"> test for impairment where there is an indicator. Identify the cash-generating unit carefully where the plant serves Axion’s own facilities rather than selling to third parties.</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available for use</w:t>
      </w:r>
      <w:r>
        <w:rPr>
          <w:rFonts w:ascii="Arial" w:cs="Arial" w:eastAsia="Arial" w:hAnsi="Arial"/>
          <w:b w:val="false"/>
          <w:bCs w:val="false"/>
          <w:i w:val="false"/>
          <w:iCs w:val="false"/>
          <w:color w:val="0070C0"/>
          <w:sz w:val="19"/>
          <w:szCs w:val="19"/>
        </w:rPr>
        <w:t xml:space="preserve"> date drives three things at once: the start of depreciation, the cessation of borrowing cost capitalisation, and — as a separate tax test — the date the asset is </w:t>
      </w:r>
      <w:r>
        <w:rPr>
          <w:rFonts w:ascii="Arial" w:cs="Arial" w:eastAsia="Arial" w:hAnsi="Arial"/>
          <w:b/>
          <w:bCs/>
          <w:i w:val="false"/>
          <w:iCs w:val="false"/>
          <w:color w:val="0070C0"/>
          <w:sz w:val="19"/>
          <w:szCs w:val="19"/>
        </w:rPr>
        <w:t xml:space="preserve">brought into use</w:t>
      </w:r>
      <w:r>
        <w:rPr>
          <w:rFonts w:ascii="Arial" w:cs="Arial" w:eastAsia="Arial" w:hAnsi="Arial"/>
          <w:b w:val="false"/>
          <w:bCs w:val="false"/>
          <w:i w:val="false"/>
          <w:iCs w:val="false"/>
          <w:color w:val="0070C0"/>
          <w:sz w:val="19"/>
          <w:szCs w:val="19"/>
        </w:rPr>
        <w:t xml:space="preserve"> for section 12B. The same delay in a grid connection therefore hits all three. This is exactly the interaction already present in the JHB4 pack, so expect the examiner to be comfortable testing it.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CGU identification is genuinely difficult here.</w:t>
      </w:r>
      <w:r>
        <w:rPr>
          <w:rFonts w:ascii="Arial" w:cs="Arial" w:eastAsia="Arial" w:hAnsi="Arial"/>
          <w:b w:val="false"/>
          <w:bCs w:val="false"/>
          <w:i w:val="false"/>
          <w:iCs w:val="false"/>
          <w:color w:val="0070C0"/>
          <w:sz w:val="19"/>
          <w:szCs w:val="19"/>
        </w:rPr>
        <w:t xml:space="preserve"> A plant that supplies electricity to Axion’s own data centres does not generate independent cash inflows, so it may have to be tested as part of a larger CGU — possibly the facility it serves. Be able to explain that reasoning rather than defaulting to testing the plant on its own.</w:t>
      </w:r>
    </w:p>
    <w:p>
      <w:pPr>
        <w:keepNext/>
        <w:spacing w:after="70" w:before="200" w:line="250" w:lineRule="auto"/>
      </w:pPr>
      <w:r>
        <w:rPr>
          <w:rFonts w:ascii="Arial" w:cs="Arial" w:eastAsia="Arial" w:hAnsi="Arial"/>
          <w:b/>
          <w:bCs/>
          <w:i w:val="false"/>
          <w:iCs w:val="false"/>
          <w:color w:val="000000"/>
          <w:sz w:val="22"/>
          <w:szCs w:val="22"/>
        </w:rPr>
        <w:t xml:space="preserve">B5. Decommissioning and restoration — IAS 37 and IFRIC 1</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provision is recognised where there is a present obligation from a past event, an outflow is probable, and the amount can be estimated reliably. It is measured at the </w:t>
      </w:r>
      <w:r>
        <w:rPr>
          <w:rFonts w:ascii="Arial" w:cs="Arial" w:eastAsia="Arial" w:hAnsi="Arial"/>
          <w:b/>
          <w:bCs/>
          <w:i w:val="false"/>
          <w:iCs w:val="false"/>
          <w:color w:val="000000"/>
          <w:sz w:val="19"/>
          <w:szCs w:val="19"/>
        </w:rPr>
        <w:t xml:space="preserve">best estimate</w:t>
      </w:r>
      <w:r>
        <w:rPr>
          <w:rFonts w:ascii="Arial" w:cs="Arial" w:eastAsia="Arial" w:hAnsi="Arial"/>
          <w:b w:val="false"/>
          <w:bCs w:val="false"/>
          <w:i w:val="false"/>
          <w:iCs w:val="false"/>
          <w:color w:val="000000"/>
          <w:sz w:val="19"/>
          <w:szCs w:val="19"/>
        </w:rPr>
        <w:t xml:space="preserve">, discounted where the effect of the time value of money is material.</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initial estimate is capitalised as part of the cost of the asset. The discount is </w:t>
      </w:r>
      <w:r>
        <w:rPr>
          <w:rFonts w:ascii="Arial" w:cs="Arial" w:eastAsia="Arial" w:hAnsi="Arial"/>
          <w:b/>
          <w:bCs/>
          <w:i w:val="false"/>
          <w:iCs w:val="false"/>
          <w:color w:val="000000"/>
          <w:sz w:val="19"/>
          <w:szCs w:val="19"/>
        </w:rPr>
        <w:t xml:space="preserve">unwound</w:t>
      </w:r>
      <w:r>
        <w:rPr>
          <w:rFonts w:ascii="Arial" w:cs="Arial" w:eastAsia="Arial" w:hAnsi="Arial"/>
          <w:b w:val="false"/>
          <w:bCs w:val="false"/>
          <w:i w:val="false"/>
          <w:iCs w:val="false"/>
          <w:color w:val="000000"/>
          <w:sz w:val="19"/>
          <w:szCs w:val="19"/>
        </w:rPr>
        <w:t xml:space="preserve"> through finance costs.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IFRIC 1:</w:t>
      </w:r>
      <w:r>
        <w:rPr>
          <w:rFonts w:ascii="Arial" w:cs="Arial" w:eastAsia="Arial" w:hAnsi="Arial"/>
          <w:b w:val="false"/>
          <w:bCs w:val="false"/>
          <w:i w:val="false"/>
          <w:iCs w:val="false"/>
          <w:color w:val="000000"/>
          <w:sz w:val="19"/>
          <w:szCs w:val="19"/>
        </w:rPr>
        <w:t xml:space="preserve"> changes in the estimated timing or amount of the outflow, or in the discount rate, adjust the cost of the related asset under the cost model.</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Renewable generation sites almost always carry a restoration obligation — panels removed, foundations broken out, land rehabilitated — and it is usually a condition of the environmental authorisation. Ask whether the obligation sits with Axion, with the partner, or with the landowner under the lease or wheeling arrangement.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provision is not deductible for tax until the expenditure is incurred, which creates a </w:t>
      </w:r>
      <w:r>
        <w:rPr>
          <w:rFonts w:ascii="Arial" w:cs="Arial" w:eastAsia="Arial" w:hAnsi="Arial"/>
          <w:b/>
          <w:bCs/>
          <w:i w:val="false"/>
          <w:iCs w:val="false"/>
          <w:color w:val="0070C0"/>
          <w:sz w:val="19"/>
          <w:szCs w:val="19"/>
        </w:rPr>
        <w:t xml:space="preserve">deductible temporary difference</w:t>
      </w:r>
      <w:r>
        <w:rPr>
          <w:rFonts w:ascii="Arial" w:cs="Arial" w:eastAsia="Arial" w:hAnsi="Arial"/>
          <w:b w:val="false"/>
          <w:bCs w:val="false"/>
          <w:i w:val="false"/>
          <w:iCs w:val="false"/>
          <w:color w:val="0070C0"/>
          <w:sz w:val="19"/>
          <w:szCs w:val="19"/>
        </w:rPr>
        <w:t xml:space="preserve"> and a deferred tax asset. Cross-refer to the deferred tax section below.</w:t>
      </w:r>
    </w:p>
    <w:p>
      <w:pPr>
        <w:keepNext/>
        <w:spacing w:after="70" w:before="200" w:line="250" w:lineRule="auto"/>
      </w:pPr>
      <w:r>
        <w:rPr>
          <w:rFonts w:ascii="Arial" w:cs="Arial" w:eastAsia="Arial" w:hAnsi="Arial"/>
          <w:b/>
          <w:bCs/>
          <w:i w:val="false"/>
          <w:iCs w:val="false"/>
          <w:color w:val="000000"/>
          <w:sz w:val="22"/>
          <w:szCs w:val="22"/>
        </w:rPr>
        <w:t xml:space="preserve">B6. Wheeling and other contractual features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Network and wheeling charges are services consumed and are expensed as incurred.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Take-or-pay commitments</w:t>
      </w:r>
      <w:r>
        <w:rPr>
          <w:rFonts w:ascii="Arial" w:cs="Arial" w:eastAsia="Arial" w:hAnsi="Arial"/>
          <w:b w:val="false"/>
          <w:bCs w:val="false"/>
          <w:i w:val="false"/>
          <w:iCs w:val="false"/>
          <w:color w:val="000000"/>
          <w:sz w:val="19"/>
          <w:szCs w:val="19"/>
        </w:rPr>
        <w:t xml:space="preserve"> create an obligation to pay whether or not the electricity is taken. Where the unavoidable cost of meeting the obligation exceeds the expected economic benefit, the contract is </w:t>
      </w:r>
      <w:r>
        <w:rPr>
          <w:rFonts w:ascii="Arial" w:cs="Arial" w:eastAsia="Arial" w:hAnsi="Arial"/>
          <w:b/>
          <w:bCs/>
          <w:i w:val="false"/>
          <w:iCs w:val="false"/>
          <w:color w:val="000000"/>
          <w:sz w:val="19"/>
          <w:szCs w:val="19"/>
        </w:rPr>
        <w:t xml:space="preserve">onerous</w:t>
      </w:r>
      <w:r>
        <w:rPr>
          <w:rFonts w:ascii="Arial" w:cs="Arial" w:eastAsia="Arial" w:hAnsi="Arial"/>
          <w:b w:val="false"/>
          <w:bCs w:val="false"/>
          <w:i w:val="false"/>
          <w:iCs w:val="false"/>
          <w:color w:val="000000"/>
          <w:sz w:val="19"/>
          <w:szCs w:val="19"/>
        </w:rPr>
        <w:t xml:space="preserve"> under IAS 37 and a provision is recognised. Where it is not onerous, the commitment is disclosed.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Renewable energy certificates, where separately acquired or received, are not clearly addressed by a single standard — consider IAS 38 or IAS 2 depending on how they are held and used, and disclose the policy applied.</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Document 7 page 20 states plainly that “purchase commitments may begin before the new facility is fully utilised”. That is the onerous contract risk written into the pre-release. If Axion contracts for electricity to serve capacity it has not yet built or sold, it may be paying for power it cannot use — and the pack lists “electricity generated but not used” as a specific consideration.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Curtailment, transmission losses and electricity generated but not used are all listed in the pack </w:t>
      </w:r>
      <w:r>
        <w:rPr>
          <w:rFonts w:ascii="Arial" w:cs="Arial" w:eastAsia="Arial" w:hAnsi="Arial"/>
          <w:b/>
          <w:bCs/>
          <w:i w:val="false"/>
          <w:iCs w:val="false"/>
          <w:color w:val="0070C0"/>
          <w:sz w:val="19"/>
          <w:szCs w:val="19"/>
        </w:rPr>
        <w:t xml:space="preserve">without saying who bears them</w:t>
      </w:r>
      <w:r>
        <w:rPr>
          <w:rFonts w:ascii="Arial" w:cs="Arial" w:eastAsia="Arial" w:hAnsi="Arial"/>
          <w:b w:val="false"/>
          <w:bCs w:val="false"/>
          <w:i w:val="false"/>
          <w:iCs w:val="false"/>
          <w:color w:val="0070C0"/>
          <w:sz w:val="19"/>
          <w:szCs w:val="19"/>
        </w:rPr>
        <w:t xml:space="preserve">. Whoever bears each one has the accounting consequence. Make that an information request.</w:t>
      </w:r>
    </w:p>
    <w:p>
      <w:pPr>
        <w:keepNext/>
        <w:spacing w:after="70" w:before="200" w:line="250" w:lineRule="auto"/>
      </w:pPr>
      <w:r>
        <w:rPr>
          <w:rFonts w:ascii="Arial" w:cs="Arial" w:eastAsia="Arial" w:hAnsi="Arial"/>
          <w:b/>
          <w:bCs/>
          <w:i w:val="false"/>
          <w:iCs w:val="false"/>
          <w:color w:val="000000"/>
          <w:sz w:val="22"/>
          <w:szCs w:val="22"/>
        </w:rPr>
        <w:t xml:space="preserve">B7. Deferred tax — IAS 12</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Accelerated capital allowances create a </w:t>
      </w:r>
      <w:r>
        <w:rPr>
          <w:rFonts w:ascii="Arial" w:cs="Arial" w:eastAsia="Arial" w:hAnsi="Arial"/>
          <w:b/>
          <w:bCs/>
          <w:i w:val="false"/>
          <w:iCs w:val="false"/>
          <w:color w:val="000000"/>
          <w:sz w:val="19"/>
          <w:szCs w:val="19"/>
        </w:rPr>
        <w:t xml:space="preserve">taxable temporary difference</w:t>
      </w:r>
      <w:r>
        <w:rPr>
          <w:rFonts w:ascii="Arial" w:cs="Arial" w:eastAsia="Arial" w:hAnsi="Arial"/>
          <w:b w:val="false"/>
          <w:bCs w:val="false"/>
          <w:i w:val="false"/>
          <w:iCs w:val="false"/>
          <w:color w:val="000000"/>
          <w:sz w:val="19"/>
          <w:szCs w:val="19"/>
        </w:rPr>
        <w:t xml:space="preserve"> between the carrying amount and the tax base, and therefore a </w:t>
      </w:r>
      <w:r>
        <w:rPr>
          <w:rFonts w:ascii="Arial" w:cs="Arial" w:eastAsia="Arial" w:hAnsi="Arial"/>
          <w:b/>
          <w:bCs/>
          <w:i w:val="false"/>
          <w:iCs w:val="false"/>
          <w:color w:val="000000"/>
          <w:sz w:val="19"/>
          <w:szCs w:val="19"/>
        </w:rPr>
        <w:t xml:space="preserve">deferred tax liability</w:t>
      </w:r>
      <w:r>
        <w:rPr>
          <w:rFonts w:ascii="Arial" w:cs="Arial" w:eastAsia="Arial" w:hAnsi="Arial"/>
          <w:b w:val="false"/>
          <w:bCs w:val="false"/>
          <w:i w:val="false"/>
          <w:iCs w:val="false"/>
          <w:color w:val="000000"/>
          <w:sz w:val="19"/>
          <w:szCs w:val="19"/>
        </w:rPr>
        <w:t xml:space="preserve"> that reverses over the asset’s remaining life.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Deferred tax is measured at the rate expected to apply when the temporary difference reverses — currently </w:t>
      </w:r>
      <w:r>
        <w:rPr>
          <w:rFonts w:ascii="Arial" w:cs="Arial" w:eastAsia="Arial" w:hAnsi="Arial"/>
          <w:b/>
          <w:bCs/>
          <w:i w:val="false"/>
          <w:iCs w:val="false"/>
          <w:color w:val="000000"/>
          <w:sz w:val="19"/>
          <w:szCs w:val="19"/>
        </w:rPr>
        <w:t xml:space="preserve">27%</w:t>
      </w:r>
      <w:r>
        <w:rPr>
          <w:rFonts w:ascii="Arial" w:cs="Arial" w:eastAsia="Arial" w:hAnsi="Arial"/>
          <w:b w:val="false"/>
          <w:bCs w:val="false"/>
          <w:i w:val="false"/>
          <w:iCs w:val="false"/>
          <w:color w:val="000000"/>
          <w:sz w:val="19"/>
          <w:szCs w:val="19"/>
        </w:rPr>
        <w:t xml:space="preserve"> for companies. </w:t>
      </w:r>
      <w:r>
        <w:rPr>
          <w:rFonts w:ascii="Arial" w:cs="Arial" w:eastAsia="Arial" w:hAnsi="Arial"/>
          <w:b/>
          <w:bCs/>
          <w:i w:val="false"/>
          <w:iCs w:val="false"/>
          <w:color w:val="000000"/>
          <w:sz w:val="19"/>
          <w:szCs w:val="19"/>
        </w:rPr>
        <w:t xml:space="preserve">[confirm]</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Where total tax deductions exceed the cost of the asset, the excess is a </w:t>
      </w:r>
      <w:r>
        <w:rPr>
          <w:rFonts w:ascii="Arial" w:cs="Arial" w:eastAsia="Arial" w:hAnsi="Arial"/>
          <w:b/>
          <w:bCs/>
          <w:i w:val="false"/>
          <w:iCs w:val="false"/>
          <w:color w:val="000000"/>
          <w:sz w:val="19"/>
          <w:szCs w:val="19"/>
        </w:rPr>
        <w:t xml:space="preserve">permanent difference</w:t>
      </w:r>
      <w:r>
        <w:rPr>
          <w:rFonts w:ascii="Arial" w:cs="Arial" w:eastAsia="Arial" w:hAnsi="Arial"/>
          <w:b w:val="false"/>
          <w:bCs w:val="false"/>
          <w:i w:val="false"/>
          <w:iCs w:val="false"/>
          <w:color w:val="000000"/>
          <w:sz w:val="19"/>
          <w:szCs w:val="19"/>
        </w:rPr>
        <w:t xml:space="preserve">, not a temporary one, and affects the effective tax rate in the year claimed rather than creating deferred tax.</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Section 12B writes the tax base to nil over three years while the plant is depreciated over 20 to 25 years. The deferred tax liability builds fast and unwinds slowly — a material movement for a business already carrying R6 850m of liabilities, and one that a lender reading the balance sheet will notice.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Where a </w:t>
      </w:r>
      <w:r>
        <w:rPr>
          <w:rFonts w:ascii="Arial" w:cs="Arial" w:eastAsia="Arial" w:hAnsi="Arial"/>
          <w:b/>
          <w:bCs/>
          <w:i w:val="false"/>
          <w:iCs w:val="false"/>
          <w:color w:val="0070C0"/>
          <w:sz w:val="19"/>
          <w:szCs w:val="19"/>
        </w:rPr>
        <w:t xml:space="preserve">125% allowance</w:t>
      </w:r>
      <w:r>
        <w:rPr>
          <w:rFonts w:ascii="Arial" w:cs="Arial" w:eastAsia="Arial" w:hAnsi="Arial"/>
          <w:b w:val="false"/>
          <w:bCs w:val="false"/>
          <w:i w:val="false"/>
          <w:iCs w:val="false"/>
          <w:color w:val="0070C0"/>
          <w:sz w:val="19"/>
          <w:szCs w:val="19"/>
        </w:rPr>
        <w:t xml:space="preserve"> was claimed under section 12BA, the additional 25% is a </w:t>
      </w:r>
      <w:r>
        <w:rPr>
          <w:rFonts w:ascii="Arial" w:cs="Arial" w:eastAsia="Arial" w:hAnsi="Arial"/>
          <w:b/>
          <w:bCs/>
          <w:i w:val="false"/>
          <w:iCs w:val="false"/>
          <w:color w:val="0070C0"/>
          <w:sz w:val="19"/>
          <w:szCs w:val="19"/>
        </w:rPr>
        <w:t xml:space="preserve">permanent difference</w:t>
      </w:r>
      <w:r>
        <w:rPr>
          <w:rFonts w:ascii="Arial" w:cs="Arial" w:eastAsia="Arial" w:hAnsi="Arial"/>
          <w:b w:val="false"/>
          <w:bCs w:val="false"/>
          <w:i w:val="false"/>
          <w:iCs w:val="false"/>
          <w:color w:val="0070C0"/>
          <w:sz w:val="19"/>
          <w:szCs w:val="19"/>
        </w:rPr>
        <w:t xml:space="preserve"> that reduced the effective tax rate in the year of claim. If any of the existing on-site solar was commissioned between 1 March 2023 and 28 February 2025, expect that reconciling item in the FY2024 or FY2025 tax rate reconciliation.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Under </w:t>
      </w:r>
      <w:r>
        <w:rPr>
          <w:rFonts w:ascii="Arial" w:cs="Arial" w:eastAsia="Arial" w:hAnsi="Arial"/>
          <w:b/>
          <w:bCs/>
          <w:i w:val="false"/>
          <w:iCs w:val="false"/>
          <w:color w:val="0070C0"/>
          <w:sz w:val="19"/>
          <w:szCs w:val="19"/>
        </w:rPr>
        <w:t xml:space="preserve">IFRS 18</w:t>
      </w:r>
      <w:r>
        <w:rPr>
          <w:rFonts w:ascii="Arial" w:cs="Arial" w:eastAsia="Arial" w:hAnsi="Arial"/>
          <w:b w:val="false"/>
          <w:bCs w:val="false"/>
          <w:i w:val="false"/>
          <w:iCs w:val="false"/>
          <w:color w:val="0070C0"/>
          <w:sz w:val="19"/>
          <w:szCs w:val="19"/>
        </w:rPr>
        <w:t xml:space="preserve"> — trigger 3 — income taxes form a separate category, below profit before financing and income taxes. Keep the treatment consistent if a task asks for a remapped income statement.</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PART C — Audit implications</w:t>
      </w:r>
    </w:p>
    <w:p>
      <w:pPr>
        <w:keepNext w:val="false"/>
        <w:spacing w:after="100" w:before="0" w:line="250" w:lineRule="auto"/>
      </w:pPr>
      <w:r>
        <w:rPr>
          <w:rFonts w:ascii="Arial" w:cs="Arial" w:eastAsia="Arial" w:hAnsi="Arial"/>
          <w:b w:val="false"/>
          <w:bCs w:val="false"/>
          <w:i/>
          <w:iCs/>
          <w:color w:val="000000"/>
          <w:sz w:val="18"/>
          <w:szCs w:val="18"/>
        </w:rPr>
        <w:t xml:space="preserve">KZL Inc is Axion’s auditor, and in the August paper one task was set from the auditor’s side of the engagement. Be ready to answer this trigger as the auditor as well as as the client.</w:t>
      </w:r>
    </w:p>
    <w:p>
      <w:pPr>
        <w:keepNext/>
        <w:spacing w:after="70" w:before="200" w:line="250" w:lineRule="auto"/>
      </w:pPr>
      <w:r>
        <w:rPr>
          <w:rFonts w:ascii="Arial" w:cs="Arial" w:eastAsia="Arial" w:hAnsi="Arial"/>
          <w:b/>
          <w:bCs/>
          <w:i w:val="false"/>
          <w:iCs w:val="false"/>
          <w:color w:val="000000"/>
          <w:sz w:val="22"/>
          <w:szCs w:val="22"/>
        </w:rPr>
        <w:t xml:space="preserve">C1. The overriding risk — management bias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ISA 240</w:t>
      </w:r>
      <w:r>
        <w:rPr>
          <w:rFonts w:ascii="Arial" w:cs="Arial" w:eastAsia="Arial" w:hAnsi="Arial"/>
          <w:b w:val="false"/>
          <w:bCs w:val="false"/>
          <w:i w:val="false"/>
          <w:iCs w:val="false"/>
          <w:color w:val="000000"/>
          <w:sz w:val="19"/>
          <w:szCs w:val="19"/>
        </w:rPr>
        <w:t xml:space="preserve"> requires the auditor to identify and assess the risks of material misstatement due to fraud, and to presume a risk of fraud in revenue recognition and a risk of management override of controls.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An incentive or pressure to misstate exists where management’s objectives depend on a particular reported outcome.</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70C0"/>
                <w:sz w:val="18"/>
                <w:szCs w:val="18"/>
              </w:rPr>
              <w:t xml:space="preserve">The incentive is unusually clear and it points in one direction: keep liabilities off the balance sheet.</w:t>
            </w:r>
            <w:r>
              <w:rPr>
                <w:rFonts w:ascii="Arial" w:cs="Arial" w:eastAsia="Arial" w:hAnsi="Arial"/>
                <w:b w:val="false"/>
                <w:bCs w:val="false"/>
                <w:i w:val="false"/>
                <w:iCs w:val="false"/>
                <w:color w:val="0070C0"/>
                <w:sz w:val="18"/>
                <w:szCs w:val="18"/>
              </w:rPr>
              <w:t xml:space="preserve"> Operating profit covers finance costs only 1.87 times and falling. Borrowings are 4.35 times EBITDA. A strategic funding review is under way, a draft information memorandum is being prepared, and institutional shareholders benchmark Axion against listed infrastructure businesses.</w:t>
            </w:r>
          </w:p>
          <w:p>
            <w:pPr>
              <w:keepNext w:val="false"/>
              <w:spacing w:after="0" w:before="0" w:line="250" w:lineRule="auto"/>
            </w:pPr>
            <w:r>
              <w:rPr>
                <w:rFonts w:ascii="Arial" w:cs="Arial" w:eastAsia="Arial" w:hAnsi="Arial"/>
                <w:b w:val="false"/>
                <w:bCs w:val="false"/>
                <w:i w:val="false"/>
                <w:iCs w:val="false"/>
                <w:color w:val="0070C0"/>
                <w:sz w:val="18"/>
                <w:szCs w:val="18"/>
              </w:rPr>
              <w:t xml:space="preserve">Three judgements on this trigger all move the gearing ratio, and in each case the answer management would prefer is the one that reports less debt: </w:t>
            </w:r>
            <w:r>
              <w:rPr>
                <w:rFonts w:ascii="Arial" w:cs="Arial" w:eastAsia="Arial" w:hAnsi="Arial"/>
                <w:b/>
                <w:bCs/>
                <w:i w:val="false"/>
                <w:iCs w:val="false"/>
                <w:color w:val="0070C0"/>
                <w:sz w:val="18"/>
                <w:szCs w:val="18"/>
              </w:rPr>
              <w:t xml:space="preserve">(1)</w:t>
            </w:r>
            <w:r>
              <w:rPr>
                <w:rFonts w:ascii="Arial" w:cs="Arial" w:eastAsia="Arial" w:hAnsi="Arial"/>
                <w:b w:val="false"/>
                <w:bCs w:val="false"/>
                <w:i w:val="false"/>
                <w:iCs w:val="false"/>
                <w:color w:val="0070C0"/>
                <w:sz w:val="18"/>
                <w:szCs w:val="18"/>
              </w:rPr>
              <w:t xml:space="preserve"> a PPA is not a lease, so no lease liability; </w:t>
            </w:r>
            <w:r>
              <w:rPr>
                <w:rFonts w:ascii="Arial" w:cs="Arial" w:eastAsia="Arial" w:hAnsi="Arial"/>
                <w:b/>
                <w:bCs/>
                <w:i w:val="false"/>
                <w:iCs w:val="false"/>
                <w:color w:val="0070C0"/>
                <w:sz w:val="18"/>
                <w:szCs w:val="18"/>
              </w:rPr>
              <w:t xml:space="preserve">(2)</w:t>
            </w:r>
            <w:r>
              <w:rPr>
                <w:rFonts w:ascii="Arial" w:cs="Arial" w:eastAsia="Arial" w:hAnsi="Arial"/>
                <w:b w:val="false"/>
                <w:bCs w:val="false"/>
                <w:i w:val="false"/>
                <w:iCs w:val="false"/>
                <w:color w:val="0070C0"/>
                <w:sz w:val="18"/>
                <w:szCs w:val="18"/>
              </w:rPr>
              <w:t xml:space="preserve"> a joint arrangement is a joint venture, so equity accounted rather than proportionate; </w:t>
            </w:r>
            <w:r>
              <w:rPr>
                <w:rFonts w:ascii="Arial" w:cs="Arial" w:eastAsia="Arial" w:hAnsi="Arial"/>
                <w:b/>
                <w:bCs/>
                <w:i w:val="false"/>
                <w:iCs w:val="false"/>
                <w:color w:val="0070C0"/>
                <w:sz w:val="18"/>
                <w:szCs w:val="18"/>
              </w:rPr>
              <w:t xml:space="preserve">(3)</w:t>
            </w:r>
            <w:r>
              <w:rPr>
                <w:rFonts w:ascii="Arial" w:cs="Arial" w:eastAsia="Arial" w:hAnsi="Arial"/>
                <w:b w:val="false"/>
                <w:bCs w:val="false"/>
                <w:i w:val="false"/>
                <w:iCs w:val="false"/>
                <w:color w:val="0070C0"/>
                <w:sz w:val="18"/>
                <w:szCs w:val="18"/>
              </w:rPr>
              <w:t xml:space="preserve"> costs are capitalised rather than expensed, so profit and the asset base are higher. The auditor should treat all three as areas of heightened risk and apply professional scepticism to management’s reasoning, not just to its arithmetic.</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C2. Risks of material misstatement at assertion level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1648"/>
        <w:gridCol w:w="6386"/>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Balance or transaction</w:t>
            </w:r>
          </w:p>
        </w:tc>
        <w:tc>
          <w:tcPr>
            <w:tcW w:type="dxa" w:w="164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Assertion</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Risk of material misstatement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Right-of-use assets and lease liabilities from a PPA</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 classification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PPA is not identified as containing a lease, so the liability and the corresponding asset are </w:t>
            </w:r>
            <w:r>
              <w:rPr>
                <w:rFonts w:ascii="Arial" w:cs="Arial" w:eastAsia="Arial" w:hAnsi="Arial"/>
                <w:b/>
                <w:bCs/>
                <w:i w:val="false"/>
                <w:iCs w:val="false"/>
                <w:color w:val="0070C0"/>
                <w:sz w:val="18"/>
                <w:szCs w:val="18"/>
              </w:rPr>
              <w:t xml:space="preserve">omitted entirely</w:t>
            </w:r>
            <w:r>
              <w:rPr>
                <w:rFonts w:ascii="Arial" w:cs="Arial" w:eastAsia="Arial" w:hAnsi="Arial"/>
                <w:b w:val="false"/>
                <w:bCs w:val="false"/>
                <w:i w:val="false"/>
                <w:iCs w:val="false"/>
                <w:color w:val="0070C0"/>
                <w:sz w:val="18"/>
                <w:szCs w:val="18"/>
              </w:rPr>
              <w:t xml:space="preserve">. Completeness of liabilities is the assertion most at risk, and it is the hardest to audit because there is no entry to test.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in a joint arrangement</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Classification; presentation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joint operation is incorrectly equity accounted as a joint venture, so Axion’s share of the project’s assets, liabilities, revenue and expenses is not recognised line by line. Gearing is understated.</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Generation assets under construction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Existence; valuation and allocation; cut-off</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Costs that should be expensed — pre-feasibility work, abortive costs, general overheads — are capitalised. Borrowing costs are capitalised outside the permitted window, or capitalisation is not suspended or ceased when it should be.</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Depreciation of generation assets</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valuation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Depreciation starts late because it is linked to first revenue rather than to the date the asset is available for use. Components with shorter lives — inverters especially — are depreciated over the life of the whole plant.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Decommissioning provision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 valuation; accuracy</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obligation is not recognised at all, or is understated through an optimistic cost estimate, an inappropriate discount rate, or an assumed restoration date that is too far away. An accounting estimate with high estimation uncertainty — ISA 540 applies.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Current tax and capital allowances</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completeness; valuation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An allowance is claimed at the wrong rate, on non-qualifying assets, or </w:t>
            </w:r>
            <w:r>
              <w:rPr>
                <w:rFonts w:ascii="Arial" w:cs="Arial" w:eastAsia="Arial" w:hAnsi="Arial"/>
                <w:b/>
                <w:bCs/>
                <w:i w:val="false"/>
                <w:iCs w:val="false"/>
                <w:color w:val="0070C0"/>
                <w:sz w:val="18"/>
                <w:szCs w:val="18"/>
              </w:rPr>
              <w:t xml:space="preserve">before the asset is brought into use</w:t>
            </w:r>
            <w:r>
              <w:rPr>
                <w:rFonts w:ascii="Arial" w:cs="Arial" w:eastAsia="Arial" w:hAnsi="Arial"/>
                <w:b w:val="false"/>
                <w:bCs w:val="false"/>
                <w:i w:val="false"/>
                <w:iCs w:val="false"/>
                <w:color w:val="0070C0"/>
                <w:sz w:val="18"/>
                <w:szCs w:val="18"/>
              </w:rPr>
              <w:t xml:space="preserve">. In the worst case section 12BA is claimed for an asset brought into use after the window closed — which would be both a misstatement and a penalty exposure.</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Deferred tax</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valuation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tax base is wrong because the tax fixed asset register is not reconciled to the accounting register. A permanent difference is treated as a temporary one, or a deferred tax asset is recognised on an assessed loss without sufficient evidence of future taxable profits.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Derivative from a virtual PPA</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 valuation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net-settled PPA is treated as an executory contract under an own-use argument that does not hold, so a derivative at fair value through profit or loss is omitted.</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Onerous contract provision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take-or-pay commitment covering capacity Axion cannot yet use is not assessed as onerous, so a provision is omitted. The pack itself flags this risk.</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recharge revenue</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Occurrence; accuracy; cut-off</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Metered recharges are estimated at period end and the estimate is wrong, or the cut-off is incorrect. Note this straddles the revenue trigger — see trigger 1.</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C3. Audit procedures, and the risk each one addresses</w:t>
      </w:r>
    </w:p>
    <w:p>
      <w:pPr>
        <w:keepNext w:val="false"/>
        <w:spacing w:after="100" w:before="0" w:line="250" w:lineRule="auto"/>
      </w:pPr>
      <w:r>
        <w:rPr>
          <w:rFonts w:ascii="Arial" w:cs="Arial" w:eastAsia="Arial" w:hAnsi="Arial"/>
          <w:b w:val="false"/>
          <w:bCs w:val="false"/>
          <w:i/>
          <w:iCs/>
          <w:color w:val="000000"/>
          <w:sz w:val="18"/>
          <w:szCs w:val="18"/>
        </w:rPr>
        <w:t xml:space="preserve">A procedure is only worth writing down if you can say what it is for. The format below — procedure, then the risk and assertion it addresses — is what markers reward.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5356"/>
        <w:gridCol w:w="4944"/>
      </w:tblGrid>
      <w:tr>
        <w:trPr>
          <w:tblHeader/>
        </w:trPr>
        <w:tc>
          <w:tcPr>
            <w:tcW w:type="dxa" w:w="535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Procedure</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Risk and assertion addressed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Obtain the complete contract register</w:t>
            </w:r>
            <w:r>
              <w:rPr>
                <w:rFonts w:ascii="Arial" w:cs="Arial" w:eastAsia="Arial" w:hAnsi="Arial"/>
                <w:b w:val="false"/>
                <w:bCs w:val="false"/>
                <w:i w:val="false"/>
                <w:iCs w:val="false"/>
                <w:color w:val="000000"/>
                <w:sz w:val="18"/>
                <w:szCs w:val="18"/>
              </w:rPr>
              <w:t xml:space="preserve"> and inspect all new electricity supply agreements entered into during the year, agreeing the listing to board and Investment Committee minutes and to treasury records.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 of liabilities. Establishes the </w:t>
            </w:r>
            <w:r>
              <w:rPr>
                <w:rFonts w:ascii="Arial" w:cs="Arial" w:eastAsia="Arial" w:hAnsi="Arial"/>
                <w:b/>
                <w:bCs/>
                <w:i w:val="false"/>
                <w:iCs w:val="false"/>
                <w:color w:val="000000"/>
                <w:sz w:val="18"/>
                <w:szCs w:val="18"/>
              </w:rPr>
              <w:t xml:space="preserve">population</w:t>
            </w:r>
            <w:r>
              <w:rPr>
                <w:rFonts w:ascii="Arial" w:cs="Arial" w:eastAsia="Arial" w:hAnsi="Arial"/>
                <w:b w:val="false"/>
                <w:bCs w:val="false"/>
                <w:i w:val="false"/>
                <w:iCs w:val="false"/>
                <w:color w:val="000000"/>
                <w:sz w:val="18"/>
                <w:szCs w:val="18"/>
              </w:rPr>
              <w:t xml:space="preserve"> of contracts before testing classification — without this, any conclusion on the PPA is unsupported.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Inspect each PPA</w:t>
            </w:r>
            <w:r>
              <w:rPr>
                <w:rFonts w:ascii="Arial" w:cs="Arial" w:eastAsia="Arial" w:hAnsi="Arial"/>
                <w:b w:val="false"/>
                <w:bCs w:val="false"/>
                <w:i w:val="false"/>
                <w:iCs w:val="false"/>
                <w:color w:val="000000"/>
                <w:sz w:val="18"/>
                <w:szCs w:val="18"/>
              </w:rPr>
              <w:t xml:space="preserve"> and evaluate management’s lease assessment against the IFRS 16 criteria: is a specific plant named; does the producer have a substantive substitution right; does Axion take substantially all the output; did Axion design or specify the plant.</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Classification and completeness. Directly addresses the risk that a lease liability is omitted.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Challenge the substitution right</w:t>
            </w:r>
            <w:r>
              <w:rPr>
                <w:rFonts w:ascii="Arial" w:cs="Arial" w:eastAsia="Arial" w:hAnsi="Arial"/>
                <w:b w:val="false"/>
                <w:bCs w:val="false"/>
                <w:i w:val="false"/>
                <w:iCs w:val="false"/>
                <w:color w:val="000000"/>
                <w:sz w:val="18"/>
                <w:szCs w:val="18"/>
              </w:rPr>
              <w:t xml:space="preserve"> by inspecting the contract terms rather than accepting management’s summary, and assess whether the producer has the practical ability and the economic incentive to substitute.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Classification. Substitution is the argument most commonly used to conclude “no lease”, so it is where scepticism is most needed.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Recompute the lease liability</w:t>
            </w:r>
            <w:r>
              <w:rPr>
                <w:rFonts w:ascii="Arial" w:cs="Arial" w:eastAsia="Arial" w:hAnsi="Arial"/>
                <w:b w:val="false"/>
                <w:bCs w:val="false"/>
                <w:i w:val="false"/>
                <w:iCs w:val="false"/>
                <w:color w:val="000000"/>
                <w:sz w:val="18"/>
                <w:szCs w:val="18"/>
              </w:rPr>
              <w:t xml:space="preserve"> on a sample basis, agreeing the term, the payments and the discount rate to the contract, and evaluating the incremental borrowing rate against Axion’s actual funding costs.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Valuation and accuracy of the liability and right-of-use asset.</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Inspect the joint arrangement agreement</w:t>
            </w:r>
            <w:r>
              <w:rPr>
                <w:rFonts w:ascii="Arial" w:cs="Arial" w:eastAsia="Arial" w:hAnsi="Arial"/>
                <w:b w:val="false"/>
                <w:bCs w:val="false"/>
                <w:i w:val="false"/>
                <w:iCs w:val="false"/>
                <w:color w:val="000000"/>
                <w:sz w:val="18"/>
                <w:szCs w:val="18"/>
              </w:rPr>
              <w:t xml:space="preserve">, specifically the decision-making clauses, the output offtake provisions and the obligation of the parties to fund liabilities, and evaluate management’s IFRS 11 classification against those terms.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Classification and presentation. Addresses the risk that a joint operation is equity accounted.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Test capitalised project costs</w:t>
            </w:r>
            <w:r>
              <w:rPr>
                <w:rFonts w:ascii="Arial" w:cs="Arial" w:eastAsia="Arial" w:hAnsi="Arial"/>
                <w:b w:val="false"/>
                <w:bCs w:val="false"/>
                <w:i w:val="false"/>
                <w:iCs w:val="false"/>
                <w:color w:val="000000"/>
                <w:sz w:val="18"/>
                <w:szCs w:val="18"/>
              </w:rPr>
              <w:t xml:space="preserve"> by vouching a sample to supplier invoices and contracts, and evaluating whether each is directly attributable rather than general overhead or abortive cost.</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Existence and valuation and allocation of assets under construction; the risk that expenses are capitalised to protect profit.</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Recompute capitalised borrowing costs</w:t>
            </w:r>
            <w:r>
              <w:rPr>
                <w:rFonts w:ascii="Arial" w:cs="Arial" w:eastAsia="Arial" w:hAnsi="Arial"/>
                <w:b w:val="false"/>
                <w:bCs w:val="false"/>
                <w:i w:val="false"/>
                <w:iCs w:val="false"/>
                <w:color w:val="000000"/>
                <w:sz w:val="18"/>
                <w:szCs w:val="18"/>
              </w:rPr>
              <w:t xml:space="preserve">, agreeing drawdowns and deposit balances to bank confirmations, and confirming that interest income on temporarily invested specific borrowings has been deducted.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and valuation. Directly tests the IAS 23 netting the JHB4 scorecard measure is built on.</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Enquire of the project engineers</w:t>
            </w:r>
            <w:r>
              <w:rPr>
                <w:rFonts w:ascii="Arial" w:cs="Arial" w:eastAsia="Arial" w:hAnsi="Arial"/>
                <w:b w:val="false"/>
                <w:bCs w:val="false"/>
                <w:i w:val="false"/>
                <w:iCs w:val="false"/>
                <w:color w:val="000000"/>
                <w:sz w:val="18"/>
                <w:szCs w:val="18"/>
              </w:rPr>
              <w:t xml:space="preserve"> about any interruptions to construction and inspect progress reports and grid connection correspondence to identify periods when capitalisation should have been suspended or ceased.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Cut-off and valuation. Corroborates management with evidence from outside the finance function.</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Inspect commissioning and handover certificates</w:t>
            </w:r>
            <w:r>
              <w:rPr>
                <w:rFonts w:ascii="Arial" w:cs="Arial" w:eastAsia="Arial" w:hAnsi="Arial"/>
                <w:b w:val="false"/>
                <w:bCs w:val="false"/>
                <w:i w:val="false"/>
                <w:iCs w:val="false"/>
                <w:color w:val="000000"/>
                <w:sz w:val="18"/>
                <w:szCs w:val="18"/>
              </w:rPr>
              <w:t xml:space="preserve"> to establish the date each asset became available for use, and agree that date to the depreciation start date and to the date used in the tax computation.</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Cut-off and accuracy — and it tests the accounting and the tax consequence with a single piece of evidence.</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Reconcile the tax fixed asset register to the accounting fixed asset register</w:t>
            </w:r>
            <w:r>
              <w:rPr>
                <w:rFonts w:ascii="Arial" w:cs="Arial" w:eastAsia="Arial" w:hAnsi="Arial"/>
                <w:b w:val="false"/>
                <w:bCs w:val="false"/>
                <w:i w:val="false"/>
                <w:iCs w:val="false"/>
                <w:color w:val="000000"/>
                <w:sz w:val="18"/>
                <w:szCs w:val="18"/>
              </w:rPr>
              <w:t xml:space="preserve">, and test a sample of assets to confirm the allowance claimed matches the section relied on, the rate, and the bring-into-use date.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and completeness of current and deferred tax. Addresses the wrong-rate and wrong-section risk.</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Specifically test whether any asset has been claimed under section 12BA</w:t>
            </w:r>
            <w:r>
              <w:rPr>
                <w:rFonts w:ascii="Arial" w:cs="Arial" w:eastAsia="Arial" w:hAnsi="Arial"/>
                <w:b w:val="false"/>
                <w:bCs w:val="false"/>
                <w:i w:val="false"/>
                <w:iCs w:val="false"/>
                <w:color w:val="000000"/>
                <w:sz w:val="18"/>
                <w:szCs w:val="18"/>
              </w:rPr>
              <w:t xml:space="preserve">, and agree its bring-into-use date to supporting evidence to confirm it falls within the 1 March 2023 to 28 February 2025 window.</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of current tax and compliance with laws and regulations. A claim outside the window is both a misstatement and a regulatory exposure.</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Use an auditor’s expert</w:t>
            </w:r>
            <w:r>
              <w:rPr>
                <w:rFonts w:ascii="Arial" w:cs="Arial" w:eastAsia="Arial" w:hAnsi="Arial"/>
                <w:b w:val="false"/>
                <w:bCs w:val="false"/>
                <w:i w:val="false"/>
                <w:iCs w:val="false"/>
                <w:color w:val="000000"/>
                <w:sz w:val="18"/>
                <w:szCs w:val="18"/>
              </w:rPr>
              <w:t xml:space="preserve"> — a tax specialist for the allowances and an engineer or valuer for the decommissioning estimate — and evaluate the expert’s competence, capability, objectivity and the appropriateness of their work as audit evidence.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ISA 620. Addresses valuation of the provision and accuracy of the tax computation, where the engagement team may lack the necessary expertise.</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Evaluate the decommissioning estimate</w:t>
            </w:r>
            <w:r>
              <w:rPr>
                <w:rFonts w:ascii="Arial" w:cs="Arial" w:eastAsia="Arial" w:hAnsi="Arial"/>
                <w:b w:val="false"/>
                <w:bCs w:val="false"/>
                <w:i w:val="false"/>
                <w:iCs w:val="false"/>
                <w:color w:val="000000"/>
                <w:sz w:val="18"/>
                <w:szCs w:val="18"/>
              </w:rPr>
              <w:t xml:space="preserve"> by challenging the cost per MW against external benchmarks, testing the discount rate, and confirming the assumed restoration date to the environmental authorisation and the land lease.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Valuation and completeness; ISA 540 on accounting estimates with high estimation uncertainty.</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Obtain written representations</w:t>
            </w:r>
            <w:r>
              <w:rPr>
                <w:rFonts w:ascii="Arial" w:cs="Arial" w:eastAsia="Arial" w:hAnsi="Arial"/>
                <w:b w:val="false"/>
                <w:bCs w:val="false"/>
                <w:i w:val="false"/>
                <w:iCs w:val="false"/>
                <w:color w:val="000000"/>
                <w:sz w:val="18"/>
                <w:szCs w:val="18"/>
              </w:rPr>
              <w:t xml:space="preserve"> from management on the completeness of contracts entered into, the basis for the lease and joint arrangement classifications, and the intention underlying the own-use assertion for any PPA.</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ISA 580. Supports — but does not replace — other evidence on completeness and on management intention.</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Perform a covenant compliance recalculation</w:t>
            </w:r>
            <w:r>
              <w:rPr>
                <w:rFonts w:ascii="Arial" w:cs="Arial" w:eastAsia="Arial" w:hAnsi="Arial"/>
                <w:b w:val="false"/>
                <w:bCs w:val="false"/>
                <w:i w:val="false"/>
                <w:iCs w:val="false"/>
                <w:color w:val="000000"/>
                <w:sz w:val="18"/>
                <w:szCs w:val="18"/>
              </w:rPr>
              <w:t xml:space="preserve"> and assess the effect on covenant headroom of each of the judgements above, then consider the implications for going concern.</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ISA 570. Links the classification judgements to the going concern conclusion, which is where the consequence of getting them wrong actually lands.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C4. Internal controls Axion should have in place</w:t>
      </w:r>
    </w:p>
    <w:p>
      <w:pPr>
        <w:keepNext w:val="false"/>
        <w:spacing w:after="100" w:before="0" w:line="250" w:lineRule="auto"/>
      </w:pPr>
      <w:r>
        <w:rPr>
          <w:rFonts w:ascii="Arial" w:cs="Arial" w:eastAsia="Arial" w:hAnsi="Arial"/>
          <w:b w:val="false"/>
          <w:bCs w:val="false"/>
          <w:i/>
          <w:iCs/>
          <w:color w:val="000000"/>
          <w:sz w:val="18"/>
          <w:szCs w:val="18"/>
        </w:rPr>
        <w:t xml:space="preserve">Written as controls, not as objectives: who does what, against what, and what happens on an exception.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Contract intake control.</w:t>
      </w:r>
      <w:r>
        <w:rPr>
          <w:rFonts w:ascii="Arial" w:cs="Arial" w:eastAsia="Arial" w:hAnsi="Arial"/>
          <w:b w:val="false"/>
          <w:bCs w:val="false"/>
          <w:i w:val="false"/>
          <w:iCs w:val="false"/>
          <w:color w:val="000000"/>
          <w:sz w:val="19"/>
          <w:szCs w:val="19"/>
        </w:rPr>
        <w:t xml:space="preserve"> Every electricity supply, wheeling or offtake agreement is registered in a central contract register before signature, and no agreement is signed without a </w:t>
      </w:r>
      <w:r>
        <w:rPr>
          <w:rFonts w:ascii="Arial" w:cs="Arial" w:eastAsia="Arial" w:hAnsi="Arial"/>
          <w:b/>
          <w:bCs/>
          <w:i w:val="false"/>
          <w:iCs w:val="false"/>
          <w:color w:val="000000"/>
          <w:sz w:val="19"/>
          <w:szCs w:val="19"/>
        </w:rPr>
        <w:t xml:space="preserve">technical accounting classification memo</w:t>
      </w:r>
      <w:r>
        <w:rPr>
          <w:rFonts w:ascii="Arial" w:cs="Arial" w:eastAsia="Arial" w:hAnsi="Arial"/>
          <w:b w:val="false"/>
          <w:bCs w:val="false"/>
          <w:i w:val="false"/>
          <w:iCs w:val="false"/>
          <w:color w:val="000000"/>
          <w:sz w:val="19"/>
          <w:szCs w:val="19"/>
        </w:rPr>
        <w:t xml:space="preserve"> — lease or not, own use or derivative — prepared by the financial reporting team and reviewed by the Head of Finance. </w:t>
      </w:r>
      <w:r>
        <w:rPr>
          <w:rFonts w:ascii="Arial" w:cs="Arial" w:eastAsia="Arial" w:hAnsi="Arial"/>
          <w:b w:val="false"/>
          <w:bCs w:val="false"/>
          <w:i w:val="false"/>
          <w:iCs w:val="false"/>
          <w:color w:val="0070C0"/>
          <w:sz w:val="19"/>
          <w:szCs w:val="19"/>
        </w:rPr>
        <w:t xml:space="preserve">This is the control that prevents the completeness failure that is otherwise almost undetectable.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Delegation of authority.</w:t>
      </w:r>
      <w:r>
        <w:rPr>
          <w:rFonts w:ascii="Arial" w:cs="Arial" w:eastAsia="Arial" w:hAnsi="Arial"/>
          <w:b w:val="false"/>
          <w:bCs w:val="false"/>
          <w:i w:val="false"/>
          <w:iCs w:val="false"/>
          <w:color w:val="000000"/>
          <w:sz w:val="19"/>
          <w:szCs w:val="19"/>
        </w:rPr>
        <w:t xml:space="preserve"> Capital commitments above a stated threshold require Investment Committee approval, with the approval minute referenced in the capital project file. </w:t>
      </w:r>
      <w:r>
        <w:rPr>
          <w:rFonts w:ascii="Arial" w:cs="Arial" w:eastAsia="Arial" w:hAnsi="Arial"/>
          <w:b w:val="false"/>
          <w:bCs w:val="false"/>
          <w:i w:val="false"/>
          <w:iCs w:val="false"/>
          <w:color w:val="0070C0"/>
          <w:sz w:val="19"/>
          <w:szCs w:val="19"/>
        </w:rPr>
        <w:t xml:space="preserve">Given that the Investment Committee is chaired by a nominee of the 35% shareholder, the conflict of interest procedure under section 75 of the Companies Act should be visibly operating alongside this control — see trigger 12.</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Capitalisation review.</w:t>
      </w:r>
      <w:r>
        <w:rPr>
          <w:rFonts w:ascii="Arial" w:cs="Arial" w:eastAsia="Arial" w:hAnsi="Arial"/>
          <w:b w:val="false"/>
          <w:bCs w:val="false"/>
          <w:i w:val="false"/>
          <w:iCs w:val="false"/>
          <w:color w:val="000000"/>
          <w:sz w:val="19"/>
          <w:szCs w:val="19"/>
        </w:rPr>
        <w:t xml:space="preserve"> A monthly review of the assets-under-construction ledger by someone independent of the project delivery team, testing each cost against a documented capitalisation policy, with a reason code required for any manual journal and an exception report to the Head of Finance.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Bring-into-use certification.</w:t>
      </w:r>
      <w:r>
        <w:rPr>
          <w:rFonts w:ascii="Arial" w:cs="Arial" w:eastAsia="Arial" w:hAnsi="Arial"/>
          <w:b w:val="false"/>
          <w:bCs w:val="false"/>
          <w:i w:val="false"/>
          <w:iCs w:val="false"/>
          <w:color w:val="000000"/>
          <w:sz w:val="19"/>
          <w:szCs w:val="19"/>
        </w:rPr>
        <w:t xml:space="preserve"> Engineering signs a formal commissioning certificate for each asset or phase, which is the single source used to start depreciation, stop borrowing cost capitalisation and trigger the tax allowance. </w:t>
      </w:r>
      <w:r>
        <w:rPr>
          <w:rFonts w:ascii="Arial" w:cs="Arial" w:eastAsia="Arial" w:hAnsi="Arial"/>
          <w:b w:val="false"/>
          <w:bCs w:val="false"/>
          <w:i w:val="false"/>
          <w:iCs w:val="false"/>
          <w:color w:val="0070C0"/>
          <w:sz w:val="19"/>
          <w:szCs w:val="19"/>
        </w:rPr>
        <w:t xml:space="preserve">One certificate driving all three prevents the three dates from drifting apart, which is exactly the error an auditor would look for.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Fixed asset register reconciliation.</w:t>
      </w:r>
      <w:r>
        <w:rPr>
          <w:rFonts w:ascii="Arial" w:cs="Arial" w:eastAsia="Arial" w:hAnsi="Arial"/>
          <w:b w:val="false"/>
          <w:bCs w:val="false"/>
          <w:i w:val="false"/>
          <w:iCs w:val="false"/>
          <w:color w:val="000000"/>
          <w:sz w:val="19"/>
          <w:szCs w:val="19"/>
        </w:rPr>
        <w:t xml:space="preserve"> The tax fixed asset register is reconciled to the accounting register at each reporting date by a preparer independent of the person who maintains either, with differences investigated and cleared before the tax computation is finalised.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Tax computation review.</w:t>
      </w:r>
      <w:r>
        <w:rPr>
          <w:rFonts w:ascii="Arial" w:cs="Arial" w:eastAsia="Arial" w:hAnsi="Arial"/>
          <w:b w:val="false"/>
          <w:bCs w:val="false"/>
          <w:i w:val="false"/>
          <w:iCs w:val="false"/>
          <w:color w:val="000000"/>
          <w:sz w:val="19"/>
          <w:szCs w:val="19"/>
        </w:rPr>
        <w:t xml:space="preserve"> The computation is reviewed by a second qualified preparer, and any capital allowance claimed under a time-limited provision requires the bring-into-use date to be evidenced and initialled. </w:t>
      </w:r>
      <w:r>
        <w:rPr>
          <w:rFonts w:ascii="Arial" w:cs="Arial" w:eastAsia="Arial" w:hAnsi="Arial"/>
          <w:b w:val="false"/>
          <w:bCs w:val="false"/>
          <w:i w:val="false"/>
          <w:iCs w:val="false"/>
          <w:color w:val="0070C0"/>
          <w:sz w:val="19"/>
          <w:szCs w:val="19"/>
        </w:rPr>
        <w:t xml:space="preserve">This is the control that would have caught a section 12BA claim made after the window closed.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Estimates governance.</w:t>
      </w:r>
      <w:r>
        <w:rPr>
          <w:rFonts w:ascii="Arial" w:cs="Arial" w:eastAsia="Arial" w:hAnsi="Arial"/>
          <w:b w:val="false"/>
          <w:bCs w:val="false"/>
          <w:i w:val="false"/>
          <w:iCs w:val="false"/>
          <w:color w:val="000000"/>
          <w:sz w:val="19"/>
          <w:szCs w:val="19"/>
        </w:rPr>
        <w:t xml:space="preserve"> Decommissioning estimates are updated annually against external cost benchmarks and approved by the Audit and Risk Committee, with the discount rate documented and the prior-year estimate compared to actual outcomes where available.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Covenant monitoring.</w:t>
      </w:r>
      <w:r>
        <w:rPr>
          <w:rFonts w:ascii="Arial" w:cs="Arial" w:eastAsia="Arial" w:hAnsi="Arial"/>
          <w:b w:val="false"/>
          <w:bCs w:val="false"/>
          <w:i w:val="false"/>
          <w:iCs w:val="false"/>
          <w:color w:val="000000"/>
          <w:sz w:val="19"/>
          <w:szCs w:val="19"/>
        </w:rPr>
        <w:t xml:space="preserve"> Treasury recalculates covenant ratios monthly on both the reported and the alternative accounting treatment where a significant judgement is open, and reports headroom to the Audit and Risk Committee. </w:t>
      </w:r>
      <w:r>
        <w:rPr>
          <w:rFonts w:ascii="Arial" w:cs="Arial" w:eastAsia="Arial" w:hAnsi="Arial"/>
          <w:b w:val="false"/>
          <w:bCs w:val="false"/>
          <w:i w:val="false"/>
          <w:iCs w:val="false"/>
          <w:color w:val="0070C0"/>
          <w:sz w:val="19"/>
          <w:szCs w:val="19"/>
        </w:rPr>
        <w:t xml:space="preserve">This turns an accounting judgement into a visible risk metric rather than something the board discovers at year end.</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PART D — Financial management implications</w:t>
      </w:r>
    </w:p>
    <w:p>
      <w:pPr>
        <w:keepNext w:val="false"/>
        <w:spacing w:after="100" w:before="0" w:line="250" w:lineRule="auto"/>
      </w:pPr>
      <w:r>
        <w:rPr>
          <w:rFonts w:ascii="Arial" w:cs="Arial" w:eastAsia="Arial" w:hAnsi="Arial"/>
          <w:b w:val="false"/>
          <w:bCs w:val="false"/>
          <w:i/>
          <w:iCs/>
          <w:color w:val="000000"/>
          <w:sz w:val="18"/>
          <w:szCs w:val="18"/>
        </w:rPr>
        <w:t xml:space="preserve">Document 3 sets out the investment method Axion itself uses. The renewable decision is the most likely place that method will be applied on the day.</w:t>
      </w:r>
    </w:p>
    <w:p>
      <w:pPr>
        <w:keepNext/>
        <w:spacing w:after="70" w:before="200" w:line="250" w:lineRule="auto"/>
      </w:pPr>
      <w:r>
        <w:rPr>
          <w:rFonts w:ascii="Arial" w:cs="Arial" w:eastAsia="Arial" w:hAnsi="Arial"/>
          <w:b/>
          <w:bCs/>
          <w:i w:val="false"/>
          <w:iCs w:val="false"/>
          <w:color w:val="000000"/>
          <w:sz w:val="22"/>
          <w:szCs w:val="22"/>
        </w:rPr>
        <w:t xml:space="preserve">D1. Where tax belongs in Axion’s own investment process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Document 3 prescribes a three-stage process. </w:t>
      </w:r>
      <w:r>
        <w:rPr>
          <w:rFonts w:ascii="Arial" w:cs="Arial" w:eastAsia="Arial" w:hAnsi="Arial"/>
          <w:b/>
          <w:bCs/>
          <w:i w:val="false"/>
          <w:iCs w:val="false"/>
          <w:color w:val="000000"/>
          <w:sz w:val="19"/>
          <w:szCs w:val="19"/>
        </w:rPr>
        <w:t xml:space="preserve">Initial feasibility</w:t>
      </w:r>
      <w:r>
        <w:rPr>
          <w:rFonts w:ascii="Arial" w:cs="Arial" w:eastAsia="Arial" w:hAnsi="Arial"/>
          <w:b w:val="false"/>
          <w:bCs w:val="false"/>
          <w:i w:val="false"/>
          <w:iCs w:val="false"/>
          <w:color w:val="000000"/>
          <w:sz w:val="19"/>
          <w:szCs w:val="19"/>
        </w:rPr>
        <w:t xml:space="preserve"> uses </w:t>
      </w:r>
      <w:r>
        <w:rPr>
          <w:rFonts w:ascii="Arial" w:cs="Arial" w:eastAsia="Arial" w:hAnsi="Arial"/>
          <w:b/>
          <w:bCs/>
          <w:i w:val="false"/>
          <w:iCs w:val="false"/>
          <w:color w:val="000000"/>
          <w:sz w:val="19"/>
          <w:szCs w:val="19"/>
        </w:rPr>
        <w:t xml:space="preserve">incremental pre-tax cash flows</w:t>
      </w:r>
      <w:r>
        <w:rPr>
          <w:rFonts w:ascii="Arial" w:cs="Arial" w:eastAsia="Arial" w:hAnsi="Arial"/>
          <w:b w:val="false"/>
          <w:bCs w:val="false"/>
          <w:i w:val="false"/>
          <w:iCs w:val="false"/>
          <w:color w:val="000000"/>
          <w:sz w:val="19"/>
          <w:szCs w:val="19"/>
        </w:rPr>
        <w:t xml:space="preserve">, a </w:t>
      </w:r>
      <w:r>
        <w:rPr>
          <w:rFonts w:ascii="Arial" w:cs="Arial" w:eastAsia="Arial" w:hAnsi="Arial"/>
          <w:b/>
          <w:bCs/>
          <w:i w:val="false"/>
          <w:iCs w:val="false"/>
          <w:color w:val="000000"/>
          <w:sz w:val="19"/>
          <w:szCs w:val="19"/>
        </w:rPr>
        <w:t xml:space="preserve">project-specific cost of capital</w:t>
      </w:r>
      <w:r>
        <w:rPr>
          <w:rFonts w:ascii="Arial" w:cs="Arial" w:eastAsia="Arial" w:hAnsi="Arial"/>
          <w:b w:val="false"/>
          <w:bCs w:val="false"/>
          <w:i w:val="false"/>
          <w:iCs w:val="false"/>
          <w:color w:val="000000"/>
          <w:sz w:val="19"/>
          <w:szCs w:val="19"/>
        </w:rPr>
        <w:t xml:space="preserve"> and a </w:t>
      </w:r>
      <w:r>
        <w:rPr>
          <w:rFonts w:ascii="Arial" w:cs="Arial" w:eastAsia="Arial" w:hAnsi="Arial"/>
          <w:b/>
          <w:bCs/>
          <w:i w:val="false"/>
          <w:iCs w:val="false"/>
          <w:color w:val="000000"/>
          <w:sz w:val="19"/>
          <w:szCs w:val="19"/>
        </w:rPr>
        <w:t xml:space="preserve">pre-tax project NPV</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Detailed assessment</w:t>
      </w:r>
      <w:r>
        <w:rPr>
          <w:rFonts w:ascii="Arial" w:cs="Arial" w:eastAsia="Arial" w:hAnsi="Arial"/>
          <w:b w:val="false"/>
          <w:bCs w:val="false"/>
          <w:i w:val="false"/>
          <w:iCs w:val="false"/>
          <w:color w:val="000000"/>
          <w:sz w:val="19"/>
          <w:szCs w:val="19"/>
        </w:rPr>
        <w:t xml:space="preserve"> then validates the complete investment case, including financing terms and debt service capacity.</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Cash flows and the discount rate must be on a </w:t>
      </w:r>
      <w:r>
        <w:rPr>
          <w:rFonts w:ascii="Arial" w:cs="Arial" w:eastAsia="Arial" w:hAnsi="Arial"/>
          <w:b/>
          <w:bCs/>
          <w:i w:val="false"/>
          <w:iCs w:val="false"/>
          <w:color w:val="000000"/>
          <w:sz w:val="19"/>
          <w:szCs w:val="19"/>
        </w:rPr>
        <w:t xml:space="preserve">consistent basis</w:t>
      </w:r>
      <w:r>
        <w:rPr>
          <w:rFonts w:ascii="Arial" w:cs="Arial" w:eastAsia="Arial" w:hAnsi="Arial"/>
          <w:b w:val="false"/>
          <w:bCs w:val="false"/>
          <w:i w:val="false"/>
          <w:iCs w:val="false"/>
          <w:color w:val="000000"/>
          <w:sz w:val="19"/>
          <w:szCs w:val="19"/>
        </w:rPr>
        <w:t xml:space="preserve">. Pre-tax cash flows require a pre-tax discount rate; post-tax cash flows require a post-tax rate. Mixing them overstates or understates value.</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Tax does not belong in the initial screen</w:t>
      </w:r>
      <w:r>
        <w:rPr>
          <w:rFonts w:ascii="Arial" w:cs="Arial" w:eastAsia="Arial" w:hAnsi="Arial"/>
          <w:b w:val="false"/>
          <w:bCs w:val="false"/>
          <w:i w:val="false"/>
          <w:iCs w:val="false"/>
          <w:color w:val="0070C0"/>
          <w:sz w:val="19"/>
          <w:szCs w:val="19"/>
        </w:rPr>
        <w:t xml:space="preserve"> — Axion’s own method says that stage is pre-tax. It belongs in the detailed assessment. If a task on the day gives us a pre-tax screening model and asks us to review it, adding a tax line would be answering the wrong question. If the task asks for a full appraisal, leaving tax out would be equally wrong. Read the instruction before reaching for the tax computation.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Be ready for the consistency error.</w:t>
      </w:r>
      <w:r>
        <w:rPr>
          <w:rFonts w:ascii="Arial" w:cs="Arial" w:eastAsia="Arial" w:hAnsi="Arial"/>
          <w:b w:val="false"/>
          <w:bCs w:val="false"/>
          <w:i w:val="false"/>
          <w:iCs w:val="false"/>
          <w:color w:val="0070C0"/>
          <w:sz w:val="19"/>
          <w:szCs w:val="19"/>
        </w:rPr>
        <w:t xml:space="preserve"> Given how explicitly the pack states “pre-tax” twice, a model that discounts pre-tax cash flows at a post-tax WACC is a very plausible thing to be handed and asked to critique.</w:t>
      </w:r>
    </w:p>
    <w:p>
      <w:pPr>
        <w:keepNext/>
        <w:spacing w:after="70" w:before="200" w:line="250" w:lineRule="auto"/>
      </w:pPr>
      <w:r>
        <w:rPr>
          <w:rFonts w:ascii="Arial" w:cs="Arial" w:eastAsia="Arial" w:hAnsi="Arial"/>
          <w:b/>
          <w:bCs/>
          <w:i w:val="false"/>
          <w:iCs w:val="false"/>
          <w:color w:val="000000"/>
          <w:sz w:val="22"/>
          <w:szCs w:val="22"/>
        </w:rPr>
        <w:t xml:space="preserve">D2. Project-specific cost of capital</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Document 3 sets out the method: take a </w:t>
      </w:r>
      <w:r>
        <w:rPr>
          <w:rFonts w:ascii="Arial" w:cs="Arial" w:eastAsia="Arial" w:hAnsi="Arial"/>
          <w:b/>
          <w:bCs/>
          <w:i w:val="false"/>
          <w:iCs w:val="false"/>
          <w:color w:val="000000"/>
          <w:sz w:val="19"/>
          <w:szCs w:val="19"/>
        </w:rPr>
        <w:t xml:space="preserve">comparable company equity beta</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remove the effect of financial gearing</w:t>
      </w:r>
      <w:r>
        <w:rPr>
          <w:rFonts w:ascii="Arial" w:cs="Arial" w:eastAsia="Arial" w:hAnsi="Arial"/>
          <w:b w:val="false"/>
          <w:bCs w:val="false"/>
          <w:i w:val="false"/>
          <w:iCs w:val="false"/>
          <w:color w:val="000000"/>
          <w:sz w:val="19"/>
          <w:szCs w:val="19"/>
        </w:rPr>
        <w:t xml:space="preserve"> to obtain the underlying asset beta, then </w:t>
      </w:r>
      <w:r>
        <w:rPr>
          <w:rFonts w:ascii="Arial" w:cs="Arial" w:eastAsia="Arial" w:hAnsi="Arial"/>
          <w:b/>
          <w:bCs/>
          <w:i w:val="false"/>
          <w:iCs w:val="false"/>
          <w:color w:val="000000"/>
          <w:sz w:val="19"/>
          <w:szCs w:val="19"/>
        </w:rPr>
        <w:t xml:space="preserve">apply the project’s own capital structure</w:t>
      </w:r>
      <w:r>
        <w:rPr>
          <w:rFonts w:ascii="Arial" w:cs="Arial" w:eastAsia="Arial" w:hAnsi="Arial"/>
          <w:b w:val="false"/>
          <w:bCs w:val="false"/>
          <w:i w:val="false"/>
          <w:iCs w:val="false"/>
          <w:color w:val="000000"/>
          <w:sz w:val="19"/>
          <w:szCs w:val="19"/>
        </w:rPr>
        <w:t xml:space="preserve"> to obtain the project equity beta. Convert to a cost of equity using CAPM and combine into a project WACC.</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comparable set must reflect the </w:t>
      </w:r>
      <w:r>
        <w:rPr>
          <w:rFonts w:ascii="Arial" w:cs="Arial" w:eastAsia="Arial" w:hAnsi="Arial"/>
          <w:b/>
          <w:bCs/>
          <w:i w:val="false"/>
          <w:iCs w:val="false"/>
          <w:color w:val="000000"/>
          <w:sz w:val="19"/>
          <w:szCs w:val="19"/>
        </w:rPr>
        <w:t xml:space="preserve">operating risk of the project</w:t>
      </w:r>
      <w:r>
        <w:rPr>
          <w:rFonts w:ascii="Arial" w:cs="Arial" w:eastAsia="Arial" w:hAnsi="Arial"/>
          <w:b w:val="false"/>
          <w:bCs w:val="false"/>
          <w:i w:val="false"/>
          <w:iCs w:val="false"/>
          <w:color w:val="000000"/>
          <w:sz w:val="19"/>
          <w:szCs w:val="19"/>
        </w:rPr>
        <w:t xml:space="preserve">, not of the parent.</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renewable generation project is not a data centre.</w:t>
      </w:r>
      <w:r>
        <w:rPr>
          <w:rFonts w:ascii="Arial" w:cs="Arial" w:eastAsia="Arial" w:hAnsi="Arial"/>
          <w:b w:val="false"/>
          <w:bCs w:val="false"/>
          <w:i w:val="false"/>
          <w:iCs w:val="false"/>
          <w:color w:val="0070C0"/>
          <w:sz w:val="19"/>
          <w:szCs w:val="19"/>
        </w:rPr>
        <w:t xml:space="preserve"> Its operating risk profile is different — contracted, regulated, weather-dependent, with no customer churn. The comparable set should therefore be independent power producers and renewable infrastructure funds, not colocation operators. Using Axion’s own beta for a generation project would be a fundamental error and an easy one to make.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project with a long-term offtake supports higher gearing</w:t>
      </w:r>
      <w:r>
        <w:rPr>
          <w:rFonts w:ascii="Arial" w:cs="Arial" w:eastAsia="Arial" w:hAnsi="Arial"/>
          <w:b w:val="false"/>
          <w:bCs w:val="false"/>
          <w:i w:val="false"/>
          <w:iCs w:val="false"/>
          <w:color w:val="0070C0"/>
          <w:sz w:val="19"/>
          <w:szCs w:val="19"/>
        </w:rPr>
        <w:t xml:space="preserve">, which lowers the project WACC but raises the equity beta. That is the whole point of the ungear-and-regear chain, and it is why the pack spells the method out.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Hold on to Document 3’s warning: </w:t>
      </w:r>
      <w:r>
        <w:rPr>
          <w:rFonts w:ascii="Arial" w:cs="Arial" w:eastAsia="Arial" w:hAnsi="Arial"/>
          <w:b/>
          <w:bCs/>
          <w:i w:val="false"/>
          <w:iCs w:val="false"/>
          <w:color w:val="0070C0"/>
          <w:sz w:val="19"/>
          <w:szCs w:val="19"/>
        </w:rPr>
        <w:t xml:space="preserve">project-level funding does not necessarily transfer risk away from Axion.</w:t>
      </w:r>
      <w:r>
        <w:rPr>
          <w:rFonts w:ascii="Arial" w:cs="Arial" w:eastAsia="Arial" w:hAnsi="Arial"/>
          <w:b w:val="false"/>
          <w:bCs w:val="false"/>
          <w:i w:val="false"/>
          <w:iCs w:val="false"/>
          <w:color w:val="0070C0"/>
          <w:sz w:val="19"/>
          <w:szCs w:val="19"/>
        </w:rPr>
        <w:t xml:space="preserve"> If Axion guarantees the project debt or gives a long-term offtake commitment, the risk comes back to the group even though the borrowing sits elsewhere. Lenders to the group will look through the structure, and so should we.</w:t>
      </w:r>
    </w:p>
    <w:p>
      <w:pPr>
        <w:keepNext/>
        <w:spacing w:after="70" w:before="200" w:line="250" w:lineRule="auto"/>
      </w:pPr>
      <w:r>
        <w:rPr>
          <w:rFonts w:ascii="Arial" w:cs="Arial" w:eastAsia="Arial" w:hAnsi="Arial"/>
          <w:b/>
          <w:bCs/>
          <w:i w:val="false"/>
          <w:iCs w:val="false"/>
          <w:color w:val="000000"/>
          <w:sz w:val="22"/>
          <w:szCs w:val="22"/>
        </w:rPr>
        <w:t xml:space="preserve">D3. The make-or-buy decision</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Only </w:t>
      </w:r>
      <w:r>
        <w:rPr>
          <w:rFonts w:ascii="Arial" w:cs="Arial" w:eastAsia="Arial" w:hAnsi="Arial"/>
          <w:b/>
          <w:bCs/>
          <w:i w:val="false"/>
          <w:iCs w:val="false"/>
          <w:color w:val="000000"/>
          <w:sz w:val="19"/>
          <w:szCs w:val="19"/>
        </w:rPr>
        <w:t xml:space="preserve">incremental future cash flows</w:t>
      </w:r>
      <w:r>
        <w:rPr>
          <w:rFonts w:ascii="Arial" w:cs="Arial" w:eastAsia="Arial" w:hAnsi="Arial"/>
          <w:b w:val="false"/>
          <w:bCs w:val="false"/>
          <w:i w:val="false"/>
          <w:iCs w:val="false"/>
          <w:color w:val="000000"/>
          <w:sz w:val="19"/>
          <w:szCs w:val="19"/>
        </w:rPr>
        <w:t xml:space="preserve"> are relevant. Exclude sunk costs, allocated overheads and depreciation. Include opportunity costs and working capital movements.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standard industry measure for comparing generation options is the </w:t>
      </w:r>
      <w:r>
        <w:rPr>
          <w:rFonts w:ascii="Arial" w:cs="Arial" w:eastAsia="Arial" w:hAnsi="Arial"/>
          <w:b/>
          <w:bCs/>
          <w:i w:val="false"/>
          <w:iCs w:val="false"/>
          <w:color w:val="000000"/>
          <w:sz w:val="19"/>
          <w:szCs w:val="19"/>
        </w:rPr>
        <w:t xml:space="preserve">levelised cost of electricity</w:t>
      </w:r>
      <w:r>
        <w:rPr>
          <w:rFonts w:ascii="Arial" w:cs="Arial" w:eastAsia="Arial" w:hAnsi="Arial"/>
          <w:b w:val="false"/>
          <w:bCs w:val="false"/>
          <w:i w:val="false"/>
          <w:iCs w:val="false"/>
          <w:color w:val="000000"/>
          <w:sz w:val="19"/>
          <w:szCs w:val="19"/>
        </w:rPr>
        <w:t xml:space="preserve"> — total lifetime cost divided by total lifetime output — which puts options with different capital and operating profiles onto a common basis per kWh.</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4120"/>
        <w:gridCol w:w="4120"/>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Buy — PPA or wheeling</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Build — direct investment</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required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Limited upfront capital, per the pack</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Significant upfront capital, competing with the R3–5bn data centre pipeline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 capital allowance. Section 11(a) deduction as electricity is consumed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Section 12B and 12U allowances, front-loaded — but only if Axion owns the plant</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Balance sheet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May still create a lease liability under IFRS 16 — do not assume it is off balance sheet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Asset and project debt on balance sheet, or proportionately if a joint operation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Flexibility</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on the contract terms; shorter commitment is easier to exit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Irreversible. A 20-year asset committed now</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Control and risk</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Producer bears construction and operating risk; Axion bears counterparty and price risk</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shares construction, operating and technology risk, and gains governance involvement</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comparison must be after tax.</w:t>
      </w:r>
      <w:r>
        <w:rPr>
          <w:rFonts w:ascii="Arial" w:cs="Arial" w:eastAsia="Arial" w:hAnsi="Arial"/>
          <w:b w:val="false"/>
          <w:bCs w:val="false"/>
          <w:i w:val="false"/>
          <w:iCs w:val="false"/>
          <w:color w:val="0070C0"/>
          <w:sz w:val="19"/>
          <w:szCs w:val="19"/>
        </w:rPr>
        <w:t xml:space="preserve"> Before tax, the PPA looks cheaper because it has no capital outlay. After tax, the allowances on ownership close a meaningful part of that gap — but only in the structure where Axion itself can use them. The structuring question in Part A therefore feeds straight into the financial management answer.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PPA is also a hedge.</w:t>
      </w:r>
      <w:r>
        <w:rPr>
          <w:rFonts w:ascii="Arial" w:cs="Arial" w:eastAsia="Arial" w:hAnsi="Arial"/>
          <w:b w:val="false"/>
          <w:bCs w:val="false"/>
          <w:i w:val="false"/>
          <w:iCs w:val="false"/>
          <w:color w:val="0070C0"/>
          <w:sz w:val="19"/>
          <w:szCs w:val="19"/>
        </w:rPr>
        <w:t xml:space="preserve"> Electricity is one of Axion’s largest operating costs and the pack notes that tariff changes affect both Axion and its customers. Fixing the price of a portion of supply for many years reduces earnings volatility. That has value which a simple cost-per-kWh comparison does not capture — but it cuts both ways, because a fixed price above the market is a cost if tariffs fall.</w:t>
      </w:r>
    </w:p>
    <w:p>
      <w:pPr>
        <w:keepNext/>
        <w:spacing w:after="70" w:before="200" w:line="250" w:lineRule="auto"/>
      </w:pPr>
      <w:r>
        <w:rPr>
          <w:rFonts w:ascii="Arial" w:cs="Arial" w:eastAsia="Arial" w:hAnsi="Arial"/>
          <w:b/>
          <w:bCs/>
          <w:i w:val="false"/>
          <w:iCs w:val="false"/>
          <w:color w:val="000000"/>
          <w:sz w:val="22"/>
          <w:szCs w:val="22"/>
        </w:rPr>
        <w:t xml:space="preserve">D4. Effect on debt capacity and covenants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Lenders typically measure leverage as net debt to EBITDA and coverage as EBITDA or operating profit to finance costs. Covenant definitions determine whether lease liabilities and proportionately consolidated project debt are included.</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This is where the accounting and the finance meet, and it matters more here than the tax does.</w:t>
      </w:r>
      <w:r>
        <w:rPr>
          <w:rFonts w:ascii="Arial" w:cs="Arial" w:eastAsia="Arial" w:hAnsi="Arial"/>
          <w:b w:val="false"/>
          <w:bCs w:val="false"/>
          <w:i w:val="false"/>
          <w:iCs w:val="false"/>
          <w:color w:val="0070C0"/>
          <w:sz w:val="19"/>
          <w:szCs w:val="19"/>
        </w:rPr>
        <w:t xml:space="preserve"> Axion’s borrowings are 4.35 times EBITDA and operating profit covers finance costs 1.87 times, both deteriorating. Against that, the board is considering R3–5bn of data centre capital expenditure. Every rand of additional debt taken on for a renewable project competes directly with the core expansion programme.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Three accounting judgements on this one trigger move the leverage ratio:</w:t>
      </w:r>
      <w:r>
        <w:rPr>
          <w:rFonts w:ascii="Arial" w:cs="Arial" w:eastAsia="Arial" w:hAnsi="Arial"/>
          <w:b w:val="false"/>
          <w:bCs w:val="false"/>
          <w:i w:val="false"/>
          <w:iCs w:val="false"/>
          <w:color w:val="0070C0"/>
          <w:sz w:val="19"/>
          <w:szCs w:val="19"/>
        </w:rPr>
        <w:t xml:space="preserve"> whether a PPA is a lease; whether a joint arrangement is a joint operation or a joint venture; and how much of the project cost is capitalised. Any answer on funding should acknowledge that the covenant outcome depends on judgements that have not yet been made.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Get the </w:t>
      </w:r>
      <w:r>
        <w:rPr>
          <w:rFonts w:ascii="Arial" w:cs="Arial" w:eastAsia="Arial" w:hAnsi="Arial"/>
          <w:b/>
          <w:bCs/>
          <w:i w:val="false"/>
          <w:iCs w:val="false"/>
          <w:color w:val="0070C0"/>
          <w:sz w:val="19"/>
          <w:szCs w:val="19"/>
        </w:rPr>
        <w:t xml:space="preserve">covenant definitions</w:t>
      </w:r>
      <w:r>
        <w:rPr>
          <w:rFonts w:ascii="Arial" w:cs="Arial" w:eastAsia="Arial" w:hAnsi="Arial"/>
          <w:b w:val="false"/>
          <w:bCs w:val="false"/>
          <w:i w:val="false"/>
          <w:iCs w:val="false"/>
          <w:color w:val="0070C0"/>
          <w:sz w:val="19"/>
          <w:szCs w:val="19"/>
        </w:rPr>
        <w:t xml:space="preserve"> — specifically whether IFRS 16 lease liabilities are included in the definition of debt, and whether proportionately consolidated joint operation debt is included. Many facilities use a frozen GAAP definition that excludes IFRS 16; many do not. This single contractual detail could decide which renewable route is affordable.</w:t>
      </w:r>
    </w:p>
    <w:p>
      <w:pPr>
        <w:keepNext/>
        <w:spacing w:after="70" w:before="200" w:line="250" w:lineRule="auto"/>
      </w:pPr>
      <w:r>
        <w:rPr>
          <w:rFonts w:ascii="Arial" w:cs="Arial" w:eastAsia="Arial" w:hAnsi="Arial"/>
          <w:b/>
          <w:bCs/>
          <w:i w:val="false"/>
          <w:iCs w:val="false"/>
          <w:color w:val="000000"/>
          <w:sz w:val="22"/>
          <w:szCs w:val="22"/>
        </w:rPr>
        <w:t xml:space="preserve">D5. Sensitivity and the variables that actually move the answer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Electricity tariff path.</w:t>
      </w:r>
      <w:r>
        <w:rPr>
          <w:rFonts w:ascii="Arial" w:cs="Arial" w:eastAsia="Arial" w:hAnsi="Arial"/>
          <w:b w:val="false"/>
          <w:bCs w:val="false"/>
          <w:i w:val="false"/>
          <w:iCs w:val="false"/>
          <w:color w:val="0070C0"/>
          <w:sz w:val="19"/>
          <w:szCs w:val="19"/>
        </w:rPr>
        <w:t xml:space="preserve"> The whole case for renewable investment rests on the assumed trajectory of grid tariffs. Test it, and test the downside where tariffs rise more slowly than assumed.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Capacity factor and curtailment.</w:t>
      </w:r>
      <w:r>
        <w:rPr>
          <w:rFonts w:ascii="Arial" w:cs="Arial" w:eastAsia="Arial" w:hAnsi="Arial"/>
          <w:b w:val="false"/>
          <w:bCs w:val="false"/>
          <w:i w:val="false"/>
          <w:iCs w:val="false"/>
          <w:color w:val="0070C0"/>
          <w:sz w:val="19"/>
          <w:szCs w:val="19"/>
        </w:rPr>
        <w:t xml:space="preserve"> Output is weather-dependent, and the pack specifically lists curtailment and “electricity generated but not used”. A project modelled at an optimistic capacity factor can look attractive and deliver far less.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Timing of bring-into-use.</w:t>
      </w:r>
      <w:r>
        <w:rPr>
          <w:rFonts w:ascii="Arial" w:cs="Arial" w:eastAsia="Arial" w:hAnsi="Arial"/>
          <w:b w:val="false"/>
          <w:bCs w:val="false"/>
          <w:i w:val="false"/>
          <w:iCs w:val="false"/>
          <w:color w:val="0070C0"/>
          <w:sz w:val="19"/>
          <w:szCs w:val="19"/>
        </w:rPr>
        <w:t xml:space="preserve"> It moves depreciation, borrowing cost capitalisation and the tax allowance together. Because the tax allowance is not apportioned, days either side of 30 June change the year in which a large deduction falls.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Utilisation of the data centres themselves.</w:t>
      </w:r>
      <w:r>
        <w:rPr>
          <w:rFonts w:ascii="Arial" w:cs="Arial" w:eastAsia="Arial" w:hAnsi="Arial"/>
          <w:b w:val="false"/>
          <w:bCs w:val="false"/>
          <w:i w:val="false"/>
          <w:iCs w:val="false"/>
          <w:color w:val="0070C0"/>
          <w:sz w:val="19"/>
          <w:szCs w:val="19"/>
        </w:rPr>
        <w:t xml:space="preserve"> If Axion contracts for electricity to serve capacity it has not yet built or sold, it pays for power it cannot use. The pack flags this directly.</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Discount rate.</w:t>
      </w:r>
      <w:r>
        <w:rPr>
          <w:rFonts w:ascii="Arial" w:cs="Arial" w:eastAsia="Arial" w:hAnsi="Arial"/>
          <w:b w:val="false"/>
          <w:bCs w:val="false"/>
          <w:i w:val="false"/>
          <w:iCs w:val="false"/>
          <w:color w:val="0070C0"/>
          <w:sz w:val="19"/>
          <w:szCs w:val="19"/>
        </w:rPr>
        <w:t xml:space="preserve"> For a long-dated asset, small changes in the rate move present value substantially — which is exactly why the ungearing and regearing exercise has to be done properly rather than borrowed from the group.</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How this trigger connects to the others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8034"/>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Trigger</w:t>
            </w:r>
          </w:p>
        </w:tc>
        <w:tc>
          <w:tcPr>
            <w:tcW w:type="dxa" w:w="803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Connection</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 Revenue</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If colocation contracts contain leases, consider whether section 23A limits Axion’s capital allowances as a lessor of affected assets. The same lease analysis also determines whether the electricity recharge is a separate performance obligation.</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3. IFRS 18</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Income taxes are a separate category. The tax charge, and any permanent difference from an enhanced allowance, must be presented consistently in any remapped income statement.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4. JHB4 borrowing costs</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same grid connection delay stops borrowing cost capitalisation, delays depreciation and delays the tax allowance. One fact, three consequences.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6. Investment appraisal</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renewable decision is the most likely vehicle for the pre-tax versus post-tax and beta ungearing method the pack sets out.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7. Funding</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Project debt and lease liabilities compete with the R3–5bn data centre programme for the same covenant headroom.</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8. Renewable options</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Same facts, different lens. Part A answers who gets the tax allowance; Part B answers how the arrangement is accounted for. The two are decided by the same structuring choice but by different tests, and they can point in opposite directions.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12. Governance</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Investment Committee is chaired by a nominee of the 35% shareholder. If that shareholder could co-invest in a renewable project, section 75 of the Companies Act and King V are engaged.</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14. ESG</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wheeling structure must actually support a renewable claim before Axion states one publicly. The August paper tested an unsubstantiated sustainability claim.</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Summary — what to be able to do on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Tax</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State sections 12B, 12BA and 12U — what each covers, the rate, the conditions — without looking them up.</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Say that section 12BA has lapsed</w:t>
            </w:r>
            <w:r>
              <w:rPr>
                <w:rFonts w:ascii="Arial" w:cs="Arial" w:eastAsia="Arial" w:hAnsi="Arial"/>
                <w:b w:val="false"/>
                <w:bCs w:val="false"/>
                <w:i w:val="false"/>
                <w:iCs w:val="false"/>
                <w:color w:val="000000"/>
                <w:sz w:val="18"/>
                <w:szCs w:val="18"/>
              </w:rPr>
              <w:t xml:space="preserve"> rather than claiming it, and explain what that means for the economics of building now.</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Identify </w:t>
            </w:r>
            <w:r>
              <w:rPr>
                <w:rFonts w:ascii="Arial" w:cs="Arial" w:eastAsia="Arial" w:hAnsi="Arial"/>
                <w:b/>
                <w:bCs/>
                <w:i w:val="false"/>
                <w:iCs w:val="false"/>
                <w:color w:val="000000"/>
                <w:sz w:val="18"/>
                <w:szCs w:val="18"/>
              </w:rPr>
              <w:t xml:space="preserve">who</w:t>
            </w:r>
            <w:r>
              <w:rPr>
                <w:rFonts w:ascii="Arial" w:cs="Arial" w:eastAsia="Arial" w:hAnsi="Arial"/>
                <w:b w:val="false"/>
                <w:bCs w:val="false"/>
                <w:i w:val="false"/>
                <w:iCs w:val="false"/>
                <w:color w:val="000000"/>
                <w:sz w:val="18"/>
                <w:szCs w:val="18"/>
              </w:rPr>
              <w:t xml:space="preserve"> gets the allowance under each route, and why an SPV structure can destroy its value for Axion.</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Compute the allowance and the cash tax saving over the first three years, and place it in a post-tax NPV.</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Cover VAT and carbon tax briefly — including that a renewable PPA may deliver little carbon tax saving, because the tax falls on Scope 1.</w:t>
            </w:r>
          </w:p>
          <w:p>
            <w:pPr>
              <w:keepNext w:val="false"/>
              <w:spacing w:after="60" w:before="0" w:line="250" w:lineRule="auto"/>
            </w:pPr>
            <w:r>
              <w:rPr>
                <w:rFonts w:ascii="Arial" w:cs="Arial" w:eastAsia="Arial" w:hAnsi="Arial"/>
                <w:b/>
                <w:bCs/>
                <w:i w:val="false"/>
                <w:iCs w:val="false"/>
                <w:color w:val="000000"/>
                <w:sz w:val="18"/>
                <w:szCs w:val="18"/>
              </w:rPr>
              <w:t xml:space="preserve">Financial reporting</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Work the IFRS 16 lease tests on a PPA and argue both sides; know that a lease puts a liability on a balance sheet that cannot easily carry one.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Apply the own-use exemption, and know that a virtual PPA is a derivative at fair value through profit or loss.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Classify a joint arrangement using the output and funding tests, and know the balance sheet consequence of each answer.</w:t>
            </w:r>
          </w:p>
          <w:p>
            <w:pPr>
              <w:keepNext w:val="false"/>
              <w:spacing w:after="60" w:before="0" w:line="250" w:lineRule="auto"/>
            </w:pPr>
            <w:r>
              <w:rPr>
                <w:rFonts w:ascii="Arial" w:cs="Arial" w:eastAsia="Arial" w:hAnsi="Arial"/>
                <w:b/>
                <w:bCs/>
                <w:i w:val="false"/>
                <w:iCs w:val="false"/>
                <w:color w:val="000000"/>
                <w:sz w:val="18"/>
                <w:szCs w:val="18"/>
              </w:rPr>
              <w:t xml:space="preserve">Audit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Identify the risks of material misstatement at </w:t>
            </w:r>
            <w:r>
              <w:rPr>
                <w:rFonts w:ascii="Arial" w:cs="Arial" w:eastAsia="Arial" w:hAnsi="Arial"/>
                <w:b/>
                <w:bCs/>
                <w:i w:val="false"/>
                <w:iCs w:val="false"/>
                <w:color w:val="000000"/>
                <w:sz w:val="18"/>
                <w:szCs w:val="18"/>
              </w:rPr>
              <w:t xml:space="preserve">assertion</w:t>
            </w:r>
            <w:r>
              <w:rPr>
                <w:rFonts w:ascii="Arial" w:cs="Arial" w:eastAsia="Arial" w:hAnsi="Arial"/>
                <w:b w:val="false"/>
                <w:bCs w:val="false"/>
                <w:i w:val="false"/>
                <w:iCs w:val="false"/>
                <w:color w:val="000000"/>
                <w:sz w:val="18"/>
                <w:szCs w:val="18"/>
              </w:rPr>
              <w:t xml:space="preserve"> level, with completeness of liabilities as the central one.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Write procedures that state the risk each one addresses, and recommend controls specific enough to operate.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Recognise the management bias: three judgements, all of which reduce reported debt if decided management’s way.</w:t>
            </w:r>
          </w:p>
          <w:p>
            <w:pPr>
              <w:keepNext w:val="false"/>
              <w:spacing w:after="60" w:before="0" w:line="250" w:lineRule="auto"/>
            </w:pPr>
            <w:r>
              <w:rPr>
                <w:rFonts w:ascii="Arial" w:cs="Arial" w:eastAsia="Arial" w:hAnsi="Arial"/>
                <w:b/>
                <w:bCs/>
                <w:i w:val="false"/>
                <w:iCs w:val="false"/>
                <w:color w:val="000000"/>
                <w:sz w:val="18"/>
                <w:szCs w:val="18"/>
              </w:rPr>
              <w:t xml:space="preserve">Financial management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Keep cash flows and the discount rate on the same basis, and know that Axion’s own screen is pre-tax.</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Ungear and regear a beta from a comparable set appropriate to </w:t>
            </w:r>
            <w:r>
              <w:rPr>
                <w:rFonts w:ascii="Arial" w:cs="Arial" w:eastAsia="Arial" w:hAnsi="Arial"/>
                <w:b/>
                <w:bCs/>
                <w:i w:val="false"/>
                <w:iCs w:val="false"/>
                <w:color w:val="000000"/>
                <w:sz w:val="18"/>
                <w:szCs w:val="18"/>
              </w:rPr>
              <w:t xml:space="preserve">generation</w:t>
            </w:r>
            <w:r>
              <w:rPr>
                <w:rFonts w:ascii="Arial" w:cs="Arial" w:eastAsia="Arial" w:hAnsi="Arial"/>
                <w:b w:val="false"/>
                <w:bCs w:val="false"/>
                <w:i w:val="false"/>
                <w:iCs w:val="false"/>
                <w:color w:val="000000"/>
                <w:sz w:val="18"/>
                <w:szCs w:val="18"/>
              </w:rPr>
              <w:t xml:space="preserve">, not to data centres.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Compare buy against build after tax, and quantify the effect on covenant headroom.</w:t>
            </w:r>
          </w:p>
          <w:p>
            <w:pPr>
              <w:keepNext w:val="false"/>
              <w:spacing w:after="60" w:before="0" w:line="250" w:lineRule="auto"/>
            </w:pPr>
            <w:r>
              <w:rPr>
                <w:rFonts w:ascii="Arial" w:cs="Arial" w:eastAsia="Arial" w:hAnsi="Arial"/>
                <w:b/>
                <w:bCs/>
                <w:i w:val="false"/>
                <w:iCs w:val="false"/>
                <w:color w:val="000000"/>
                <w:sz w:val="18"/>
                <w:szCs w:val="18"/>
              </w:rPr>
              <w:t xml:space="preserve">Always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Name the information you would need — specifically, not generically — and reach a clear recommendation.</w:t>
            </w:r>
          </w:p>
        </w:tc>
      </w:tr>
    </w:tbl>
    <w:p>
      <w:pPr>
        <w:keepNext w:val="false"/>
        <w:spacing w:after="0" w:before="0" w:line="250" w:lineRule="auto"/>
      </w:pPr>
      <w:r>
        <w:rPr>
          <w:rFonts w:ascii="Arial" w:cs="Arial" w:eastAsia="Arial" w:hAnsi="Arial"/>
          <w:sz w:val="10"/>
          <w:szCs w:val="10"/>
        </w:rPr>
        <w:t xml:space="preserve"/>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 All section numbers, rates, thresholds and standard requirements must be verified against the current Income Tax Act, the SAICA handbooks and the SARS guide before use.</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2026-09-19T09:53:02.931Z</dcterms:created>
  <dcterms:modified xsi:type="dcterms:W3CDTF">2026-09-19T09:53:02.931Z</dcterms:modified>
</cp:coreProperties>
</file>

<file path=docProps/custom.xml><?xml version="1.0" encoding="utf-8"?>
<Properties xmlns="http://schemas.openxmlformats.org/officeDocument/2006/custom-properties" xmlns:vt="http://schemas.openxmlformats.org/officeDocument/2006/docPropsVTypes"/>
</file>