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40" w:before="0" w:line="250" w:lineRule="auto"/>
      </w:pPr>
      <w:r>
        <w:rPr>
          <w:rFonts w:ascii="Arial" w:cs="Arial" w:eastAsia="Arial" w:hAnsi="Arial"/>
          <w:b/>
          <w:bCs/>
          <w:i w:val="false"/>
          <w:iCs w:val="false"/>
          <w:color w:val="000000"/>
          <w:sz w:val="30"/>
          <w:szCs w:val="30"/>
        </w:rPr>
        <w:t xml:space="preserve">APC 2026 September Qualifying Exam — Pre-release Triggers</w:t>
      </w:r>
    </w:p>
    <w:p>
      <w:pPr>
        <w:keepNext w:val="false"/>
        <w:spacing w:after="140" w:before="0" w:line="250" w:lineRule="auto"/>
      </w:pPr>
      <w:r>
        <w:rPr>
          <w:rFonts w:ascii="Arial" w:cs="Arial" w:eastAsia="Arial" w:hAnsi="Arial"/>
          <w:b w:val="false"/>
          <w:bCs w:val="false"/>
          <w:i w:val="false"/>
          <w:iCs w:val="false"/>
          <w:color w:val="000000"/>
          <w:sz w:val="18"/>
          <w:szCs w:val="18"/>
        </w:rPr>
        <w:t xml:space="preserve">Axion Digital Infrastructure (Pty) Ltd   |   Pre-release issued 18 September 2026   |   Your role: Financial Analyst reporting to Sarah Naidoo CA(SA), CFO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888888" w:sz="4" w:space="6"/>
              <w:left w:val="single" w:color="888888" w:sz="4" w:space="6"/>
              <w:bottom w:val="single" w:color="888888" w:sz="4" w:space="6"/>
              <w:right w:val="single" w:color="888888" w:sz="4" w:space="6"/>
            </w:tcBorders>
            <w:tcMar>
              <w:top w:type="dxa" w:w="100"/>
              <w:left w:type="dxa" w:w="120"/>
              <w:bottom w:type="dxa" w:w="100"/>
              <w:right w:type="dxa" w:w="120"/>
            </w:tcMar>
          </w:tcPr>
          <w:p>
            <w:pPr>
              <w:keepNext w:val="false"/>
              <w:spacing w:after="60" w:before="0" w:line="250" w:lineRule="auto"/>
            </w:pPr>
            <w:r>
              <w:rPr>
                <w:rFonts w:ascii="Arial" w:cs="Arial" w:eastAsia="Arial" w:hAnsi="Arial"/>
                <w:b/>
                <w:bCs/>
                <w:i w:val="false"/>
                <w:iCs w:val="false"/>
                <w:color w:val="000000"/>
                <w:sz w:val="17"/>
                <w:szCs w:val="17"/>
              </w:rPr>
              <w:t xml:space="preserve">How to use this document.</w:t>
            </w:r>
            <w:r>
              <w:rPr>
                <w:rFonts w:ascii="Arial" w:cs="Arial" w:eastAsia="Arial" w:hAnsi="Arial"/>
                <w:b w:val="false"/>
                <w:bCs w:val="false"/>
                <w:i w:val="false"/>
                <w:iCs w:val="false"/>
                <w:color w:val="000000"/>
                <w:sz w:val="17"/>
                <w:szCs w:val="17"/>
              </w:rPr>
              <w:t xml:space="preserve"> Part 1 is the page-by-page trigger grid. Part 2 sets out what each document says and what it means for us. Part 3 is the research plan — it lists each trigger and exactly what we need to cover before the information on the day.</w:t>
            </w:r>
          </w:p>
          <w:p>
            <w:pPr>
              <w:keepNext w:val="false"/>
              <w:spacing w:after="0" w:before="0" w:line="250" w:lineRule="auto"/>
            </w:pPr>
            <w:r>
              <w:rPr>
                <w:rFonts w:ascii="Arial" w:cs="Arial" w:eastAsia="Arial" w:hAnsi="Arial"/>
                <w:b/>
                <w:bCs/>
                <w:i w:val="false"/>
                <w:iCs w:val="false"/>
                <w:color w:val="000000"/>
                <w:sz w:val="17"/>
                <w:szCs w:val="17"/>
              </w:rPr>
              <w:t xml:space="preserve">Remember:</w:t>
            </w:r>
            <w:r>
              <w:rPr>
                <w:rFonts w:ascii="Arial" w:cs="Arial" w:eastAsia="Arial" w:hAnsi="Arial"/>
                <w:b w:val="false"/>
                <w:bCs w:val="false"/>
                <w:i w:val="false"/>
                <w:iCs w:val="false"/>
                <w:color w:val="000000"/>
                <w:sz w:val="17"/>
                <w:szCs w:val="17"/>
              </w:rPr>
              <w:t xml:space="preserve"> triggers tell us what to understand, not what will be asked. Do not draft answers to tasks we think are coming.</w:t>
            </w:r>
          </w:p>
        </w:tc>
      </w:tr>
    </w:tbl>
    <w:p>
      <w:pPr>
        <w:keepNext w:val="false"/>
        <w:spacing w:after="0" w:before="0" w:line="250" w:lineRule="auto"/>
      </w:pPr>
      <w:r>
        <w:rPr>
          <w:rFonts w:ascii="Arial" w:cs="Arial" w:eastAsia="Arial" w:hAnsi="Arial"/>
          <w:sz w:val="10"/>
          <w:szCs w:val="10"/>
        </w:rPr>
        <w:t xml:space="preserve"/>
      </w:r>
    </w:p>
    <w:p>
      <w:pPr>
        <w:keepNext/>
        <w:pBdr>
          <w:bottom w:val="single" w:color="000000" w:sz="8" w:space="2"/>
        </w:pBdr>
        <w:spacing w:after="100" w:before="240" w:line="250" w:lineRule="auto"/>
      </w:pPr>
      <w:r>
        <w:rPr>
          <w:rFonts w:ascii="Arial" w:cs="Arial" w:eastAsia="Arial" w:hAnsi="Arial"/>
          <w:b/>
          <w:bCs/>
          <w:i w:val="false"/>
          <w:iCs w:val="false"/>
          <w:color w:val="000000"/>
          <w:sz w:val="24"/>
          <w:szCs w:val="24"/>
        </w:rPr>
        <w:t xml:space="preserve">Quick facts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8240"/>
      </w:tblGrid>
      <w:tr>
        <w:tc>
          <w:tcPr>
            <w:tcW w:type="dxa" w:w="206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Company</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Axion Digital Infrastructure (Pty) Ltd. Private company. Founded 2011 in Johannesburg.</w:t>
            </w:r>
          </w:p>
        </w:tc>
      </w:tr>
      <w:tr>
        <w:tc>
          <w:tcPr>
            <w:tcW w:type="dxa" w:w="206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What it does</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Develops and operates data centres. Customers install their own computing equipment in Axion’s facilities. Axion supplies secure space, power, cooling, security and resilience, and connects customers to other networks and cloud providers.</w:t>
            </w:r>
          </w:p>
        </w:tc>
      </w:tr>
      <w:tr>
        <w:tc>
          <w:tcPr>
            <w:tcW w:type="dxa" w:w="206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Size</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5 facilities (Johannesburg 2, Cape Town 2, Durban 1). 45 MW installed IT capacity. 350+ customers. 300 employees. Target availability 99.999%.</w:t>
            </w:r>
          </w:p>
        </w:tc>
      </w:tr>
      <w:tr>
        <w:tc>
          <w:tcPr>
            <w:tcW w:type="dxa" w:w="206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Year end</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30 June. FY2026 has just ended.</w:t>
            </w:r>
          </w:p>
        </w:tc>
      </w:tr>
      <w:tr>
        <w:tc>
          <w:tcPr>
            <w:tcW w:type="dxa" w:w="206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Auditors</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KZL Inc</w:t>
            </w:r>
          </w:p>
        </w:tc>
      </w:tr>
      <w:tr>
        <w:tc>
          <w:tcPr>
            <w:tcW w:type="dxa" w:w="206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Owners</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Ubuntu Infrastructure 35%, Horizon Digital Infrastructure Fund 30%, Kabelo Moleke (CEO) 18%, Employee &amp; Empowerment Trust 10%, David Low 7%.</w:t>
            </w:r>
          </w:p>
        </w:tc>
      </w:tr>
      <w:tr>
        <w:tc>
          <w:tcPr>
            <w:tcW w:type="dxa" w:w="206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Money</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FY2026 revenue R2 620m. EBITDA R1 116m. Profit before tax R325m. Total assets R12 250m. Borrowings R4 850m. Equity R5 400m.</w:t>
            </w:r>
          </w:p>
        </w:tc>
      </w:tr>
      <w:tr>
        <w:tc>
          <w:tcPr>
            <w:tcW w:type="dxa" w:w="206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The big issue</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R3–5 billion of capital investment is under consideration over five years. The business must decide how fast to grow, and how to fund it.</w:t>
            </w:r>
          </w:p>
        </w:tc>
      </w:tr>
    </w:tbl>
    <w:p>
      <w:pPr>
        <w:keepNext w:val="false"/>
        <w:spacing w:after="0" w:before="0" w:line="250" w:lineRule="auto"/>
      </w:pPr>
      <w:r>
        <w:rPr>
          <w:rFonts w:ascii="Arial" w:cs="Arial" w:eastAsia="Arial" w:hAnsi="Arial"/>
          <w:sz w:val="12"/>
          <w:szCs w:val="12"/>
        </w:rPr>
        <w:t xml:space="preserve"/>
      </w:r>
    </w:p>
    <w:p>
      <w:pPr>
        <w:keepNext/>
        <w:pBdr>
          <w:bottom w:val="single" w:color="000000" w:sz="8" w:space="2"/>
        </w:pBdr>
        <w:spacing w:after="100" w:before="240" w:line="250" w:lineRule="auto"/>
      </w:pPr>
      <w:r>
        <w:rPr>
          <w:rFonts w:ascii="Arial" w:cs="Arial" w:eastAsia="Arial" w:hAnsi="Arial"/>
          <w:b/>
          <w:bCs/>
          <w:i w:val="false"/>
          <w:iCs w:val="false"/>
          <w:color w:val="000000"/>
          <w:sz w:val="24"/>
          <w:szCs w:val="24"/>
        </w:rPr>
        <w:t xml:space="preserve">Part 1 — Main triggers, page by page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15"/>
        <w:gridCol w:w="1957"/>
        <w:gridCol w:w="5768"/>
        <w:gridCol w:w="2060"/>
      </w:tblGrid>
      <w:tr>
        <w:trPr>
          <w:tblHeader/>
        </w:trPr>
        <w:tc>
          <w:tcPr>
            <w:tcW w:type="dxa" w:w="515"/>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Pg</w:t>
            </w:r>
          </w:p>
        </w:tc>
        <w:tc>
          <w:tcPr>
            <w:tcW w:type="dxa" w:w="1957"/>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Section / document</w:t>
            </w:r>
          </w:p>
        </w:tc>
        <w:tc>
          <w:tcPr>
            <w:tcW w:type="dxa" w:w="5768"/>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Main triggers on the page</w:t>
            </w:r>
          </w:p>
        </w:tc>
        <w:tc>
          <w:tcPr>
            <w:tcW w:type="dxa" w:w="206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Subject area</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1–2</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Cover and contents</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Seven documents, all dated 18 September 2026.</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We are the Financial Analyst. Sarah Naidoo CA(SA) is the CFO and our boss — she sends every document.</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Everything arrives by email or MS Teams.</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Context</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3</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1 — Welcome email (CFO)</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Data centre business, 15 years old, now one of South Africa’s larger independent digital infrastructure businesses.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Customers: SA banks, retailers and telcos, plus some of the world’s largest cloud and technology businesses.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Cloud adoption, AI and African digital investment are creating significant opportunities.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Taking them needs substantial investment, reliable power and sound commercial judgement.</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The CFO names six areas to prepare:</w:t>
            </w:r>
            <w:r>
              <w:rPr>
                <w:rFonts w:ascii="Arial" w:cs="Arial" w:eastAsia="Arial" w:hAnsi="Arial"/>
                <w:b w:val="false"/>
                <w:bCs w:val="false"/>
                <w:i w:val="false"/>
                <w:iCs w:val="false"/>
                <w:color w:val="000000"/>
                <w:sz w:val="17"/>
                <w:szCs w:val="17"/>
              </w:rPr>
              <w:t xml:space="preserve"> contracted capacity; the undeveloped land; IFRS 18; growth strategy and evaluating new investments; tax on investment opportunities; controls over AI-enabled tools.</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Business context</w:t>
            </w:r>
          </w:p>
          <w:p>
            <w:pPr>
              <w:keepNext w:val="false"/>
              <w:spacing w:after="0" w:before="0" w:line="250" w:lineRule="auto"/>
            </w:pPr>
            <w:r>
              <w:rPr>
                <w:rFonts w:ascii="Arial" w:cs="Arial" w:eastAsia="Arial" w:hAnsi="Arial"/>
                <w:b w:val="false"/>
                <w:bCs w:val="false"/>
                <w:i w:val="false"/>
                <w:iCs w:val="false"/>
                <w:color w:val="000000"/>
                <w:sz w:val="17"/>
                <w:szCs w:val="17"/>
              </w:rPr>
              <w:t xml:space="preserve">Scoping — this list is the spine of our preparation</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4–5</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2 — Axion: Getting Connected</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At a glance: 2011, 5 facilities, 45 MW, 350+ customers, 300 staff, 99.999% target availability, </w:t>
            </w:r>
            <w:r>
              <w:rPr>
                <w:rFonts w:ascii="Arial" w:cs="Arial" w:eastAsia="Arial" w:hAnsi="Arial"/>
                <w:b/>
                <w:bCs/>
                <w:i w:val="false"/>
                <w:iCs w:val="false"/>
                <w:color w:val="000000"/>
                <w:sz w:val="17"/>
                <w:szCs w:val="17"/>
              </w:rPr>
              <w:t xml:space="preserve">R2.4bn FY2026 revenue</w:t>
            </w:r>
            <w:r>
              <w:rPr>
                <w:rFonts w:ascii="Arial" w:cs="Arial" w:eastAsia="Arial" w:hAnsi="Arial"/>
                <w:b w:val="false"/>
                <w:bCs w:val="false"/>
                <w:i w:val="false"/>
                <w:iCs w:val="false"/>
                <w:color w:val="000000"/>
                <w:sz w:val="17"/>
                <w:szCs w:val="17"/>
              </w:rPr>
              <w:t xml:space="preserve">.</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Two service lines: data centre services approximately </w:t>
            </w:r>
            <w:r>
              <w:rPr>
                <w:rFonts w:ascii="Arial" w:cs="Arial" w:eastAsia="Arial" w:hAnsi="Arial"/>
                <w:b/>
                <w:bCs/>
                <w:i w:val="false"/>
                <w:iCs w:val="false"/>
                <w:color w:val="000000"/>
                <w:sz w:val="17"/>
                <w:szCs w:val="17"/>
              </w:rPr>
              <w:t xml:space="preserve">85%</w:t>
            </w:r>
            <w:r>
              <w:rPr>
                <w:rFonts w:ascii="Arial" w:cs="Arial" w:eastAsia="Arial" w:hAnsi="Arial"/>
                <w:b w:val="false"/>
                <w:bCs w:val="false"/>
                <w:i w:val="false"/>
                <w:iCs w:val="false"/>
                <w:color w:val="000000"/>
                <w:sz w:val="17"/>
                <w:szCs w:val="17"/>
              </w:rPr>
              <w:t xml:space="preserve"> of FY2026 revenue; interconnection approximately </w:t>
            </w:r>
            <w:r>
              <w:rPr>
                <w:rFonts w:ascii="Arial" w:cs="Arial" w:eastAsia="Arial" w:hAnsi="Arial"/>
                <w:b/>
                <w:bCs/>
                <w:i w:val="false"/>
                <w:iCs w:val="false"/>
                <w:color w:val="000000"/>
                <w:sz w:val="17"/>
                <w:szCs w:val="17"/>
              </w:rPr>
              <w:t xml:space="preserve">15%</w:t>
            </w:r>
            <w:r>
              <w:rPr>
                <w:rFonts w:ascii="Arial" w:cs="Arial" w:eastAsia="Arial" w:hAnsi="Arial"/>
                <w:b w:val="false"/>
                <w:bCs w:val="false"/>
                <w:i w:val="false"/>
                <w:iCs w:val="false"/>
                <w:color w:val="000000"/>
                <w:sz w:val="17"/>
                <w:szCs w:val="17"/>
              </w:rPr>
              <w:t xml:space="preserve">.</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What Axion provides: </w:t>
            </w:r>
            <w:r>
              <w:rPr>
                <w:rFonts w:ascii="Arial" w:cs="Arial" w:eastAsia="Arial" w:hAnsi="Arial"/>
                <w:b/>
                <w:bCs/>
                <w:i w:val="false"/>
                <w:iCs w:val="false"/>
                <w:color w:val="000000"/>
                <w:sz w:val="17"/>
                <w:szCs w:val="17"/>
              </w:rPr>
              <w:t xml:space="preserve">dedicated racks, cages or areas</w:t>
            </w:r>
            <w:r>
              <w:rPr>
                <w:rFonts w:ascii="Arial" w:cs="Arial" w:eastAsia="Arial" w:hAnsi="Arial"/>
                <w:b w:val="false"/>
                <w:bCs w:val="false"/>
                <w:i w:val="false"/>
                <w:iCs w:val="false"/>
                <w:color w:val="000000"/>
                <w:sz w:val="17"/>
                <w:szCs w:val="17"/>
              </w:rPr>
              <w:t xml:space="preserve">, continuous power, cooling, physical security, resilience, on-site support.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Interconnection lets customers connect privately to cloud providers, networks and each other.</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Ecosystem effect: more participants makes Axion more valuable and more attractive to new customers.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A physical business — land, specialised buildings, electrical infrastructure, backup generation, cooling, network and security systems.</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Electricity is one of the most significant operating requirements. Ability to secure land, power, connectivity and capital determines the speed of expansion.</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Business model</w:t>
            </w:r>
          </w:p>
          <w:p>
            <w:pPr>
              <w:keepNext w:val="false"/>
              <w:spacing w:after="40" w:before="0" w:line="250" w:lineRule="auto"/>
            </w:pPr>
            <w:r>
              <w:rPr>
                <w:rFonts w:ascii="Arial" w:cs="Arial" w:eastAsia="Arial" w:hAnsi="Arial"/>
                <w:b w:val="false"/>
                <w:bCs w:val="false"/>
                <w:i w:val="false"/>
                <w:iCs w:val="false"/>
                <w:color w:val="000000"/>
                <w:sz w:val="17"/>
                <w:szCs w:val="17"/>
              </w:rPr>
              <w:t xml:space="preserve">FR — revenue</w:t>
            </w:r>
          </w:p>
          <w:p>
            <w:pPr>
              <w:keepNext w:val="false"/>
              <w:spacing w:after="40" w:before="0" w:line="250" w:lineRule="auto"/>
            </w:pPr>
            <w:r>
              <w:rPr>
                <w:rFonts w:ascii="Arial" w:cs="Arial" w:eastAsia="Arial" w:hAnsi="Arial"/>
                <w:b w:val="false"/>
                <w:bCs w:val="false"/>
                <w:i w:val="false"/>
                <w:iCs w:val="false"/>
                <w:color w:val="000000"/>
                <w:sz w:val="17"/>
                <w:szCs w:val="17"/>
              </w:rPr>
              <w:t xml:space="preserve">Strategy</w:t>
            </w:r>
          </w:p>
          <w:p>
            <w:pPr>
              <w:keepNext w:val="false"/>
              <w:spacing w:after="0" w:before="0" w:line="250" w:lineRule="auto"/>
            </w:pPr>
            <w:r>
              <w:rPr>
                <w:rFonts w:ascii="Arial" w:cs="Arial" w:eastAsia="Arial" w:hAnsi="Arial"/>
                <w:b w:val="false"/>
                <w:bCs w:val="false"/>
                <w:i w:val="false"/>
                <w:iCs w:val="false"/>
                <w:color w:val="000000"/>
                <w:sz w:val="17"/>
                <w:szCs w:val="17"/>
              </w:rPr>
              <w:t xml:space="preserve">Risk</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6</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3 — Teams message (CFO)</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Sends the Board Strategy Day extract.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Gives context on where the leadership team and board see Axion going over the next few years.</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Says we will be doing “quite a bit of work around some of these plans”.</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Strategy</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7</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3 — The opportunity and why Axion</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Demand drivers: cloud adoption; artificial intelligence (high density computing, more electricity and cooling); Africa’s digital economy.</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More computing means more physical infrastructure.</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Why Axion is positioned: established footprint, 350+ customer relationships, connected ecosystem, existing sites, power allocations and network connectivity.</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CEO: the challenge is no longer whether demand will grow, but how quickly Axion should grow with it.</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Strategy</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8</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3 — Axion 2030 and the investment approach</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Four strategic priorities: </w:t>
            </w:r>
            <w:r>
              <w:rPr>
                <w:rFonts w:ascii="Arial" w:cs="Arial" w:eastAsia="Arial" w:hAnsi="Arial"/>
                <w:b/>
                <w:bCs/>
                <w:i w:val="false"/>
                <w:iCs w:val="false"/>
                <w:color w:val="000000"/>
                <w:sz w:val="17"/>
                <w:szCs w:val="17"/>
              </w:rPr>
              <w:t xml:space="preserve">GROW</w:t>
            </w:r>
            <w:r>
              <w:rPr>
                <w:rFonts w:ascii="Arial" w:cs="Arial" w:eastAsia="Arial" w:hAnsi="Arial"/>
                <w:b w:val="false"/>
                <w:bCs w:val="false"/>
                <w:i w:val="false"/>
                <w:iCs w:val="false"/>
                <w:color w:val="000000"/>
                <w:sz w:val="17"/>
                <w:szCs w:val="17"/>
              </w:rPr>
              <w:t xml:space="preserve"> (more capacity in Johannesburg and Cape Town), </w:t>
            </w:r>
            <w:r>
              <w:rPr>
                <w:rFonts w:ascii="Arial" w:cs="Arial" w:eastAsia="Arial" w:hAnsi="Arial"/>
                <w:b/>
                <w:bCs/>
                <w:i w:val="false"/>
                <w:iCs w:val="false"/>
                <w:color w:val="000000"/>
                <w:sz w:val="17"/>
                <w:szCs w:val="17"/>
              </w:rPr>
              <w:t xml:space="preserve">CONNECT</w:t>
            </w:r>
            <w:r>
              <w:rPr>
                <w:rFonts w:ascii="Arial" w:cs="Arial" w:eastAsia="Arial" w:hAnsi="Arial"/>
                <w:b w:val="false"/>
                <w:bCs w:val="false"/>
                <w:i w:val="false"/>
                <w:iCs w:val="false"/>
                <w:color w:val="000000"/>
                <w:sz w:val="17"/>
                <w:szCs w:val="17"/>
              </w:rPr>
              <w:t xml:space="preserve"> (deepen the ecosystem and interconnection), </w:t>
            </w:r>
            <w:r>
              <w:rPr>
                <w:rFonts w:ascii="Arial" w:cs="Arial" w:eastAsia="Arial" w:hAnsi="Arial"/>
                <w:b/>
                <w:bCs/>
                <w:i w:val="false"/>
                <w:iCs w:val="false"/>
                <w:color w:val="000000"/>
                <w:sz w:val="17"/>
                <w:szCs w:val="17"/>
              </w:rPr>
              <w:t xml:space="preserve">POWER</w:t>
            </w:r>
            <w:r>
              <w:rPr>
                <w:rFonts w:ascii="Arial" w:cs="Arial" w:eastAsia="Arial" w:hAnsi="Arial"/>
                <w:b w:val="false"/>
                <w:bCs w:val="false"/>
                <w:i w:val="false"/>
                <w:iCs w:val="false"/>
                <w:color w:val="000000"/>
                <w:sz w:val="17"/>
                <w:szCs w:val="17"/>
              </w:rPr>
              <w:t xml:space="preserve"> (reliable, cost-effective, increasingly renewable electricity), </w:t>
            </w:r>
            <w:r>
              <w:rPr>
                <w:rFonts w:ascii="Arial" w:cs="Arial" w:eastAsia="Arial" w:hAnsi="Arial"/>
                <w:b/>
                <w:bCs/>
                <w:i w:val="false"/>
                <w:iCs w:val="false"/>
                <w:color w:val="000000"/>
                <w:sz w:val="17"/>
                <w:szCs w:val="17"/>
              </w:rPr>
              <w:t xml:space="preserve">MATURE</w:t>
            </w:r>
            <w:r>
              <w:rPr>
                <w:rFonts w:ascii="Arial" w:cs="Arial" w:eastAsia="Arial" w:hAnsi="Arial"/>
                <w:b w:val="false"/>
                <w:bCs w:val="false"/>
                <w:i w:val="false"/>
                <w:iCs w:val="false"/>
                <w:color w:val="000000"/>
                <w:sz w:val="17"/>
                <w:szCs w:val="17"/>
              </w:rPr>
              <w:t xml:space="preserve"> (people, systems, governance, organisational capability).</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R3–5bn capital investment under consideration over five years.</w:t>
            </w:r>
            <w:r>
              <w:rPr>
                <w:rFonts w:ascii="Arial" w:cs="Arial" w:eastAsia="Arial" w:hAnsi="Arial"/>
                <w:b w:val="false"/>
                <w:bCs w:val="false"/>
                <w:i w:val="false"/>
                <w:iCs w:val="false"/>
                <w:color w:val="000000"/>
                <w:sz w:val="17"/>
                <w:szCs w:val="17"/>
              </w:rPr>
              <w:t xml:space="preserve"> The pipeline is said to exceed the capital invested in Axion’s first 15 years.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Funding should reflect the project: cash flow predictability, duration and contractual support; a project-specific target capital structure; security, guarantees and covenants. </w:t>
            </w:r>
            <w:r>
              <w:rPr>
                <w:rFonts w:ascii="Arial" w:cs="Arial" w:eastAsia="Arial" w:hAnsi="Arial"/>
                <w:b/>
                <w:bCs/>
                <w:i w:val="false"/>
                <w:iCs w:val="false"/>
                <w:color w:val="000000"/>
                <w:sz w:val="17"/>
                <w:szCs w:val="17"/>
              </w:rPr>
              <w:t xml:space="preserve">Project-level funding does not necessarily transfer risk away from Axion.</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Three-stage process: initial feasibility (incremental </w:t>
            </w:r>
            <w:r>
              <w:rPr>
                <w:rFonts w:ascii="Arial" w:cs="Arial" w:eastAsia="Arial" w:hAnsi="Arial"/>
                <w:b/>
                <w:bCs/>
                <w:i w:val="false"/>
                <w:iCs w:val="false"/>
                <w:color w:val="000000"/>
                <w:sz w:val="17"/>
                <w:szCs w:val="17"/>
              </w:rPr>
              <w:t xml:space="preserve">pre-tax</w:t>
            </w:r>
            <w:r>
              <w:rPr>
                <w:rFonts w:ascii="Arial" w:cs="Arial" w:eastAsia="Arial" w:hAnsi="Arial"/>
                <w:b w:val="false"/>
                <w:bCs w:val="false"/>
                <w:i w:val="false"/>
                <w:iCs w:val="false"/>
                <w:color w:val="000000"/>
                <w:sz w:val="17"/>
                <w:szCs w:val="17"/>
              </w:rPr>
              <w:t xml:space="preserve"> cash flows, project-specific cost of capital, </w:t>
            </w:r>
            <w:r>
              <w:rPr>
                <w:rFonts w:ascii="Arial" w:cs="Arial" w:eastAsia="Arial" w:hAnsi="Arial"/>
                <w:b/>
                <w:bCs/>
                <w:i w:val="false"/>
                <w:iCs w:val="false"/>
                <w:color w:val="000000"/>
                <w:sz w:val="17"/>
                <w:szCs w:val="17"/>
              </w:rPr>
              <w:t xml:space="preserve">pre-tax</w:t>
            </w:r>
            <w:r>
              <w:rPr>
                <w:rFonts w:ascii="Arial" w:cs="Arial" w:eastAsia="Arial" w:hAnsi="Arial"/>
                <w:b w:val="false"/>
                <w:bCs w:val="false"/>
                <w:i w:val="false"/>
                <w:iCs w:val="false"/>
                <w:color w:val="000000"/>
                <w:sz w:val="17"/>
                <w:szCs w:val="17"/>
              </w:rPr>
              <w:t xml:space="preserve"> project NPV, assumptions and risks) → detailed assessment → final decision.</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project cost of capital method is spelled out: comparable company equity beta → remove financial gearing → underlying beta → apply the project capital structure → project equity beta.</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Funding options: additional debt; investment from existing shareholders; investment from a new strategic investor.</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Digital tools support analysis and calculation, not judgement. Outputs are reviewed and independently validated before use.</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FM — NPV, WACC, beta</w:t>
            </w:r>
          </w:p>
          <w:p>
            <w:pPr>
              <w:keepNext w:val="false"/>
              <w:spacing w:after="40" w:before="0" w:line="250" w:lineRule="auto"/>
            </w:pPr>
            <w:r>
              <w:rPr>
                <w:rFonts w:ascii="Arial" w:cs="Arial" w:eastAsia="Arial" w:hAnsi="Arial"/>
                <w:b w:val="false"/>
                <w:bCs w:val="false"/>
                <w:i w:val="false"/>
                <w:iCs w:val="false"/>
                <w:color w:val="000000"/>
                <w:sz w:val="17"/>
                <w:szCs w:val="17"/>
              </w:rPr>
              <w:t xml:space="preserve">Strategy</w:t>
            </w:r>
          </w:p>
          <w:p>
            <w:pPr>
              <w:keepNext w:val="false"/>
              <w:spacing w:after="40" w:before="0" w:line="250" w:lineRule="auto"/>
            </w:pPr>
            <w:r>
              <w:rPr>
                <w:rFonts w:ascii="Arial" w:cs="Arial" w:eastAsia="Arial" w:hAnsi="Arial"/>
                <w:b w:val="false"/>
                <w:bCs w:val="false"/>
                <w:i w:val="false"/>
                <w:iCs w:val="false"/>
                <w:color w:val="000000"/>
                <w:sz w:val="17"/>
                <w:szCs w:val="17"/>
              </w:rPr>
              <w:t xml:space="preserve">Governance</w:t>
            </w:r>
          </w:p>
          <w:p>
            <w:pPr>
              <w:keepNext w:val="false"/>
              <w:spacing w:after="0" w:before="0" w:line="250" w:lineRule="auto"/>
            </w:pPr>
            <w:r>
              <w:rPr>
                <w:rFonts w:ascii="Arial" w:cs="Arial" w:eastAsia="Arial" w:hAnsi="Arial"/>
                <w:b w:val="false"/>
                <w:bCs w:val="false"/>
                <w:i w:val="false"/>
                <w:iCs w:val="false"/>
                <w:color w:val="000000"/>
                <w:sz w:val="17"/>
                <w:szCs w:val="17"/>
              </w:rPr>
              <w:t xml:space="preserve">Controls over AI</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9</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3 — Constraints</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Six constraints: power; capital (spent upfront, well before full revenue); land and development (planning and environmental requirements); people (scarce specialist skills); sustainability (scrutiny of electricity, water and environmental impact); organisational capacity (pressure on systems, controls, governance and management).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Four tensions: customer demand against available capacity; speed of expansion against financial reliance; growing power requirements against sustainability commitments; entrepreneurial culture against organisational maturity.</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“How do we capture the opportunity without getting ahead of ourselves?”</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Strategy</w:t>
            </w:r>
          </w:p>
          <w:p>
            <w:pPr>
              <w:keepNext w:val="false"/>
              <w:spacing w:after="40" w:before="0" w:line="250" w:lineRule="auto"/>
            </w:pPr>
            <w:r>
              <w:rPr>
                <w:rFonts w:ascii="Arial" w:cs="Arial" w:eastAsia="Arial" w:hAnsi="Arial"/>
                <w:b w:val="false"/>
                <w:bCs w:val="false"/>
                <w:i w:val="false"/>
                <w:iCs w:val="false"/>
                <w:color w:val="000000"/>
                <w:sz w:val="17"/>
                <w:szCs w:val="17"/>
              </w:rPr>
              <w:t xml:space="preserve">Risk</w:t>
            </w:r>
          </w:p>
          <w:p>
            <w:pPr>
              <w:keepNext w:val="false"/>
              <w:spacing w:after="40" w:before="0" w:line="250" w:lineRule="auto"/>
            </w:pPr>
            <w:r>
              <w:rPr>
                <w:rFonts w:ascii="Arial" w:cs="Arial" w:eastAsia="Arial" w:hAnsi="Arial"/>
                <w:b w:val="false"/>
                <w:bCs w:val="false"/>
                <w:i w:val="false"/>
                <w:iCs w:val="false"/>
                <w:color w:val="000000"/>
                <w:sz w:val="17"/>
                <w:szCs w:val="17"/>
              </w:rPr>
              <w:t xml:space="preserve">ESG</w:t>
            </w:r>
          </w:p>
          <w:p>
            <w:pPr>
              <w:keepNext w:val="false"/>
              <w:spacing w:after="0" w:before="0" w:line="250" w:lineRule="auto"/>
            </w:pPr>
            <w:r>
              <w:rPr>
                <w:rFonts w:ascii="Arial" w:cs="Arial" w:eastAsia="Arial" w:hAnsi="Arial"/>
                <w:b w:val="false"/>
                <w:bCs w:val="false"/>
                <w:i w:val="false"/>
                <w:iCs w:val="false"/>
                <w:color w:val="000000"/>
                <w:sz w:val="17"/>
                <w:szCs w:val="17"/>
              </w:rPr>
              <w:t xml:space="preserve">Governance</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10</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4 — Teams message (CFO)</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Sends an extract from a draft information memorandum prepared as part of the strategic funding review.</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Gives context on who owns Axion and how the board is structured.</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Governance</w:t>
            </w:r>
          </w:p>
          <w:p>
            <w:pPr>
              <w:keepNext w:val="false"/>
              <w:spacing w:after="0" w:before="0" w:line="250" w:lineRule="auto"/>
            </w:pPr>
            <w:r>
              <w:rPr>
                <w:rFonts w:ascii="Arial" w:cs="Arial" w:eastAsia="Arial" w:hAnsi="Arial"/>
                <w:b w:val="false"/>
                <w:bCs w:val="false"/>
                <w:i w:val="false"/>
                <w:iCs w:val="false"/>
                <w:color w:val="000000"/>
                <w:sz w:val="17"/>
                <w:szCs w:val="17"/>
              </w:rPr>
              <w:t xml:space="preserve">FM — funding</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11</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4 — Ownership and governance</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Founded by Kabelo Moleke (electrical engineer) and David Low (technology entrepreneur), initially funded with personal capital and bank finance. External equity introduced as Axion grew. </w:t>
            </w:r>
            <w:r>
              <w:rPr>
                <w:rFonts w:ascii="Arial" w:cs="Arial" w:eastAsia="Arial" w:hAnsi="Arial"/>
                <w:b/>
                <w:bCs/>
                <w:i w:val="false"/>
                <w:iCs w:val="false"/>
                <w:color w:val="000000"/>
                <w:sz w:val="17"/>
                <w:szCs w:val="17"/>
              </w:rPr>
              <w:t xml:space="preserve">Still privately held.</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Shareholding: Ubuntu Infrastructure 35%, Horizon 30%, Moleke 18%, Employee &amp; Empowerment Trust 10%, Low 7%.</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Institutional investors have rights to nominate a director under the shareholders’ agreement.</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Board: Dr Lindiwe September (independent non-executive Chair); Kabelo Moleke (CEO); Sarah Naidoo (CFO); David Low (founder, non-executive); Thandi Mthanda (independent non-executive, </w:t>
            </w:r>
            <w:r>
              <w:rPr>
                <w:rFonts w:ascii="Arial" w:cs="Arial" w:eastAsia="Arial" w:hAnsi="Arial"/>
                <w:b/>
                <w:bCs/>
                <w:i w:val="false"/>
                <w:iCs w:val="false"/>
                <w:color w:val="000000"/>
                <w:sz w:val="17"/>
                <w:szCs w:val="17"/>
              </w:rPr>
              <w:t xml:space="preserve">former audit partner and CFO</w:t>
            </w:r>
            <w:r>
              <w:rPr>
                <w:rFonts w:ascii="Arial" w:cs="Arial" w:eastAsia="Arial" w:hAnsi="Arial"/>
                <w:b w:val="false"/>
                <w:bCs w:val="false"/>
                <w:i w:val="false"/>
                <w:iCs w:val="false"/>
                <w:color w:val="000000"/>
                <w:sz w:val="17"/>
                <w:szCs w:val="17"/>
              </w:rPr>
              <w:t xml:space="preserve">); Michael van de Wyk (non-executive, </w:t>
            </w:r>
            <w:r>
              <w:rPr>
                <w:rFonts w:ascii="Arial" w:cs="Arial" w:eastAsia="Arial" w:hAnsi="Arial"/>
                <w:b/>
                <w:bCs/>
                <w:i w:val="false"/>
                <w:iCs w:val="false"/>
                <w:color w:val="000000"/>
                <w:sz w:val="17"/>
                <w:szCs w:val="17"/>
              </w:rPr>
              <w:t xml:space="preserve">investment director at Ubuntu</w:t>
            </w:r>
            <w:r>
              <w:rPr>
                <w:rFonts w:ascii="Arial" w:cs="Arial" w:eastAsia="Arial" w:hAnsi="Arial"/>
                <w:b w:val="false"/>
                <w:bCs w:val="false"/>
                <w:i w:val="false"/>
                <w:iCs w:val="false"/>
                <w:color w:val="000000"/>
                <w:sz w:val="17"/>
                <w:szCs w:val="17"/>
              </w:rPr>
              <w:t xml:space="preserve">); Aisha Kahn (non-executive, </w:t>
            </w:r>
            <w:r>
              <w:rPr>
                <w:rFonts w:ascii="Arial" w:cs="Arial" w:eastAsia="Arial" w:hAnsi="Arial"/>
                <w:b/>
                <w:bCs/>
                <w:i w:val="false"/>
                <w:iCs w:val="false"/>
                <w:color w:val="000000"/>
                <w:sz w:val="17"/>
                <w:szCs w:val="17"/>
              </w:rPr>
              <w:t xml:space="preserve">partner at Horizon</w:t>
            </w:r>
            <w:r>
              <w:rPr>
                <w:rFonts w:ascii="Arial" w:cs="Arial" w:eastAsia="Arial" w:hAnsi="Arial"/>
                <w:b w:val="false"/>
                <w:bCs w:val="false"/>
                <w:i w:val="false"/>
                <w:iCs w:val="false"/>
                <w:color w:val="000000"/>
                <w:sz w:val="17"/>
                <w:szCs w:val="17"/>
              </w:rPr>
              <w:t xml:space="preserve">).</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Governance</w:t>
            </w:r>
          </w:p>
          <w:p>
            <w:pPr>
              <w:keepNext w:val="false"/>
              <w:spacing w:after="40" w:before="0" w:line="250" w:lineRule="auto"/>
            </w:pPr>
            <w:r>
              <w:rPr>
                <w:rFonts w:ascii="Arial" w:cs="Arial" w:eastAsia="Arial" w:hAnsi="Arial"/>
                <w:b w:val="false"/>
                <w:bCs w:val="false"/>
                <w:i w:val="false"/>
                <w:iCs w:val="false"/>
                <w:color w:val="000000"/>
                <w:sz w:val="17"/>
                <w:szCs w:val="17"/>
              </w:rPr>
              <w:t xml:space="preserve">Ethics — independence and conflicts</w:t>
            </w:r>
          </w:p>
          <w:p>
            <w:pPr>
              <w:keepNext w:val="false"/>
              <w:spacing w:after="0" w:before="0" w:line="250" w:lineRule="auto"/>
            </w:pPr>
            <w:r>
              <w:rPr>
                <w:rFonts w:ascii="Arial" w:cs="Arial" w:eastAsia="Arial" w:hAnsi="Arial"/>
                <w:b w:val="false"/>
                <w:bCs w:val="false"/>
                <w:i w:val="false"/>
                <w:iCs w:val="false"/>
                <w:color w:val="000000"/>
                <w:sz w:val="17"/>
                <w:szCs w:val="17"/>
              </w:rPr>
              <w:t xml:space="preserve">FM</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12</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4 — Committees and governance</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Audit &amp; Risk (Chair: Thandi Mthanda). Social, Ethics &amp; Sustainability (Chair: Dr September). Remuneration &amp; Nomination (Chair: Dr September). </w:t>
            </w:r>
            <w:r>
              <w:rPr>
                <w:rFonts w:ascii="Arial" w:cs="Arial" w:eastAsia="Arial" w:hAnsi="Arial"/>
                <w:b/>
                <w:bCs/>
                <w:i w:val="false"/>
                <w:iCs w:val="false"/>
                <w:color w:val="000000"/>
                <w:sz w:val="17"/>
                <w:szCs w:val="17"/>
              </w:rPr>
              <w:t xml:space="preserve">Investment Committee (Chair: Michael van de Wyk).</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Not listed, but governance practices are informed by </w:t>
            </w:r>
            <w:r>
              <w:rPr>
                <w:rFonts w:ascii="Arial" w:cs="Arial" w:eastAsia="Arial" w:hAnsi="Arial"/>
                <w:b/>
                <w:bCs/>
                <w:i w:val="false"/>
                <w:iCs w:val="false"/>
                <w:color w:val="000000"/>
                <w:sz w:val="17"/>
                <w:szCs w:val="17"/>
              </w:rPr>
              <w:t xml:space="preserve">King V</w:t>
            </w:r>
            <w:r>
              <w:rPr>
                <w:rFonts w:ascii="Arial" w:cs="Arial" w:eastAsia="Arial" w:hAnsi="Arial"/>
                <w:b w:val="false"/>
                <w:bCs w:val="false"/>
                <w:i w:val="false"/>
                <w:iCs w:val="false"/>
                <w:color w:val="000000"/>
                <w:sz w:val="17"/>
                <w:szCs w:val="17"/>
              </w:rPr>
              <w:t xml:space="preserve">.</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board keeps oversight of strategy, material capital investments, risks and executive appointments. Day-to-day operations are delegated to the CEO and executive team.</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Moving from founder-led to institutionally backed while progressively formalising systems, governance and decision-making.</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Governance</w:t>
            </w:r>
          </w:p>
          <w:p>
            <w:pPr>
              <w:keepNext w:val="false"/>
              <w:spacing w:after="0" w:before="0" w:line="250" w:lineRule="auto"/>
            </w:pPr>
            <w:r>
              <w:rPr>
                <w:rFonts w:ascii="Arial" w:cs="Arial" w:eastAsia="Arial" w:hAnsi="Arial"/>
                <w:b w:val="false"/>
                <w:bCs w:val="false"/>
                <w:i w:val="false"/>
                <w:iCs w:val="false"/>
                <w:color w:val="000000"/>
                <w:sz w:val="17"/>
                <w:szCs w:val="17"/>
              </w:rPr>
              <w:t xml:space="preserve">Ethics</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13</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5 — Teams message (CFO)</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Sends the FY2026 business performance pack extract.</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Her point: the financial statements make much more sense once you understand the operational drivers behind them.</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MDMC</w:t>
            </w:r>
          </w:p>
          <w:p>
            <w:pPr>
              <w:keepNext w:val="false"/>
              <w:spacing w:after="0" w:before="0" w:line="250" w:lineRule="auto"/>
            </w:pPr>
            <w:r>
              <w:rPr>
                <w:rFonts w:ascii="Arial" w:cs="Arial" w:eastAsia="Arial" w:hAnsi="Arial"/>
                <w:b w:val="false"/>
                <w:bCs w:val="false"/>
                <w:i w:val="false"/>
                <w:iCs w:val="false"/>
                <w:color w:val="000000"/>
                <w:sz w:val="17"/>
                <w:szCs w:val="17"/>
              </w:rPr>
              <w:t xml:space="preserve">FR</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14</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5 — How Axion makes money</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Predominantly </w:t>
            </w:r>
            <w:r>
              <w:rPr>
                <w:rFonts w:ascii="Arial" w:cs="Arial" w:eastAsia="Arial" w:hAnsi="Arial"/>
                <w:b/>
                <w:bCs/>
                <w:i w:val="false"/>
                <w:iCs w:val="false"/>
                <w:color w:val="000000"/>
                <w:sz w:val="17"/>
                <w:szCs w:val="17"/>
              </w:rPr>
              <w:t xml:space="preserve">recurring</w:t>
            </w:r>
            <w:r>
              <w:rPr>
                <w:rFonts w:ascii="Arial" w:cs="Arial" w:eastAsia="Arial" w:hAnsi="Arial"/>
                <w:b w:val="false"/>
                <w:bCs w:val="false"/>
                <w:i w:val="false"/>
                <w:iCs w:val="false"/>
                <w:color w:val="000000"/>
                <w:sz w:val="17"/>
                <w:szCs w:val="17"/>
              </w:rPr>
              <w:t xml:space="preserve"> revenue. Larger customers generally commit to capacity for longer. Invoiced monthly. </w:t>
            </w:r>
            <w:r>
              <w:rPr>
                <w:rFonts w:ascii="Arial" w:cs="Arial" w:eastAsia="Arial" w:hAnsi="Arial"/>
                <w:b/>
                <w:bCs/>
                <w:i w:val="false"/>
                <w:iCs w:val="false"/>
                <w:color w:val="000000"/>
                <w:sz w:val="17"/>
                <w:szCs w:val="17"/>
              </w:rPr>
              <w:t xml:space="preserve">Axion does not provide financing to its customers.</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Colocation / capacity:</w:t>
            </w:r>
            <w:r>
              <w:rPr>
                <w:rFonts w:ascii="Arial" w:cs="Arial" w:eastAsia="Arial" w:hAnsi="Arial"/>
                <w:b w:val="false"/>
                <w:bCs w:val="false"/>
                <w:i w:val="false"/>
                <w:iCs w:val="false"/>
                <w:color w:val="000000"/>
                <w:sz w:val="17"/>
                <w:szCs w:val="17"/>
              </w:rPr>
              <w:t xml:space="preserve"> right to use data centre space and supporting infrastructure, including a contracted amount of power capacity, cooling, physical security and facility operations. Priced on power capacity, space and racks, resilience and location. Contracts typically </w:t>
            </w:r>
            <w:r>
              <w:rPr>
                <w:rFonts w:ascii="Arial" w:cs="Arial" w:eastAsia="Arial" w:hAnsi="Arial"/>
                <w:b/>
                <w:bCs/>
                <w:i w:val="false"/>
                <w:iCs w:val="false"/>
                <w:color w:val="000000"/>
                <w:sz w:val="17"/>
                <w:szCs w:val="17"/>
              </w:rPr>
              <w:t xml:space="preserve">3 to 5 years</w:t>
            </w:r>
            <w:r>
              <w:rPr>
                <w:rFonts w:ascii="Arial" w:cs="Arial" w:eastAsia="Arial" w:hAnsi="Arial"/>
                <w:b w:val="false"/>
                <w:bCs w:val="false"/>
                <w:i w:val="false"/>
                <w:iCs w:val="false"/>
                <w:color w:val="000000"/>
                <w:sz w:val="17"/>
                <w:szCs w:val="17"/>
              </w:rPr>
              <w:t xml:space="preserv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Power / electricity:</w:t>
            </w:r>
            <w:r>
              <w:rPr>
                <w:rFonts w:ascii="Arial" w:cs="Arial" w:eastAsia="Arial" w:hAnsi="Arial"/>
                <w:b w:val="false"/>
                <w:bCs w:val="false"/>
                <w:i w:val="false"/>
                <w:iCs w:val="false"/>
                <w:color w:val="000000"/>
                <w:sz w:val="17"/>
                <w:szCs w:val="17"/>
              </w:rPr>
              <w:t xml:space="preserve"> separately metered and recovered from customers, including a contribution towards electricity used to cool and support the facility.</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Interconnection:</w:t>
            </w:r>
            <w:r>
              <w:rPr>
                <w:rFonts w:ascii="Arial" w:cs="Arial" w:eastAsia="Arial" w:hAnsi="Arial"/>
                <w:b w:val="false"/>
                <w:bCs w:val="false"/>
                <w:i w:val="false"/>
                <w:iCs w:val="false"/>
                <w:color w:val="000000"/>
                <w:sz w:val="17"/>
                <w:szCs w:val="17"/>
              </w:rPr>
              <w:t xml:space="preserve"> cross-connects and other connections between customers, networks, cloud providers and other participants.</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Ancillary services:</w:t>
            </w:r>
            <w:r>
              <w:rPr>
                <w:rFonts w:ascii="Arial" w:cs="Arial" w:eastAsia="Arial" w:hAnsi="Arial"/>
                <w:b w:val="false"/>
                <w:bCs w:val="false"/>
                <w:i w:val="false"/>
                <w:iCs w:val="false"/>
                <w:color w:val="000000"/>
                <w:sz w:val="17"/>
                <w:szCs w:val="17"/>
              </w:rPr>
              <w:t xml:space="preserve"> remote hands, installation, migration assistance and technical support. Recurring or usage based.</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Customers may contract for capacity before they begin using it</w:t>
            </w:r>
            <w:r>
              <w:rPr>
                <w:rFonts w:ascii="Arial" w:cs="Arial" w:eastAsia="Arial" w:hAnsi="Arial"/>
                <w:b w:val="false"/>
                <w:bCs w:val="false"/>
                <w:i w:val="false"/>
                <w:iCs w:val="false"/>
                <w:color w:val="000000"/>
                <w:sz w:val="17"/>
                <w:szCs w:val="17"/>
              </w:rPr>
              <w:t xml:space="preserve">, so contracted capacity may exceed utilised capacity.</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At 30 June 2026: installed 45 MW, contracted 40 MW, utilised 35 MW. Contracted 89%, utilised 78%.</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FR — IFRS 15, possibly IFRS 16</w:t>
            </w:r>
          </w:p>
          <w:p>
            <w:pPr>
              <w:keepNext w:val="false"/>
              <w:spacing w:after="40" w:before="0" w:line="250" w:lineRule="auto"/>
            </w:pPr>
            <w:r>
              <w:rPr>
                <w:rFonts w:ascii="Arial" w:cs="Arial" w:eastAsia="Arial" w:hAnsi="Arial"/>
                <w:b w:val="false"/>
                <w:bCs w:val="false"/>
                <w:i w:val="false"/>
                <w:iCs w:val="false"/>
                <w:color w:val="000000"/>
                <w:sz w:val="17"/>
                <w:szCs w:val="17"/>
              </w:rPr>
              <w:t xml:space="preserve">MDMC — capacity</w:t>
            </w:r>
          </w:p>
          <w:p>
            <w:pPr>
              <w:keepNext w:val="false"/>
              <w:spacing w:after="0" w:before="0" w:line="250" w:lineRule="auto"/>
            </w:pPr>
            <w:r>
              <w:rPr>
                <w:rFonts w:ascii="Arial" w:cs="Arial" w:eastAsia="Arial" w:hAnsi="Arial"/>
                <w:b w:val="false"/>
                <w:bCs w:val="false"/>
                <w:i w:val="false"/>
                <w:iCs w:val="false"/>
                <w:color w:val="000000"/>
                <w:sz w:val="17"/>
                <w:szCs w:val="17"/>
              </w:rPr>
              <w:t xml:space="preserve">Audit — revenue</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15</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5 — Capacity, financials and other matters</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Contracted capacity is management’s key indicator of future revenue. It gives visibility of future cash flow, supports investment decisions and underpins the ability to secure financing.</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“As available capacity becomes more constrained, decisions regarding new customer commitments can have a significant influence on the future revenue profile and customer mix of a facility.”</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Three-year income statement, balance sheet and operating metrics.</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Metroloop:</w:t>
            </w:r>
            <w:r>
              <w:rPr>
                <w:rFonts w:ascii="Arial" w:cs="Arial" w:eastAsia="Arial" w:hAnsi="Arial"/>
                <w:b w:val="false"/>
                <w:bCs w:val="false"/>
                <w:i w:val="false"/>
                <w:iCs w:val="false"/>
                <w:color w:val="000000"/>
                <w:sz w:val="17"/>
                <w:szCs w:val="17"/>
              </w:rPr>
              <w:t xml:space="preserve"> 40% interest in a joint venture that owns and operates a metro fibre network serving carriers and enterprises in Gauteng. Equity accounted.</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Undeveloped site:</w:t>
            </w:r>
            <w:r>
              <w:rPr>
                <w:rFonts w:ascii="Arial" w:cs="Arial" w:eastAsia="Arial" w:hAnsi="Arial"/>
                <w:b w:val="false"/>
                <w:bCs w:val="false"/>
                <w:i w:val="false"/>
                <w:iCs w:val="false"/>
                <w:color w:val="000000"/>
                <w:sz w:val="17"/>
                <w:szCs w:val="17"/>
              </w:rPr>
              <w:t xml:space="preserve"> land acquired several years ago to support future expansion. Plans have evolved over time. It remains undeveloped while management considers how best to use it. The finance team is considering the accounting implications of the evolving plans.</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MDMC</w:t>
            </w:r>
          </w:p>
          <w:p>
            <w:pPr>
              <w:keepNext w:val="false"/>
              <w:spacing w:after="40" w:before="0" w:line="250" w:lineRule="auto"/>
            </w:pPr>
            <w:r>
              <w:rPr>
                <w:rFonts w:ascii="Arial" w:cs="Arial" w:eastAsia="Arial" w:hAnsi="Arial"/>
                <w:b w:val="false"/>
                <w:bCs w:val="false"/>
                <w:i w:val="false"/>
                <w:iCs w:val="false"/>
                <w:color w:val="000000"/>
                <w:sz w:val="17"/>
                <w:szCs w:val="17"/>
              </w:rPr>
              <w:t xml:space="preserve">FR — IFRS 15/16, IAS 28, IAS 40</w:t>
            </w:r>
          </w:p>
          <w:p>
            <w:pPr>
              <w:keepNext w:val="false"/>
              <w:spacing w:after="0" w:before="0" w:line="250" w:lineRule="auto"/>
            </w:pPr>
            <w:r>
              <w:rPr>
                <w:rFonts w:ascii="Arial" w:cs="Arial" w:eastAsia="Arial" w:hAnsi="Arial"/>
                <w:b w:val="false"/>
                <w:bCs w:val="false"/>
                <w:i w:val="false"/>
                <w:iCs w:val="false"/>
                <w:color w:val="000000"/>
                <w:sz w:val="17"/>
                <w:szCs w:val="17"/>
              </w:rPr>
              <w:t xml:space="preserve">FM — debt capacity</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16</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6 — Teams message (CFO)</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IFRS 18 Presentation and Disclosure in Financial Statements will eventually replace IAS 1.</w:t>
            </w:r>
            <w:r>
              <w:rPr>
                <w:rFonts w:ascii="Arial" w:cs="Arial" w:eastAsia="Arial" w:hAnsi="Arial"/>
                <w:b w:val="false"/>
                <w:bCs w:val="false"/>
                <w:i w:val="false"/>
                <w:iCs w:val="false"/>
                <w:color w:val="000000"/>
                <w:sz w:val="17"/>
                <w:szCs w:val="17"/>
              </w:rPr>
              <w:t xml:space="preserve"> Axion is not adopting it yet.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strategic funding review is under way, and </w:t>
            </w:r>
            <w:r>
              <w:rPr>
                <w:rFonts w:ascii="Arial" w:cs="Arial" w:eastAsia="Arial" w:hAnsi="Arial"/>
                <w:b/>
                <w:bCs/>
                <w:i w:val="false"/>
                <w:iCs w:val="false"/>
                <w:color w:val="000000"/>
                <w:sz w:val="17"/>
                <w:szCs w:val="17"/>
              </w:rPr>
              <w:t xml:space="preserve">Ubuntu and Horizon regularly benchmark Axion against listed infrastructure businesses</w:t>
            </w:r>
            <w:r>
              <w:rPr>
                <w:rFonts w:ascii="Arial" w:cs="Arial" w:eastAsia="Arial" w:hAnsi="Arial"/>
                <w:b w:val="false"/>
                <w:bCs w:val="false"/>
                <w:i w:val="false"/>
                <w:iCs w:val="false"/>
                <w:color w:val="000000"/>
                <w:sz w:val="17"/>
                <w:szCs w:val="17"/>
              </w:rPr>
              <w:t xml:space="preserve">. The board wants to know what the new requirements mean for how Axion presents its performance.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The reporting team is doing an initial remapping of FY2026 results and the CFO will send it through.</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In scope:</w:t>
            </w:r>
            <w:r>
              <w:rPr>
                <w:rFonts w:ascii="Arial" w:cs="Arial" w:eastAsia="Arial" w:hAnsi="Arial"/>
                <w:b w:val="false"/>
                <w:bCs w:val="false"/>
                <w:i w:val="false"/>
                <w:iCs w:val="false"/>
                <w:color w:val="000000"/>
                <w:sz w:val="17"/>
                <w:szCs w:val="17"/>
              </w:rPr>
              <w:t xml:space="preserve"> the IFRS 18 requirements for classification and presentation of income and expenses in profit or loss, including how an entity’s main business activities can affect classification; and understanding management-defined performance measures, given the internal measures used across the business.</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Out of scope:</w:t>
            </w:r>
            <w:r>
              <w:rPr>
                <w:rFonts w:ascii="Arial" w:cs="Arial" w:eastAsia="Arial" w:hAnsi="Arial"/>
                <w:b w:val="false"/>
                <w:bCs w:val="false"/>
                <w:i w:val="false"/>
                <w:iCs w:val="false"/>
                <w:color w:val="000000"/>
                <w:sz w:val="17"/>
                <w:szCs w:val="17"/>
              </w:rPr>
              <w:t xml:space="preserve"> the detailed disclosure requirements for management-defined performance measures, and the transition requirements.</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FR — IFRS 18</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17</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6 — JHB4 Investment Committee pack</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New development under Axion 2030. Construction started in FY2026 and is in progress. Not yet operational. To be brought into service </w:t>
            </w:r>
            <w:r>
              <w:rPr>
                <w:rFonts w:ascii="Arial" w:cs="Arial" w:eastAsia="Arial" w:hAnsi="Arial"/>
                <w:b/>
                <w:bCs/>
                <w:i w:val="false"/>
                <w:iCs w:val="false"/>
                <w:color w:val="000000"/>
                <w:sz w:val="17"/>
                <w:szCs w:val="17"/>
              </w:rPr>
              <w:t xml:space="preserve">in phases</w:t>
            </w:r>
            <w:r>
              <w:rPr>
                <w:rFonts w:ascii="Arial" w:cs="Arial" w:eastAsia="Arial" w:hAnsi="Arial"/>
                <w:b w:val="false"/>
                <w:bCs w:val="false"/>
                <w:i w:val="false"/>
                <w:iCs w:val="false"/>
                <w:color w:val="000000"/>
                <w:sz w:val="17"/>
                <w:szCs w:val="17"/>
              </w:rPr>
              <w:t xml:space="preserve"> as customer capacity is contracted. </w:t>
            </w:r>
            <w:r>
              <w:rPr>
                <w:rFonts w:ascii="Arial" w:cs="Arial" w:eastAsia="Arial" w:hAnsi="Arial"/>
                <w:b/>
                <w:bCs/>
                <w:i w:val="false"/>
                <w:iCs w:val="false"/>
                <w:color w:val="000000"/>
                <w:sz w:val="17"/>
                <w:szCs w:val="17"/>
              </w:rPr>
              <w:t xml:space="preserve">The timing of the grid connection remains critical.</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Funding: </w:t>
            </w:r>
            <w:r>
              <w:rPr>
                <w:rFonts w:ascii="Arial" w:cs="Arial" w:eastAsia="Arial" w:hAnsi="Arial"/>
                <w:b/>
                <w:bCs/>
                <w:i w:val="false"/>
                <w:iCs w:val="false"/>
                <w:color w:val="000000"/>
                <w:sz w:val="17"/>
                <w:szCs w:val="17"/>
              </w:rPr>
              <w:t xml:space="preserve">R1.2 billion dedicated project facility</w:t>
            </w:r>
            <w:r>
              <w:rPr>
                <w:rFonts w:ascii="Arial" w:cs="Arial" w:eastAsia="Arial" w:hAnsi="Arial"/>
                <w:b w:val="false"/>
                <w:bCs w:val="false"/>
                <w:i w:val="false"/>
                <w:iCs w:val="false"/>
                <w:color w:val="000000"/>
                <w:sz w:val="17"/>
                <w:szCs w:val="17"/>
              </w:rPr>
              <w:t xml:space="preserve"> from a syndicate of South African banks.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Drawdowns are the responsibility of the </w:t>
            </w:r>
            <w:r>
              <w:rPr>
                <w:rFonts w:ascii="Arial" w:cs="Arial" w:eastAsia="Arial" w:hAnsi="Arial"/>
                <w:b/>
                <w:bCs/>
                <w:i w:val="false"/>
                <w:iCs w:val="false"/>
                <w:color w:val="000000"/>
                <w:sz w:val="17"/>
                <w:szCs w:val="17"/>
              </w:rPr>
              <w:t xml:space="preserve">project delivery team</w:t>
            </w:r>
            <w:r>
              <w:rPr>
                <w:rFonts w:ascii="Arial" w:cs="Arial" w:eastAsia="Arial" w:hAnsi="Arial"/>
                <w:b w:val="false"/>
                <w:bCs w:val="false"/>
                <w:i w:val="false"/>
                <w:iCs w:val="false"/>
                <w:color w:val="000000"/>
                <w:sz w:val="17"/>
                <w:szCs w:val="17"/>
              </w:rPr>
              <w:t xml:space="preserve">, based on the construction programme and contractor payment schedule. </w:t>
            </w:r>
            <w:r>
              <w:rPr>
                <w:rFonts w:ascii="Arial" w:cs="Arial" w:eastAsia="Arial" w:hAnsi="Arial"/>
                <w:b/>
                <w:bCs/>
                <w:i w:val="false"/>
                <w:iCs w:val="false"/>
                <w:color w:val="000000"/>
                <w:sz w:val="17"/>
                <w:szCs w:val="17"/>
              </w:rPr>
              <w:t xml:space="preserve">Undeployed funds are placed on short-term deposit.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Deposit rates are currently below the interest on the project facility, so drawing funds ahead of requirement results in a net financing cost.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Group Treasury negotiates the facility and its terms; the delivery team decides the timing of drawdowns.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Delivery team scorecard: capacity delivered against programme (MW); capital cost per MW against budget; programme milestones achieved; </w:t>
            </w:r>
            <w:r>
              <w:rPr>
                <w:rFonts w:ascii="Arial" w:cs="Arial" w:eastAsia="Arial" w:hAnsi="Arial"/>
                <w:b/>
                <w:bCs/>
                <w:i w:val="false"/>
                <w:iCs w:val="false"/>
                <w:color w:val="000000"/>
                <w:sz w:val="17"/>
                <w:szCs w:val="17"/>
              </w:rPr>
              <w:t xml:space="preserve">net interest not capitalised</w:t>
            </w:r>
            <w:r>
              <w:rPr>
                <w:rFonts w:ascii="Arial" w:cs="Arial" w:eastAsia="Arial" w:hAnsi="Arial"/>
                <w:b w:val="false"/>
                <w:bCs w:val="false"/>
                <w:i w:val="false"/>
                <w:iCs w:val="false"/>
                <w:color w:val="000000"/>
                <w:sz w:val="17"/>
                <w:szCs w:val="17"/>
              </w:rPr>
              <w:t xml:space="preserve">; health and safety incidents.</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Net interest not capitalised = interest expense on drawdowns that is not capitalised, less interest income earned on drawn but undeployed funds. Reported monthly to the Investment and Executive Committees. </w:t>
            </w:r>
            <w:r>
              <w:rPr>
                <w:rFonts w:ascii="Arial" w:cs="Arial" w:eastAsia="Arial" w:hAnsi="Arial"/>
                <w:b/>
                <w:bCs/>
                <w:i w:val="false"/>
                <w:iCs w:val="false"/>
                <w:color w:val="000000"/>
                <w:sz w:val="17"/>
                <w:szCs w:val="17"/>
              </w:rPr>
              <w:t xml:space="preserve">Not included in Axion’s external communications.</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FR — IAS 23</w:t>
            </w:r>
          </w:p>
          <w:p>
            <w:pPr>
              <w:keepNext w:val="false"/>
              <w:spacing w:after="40" w:before="0" w:line="250" w:lineRule="auto"/>
            </w:pPr>
            <w:r>
              <w:rPr>
                <w:rFonts w:ascii="Arial" w:cs="Arial" w:eastAsia="Arial" w:hAnsi="Arial"/>
                <w:b w:val="false"/>
                <w:bCs w:val="false"/>
                <w:i w:val="false"/>
                <w:iCs w:val="false"/>
                <w:color w:val="000000"/>
                <w:sz w:val="17"/>
                <w:szCs w:val="17"/>
              </w:rPr>
              <w:t xml:space="preserve">FR — IFRS 18 (MPM)</w:t>
            </w:r>
          </w:p>
          <w:p>
            <w:pPr>
              <w:keepNext w:val="false"/>
              <w:spacing w:after="40" w:before="0" w:line="250" w:lineRule="auto"/>
            </w:pPr>
            <w:r>
              <w:rPr>
                <w:rFonts w:ascii="Arial" w:cs="Arial" w:eastAsia="Arial" w:hAnsi="Arial"/>
                <w:b w:val="false"/>
                <w:bCs w:val="false"/>
                <w:i w:val="false"/>
                <w:iCs w:val="false"/>
                <w:color w:val="000000"/>
                <w:sz w:val="17"/>
                <w:szCs w:val="17"/>
              </w:rPr>
              <w:t xml:space="preserve">MDMC — KPI design</w:t>
            </w:r>
          </w:p>
          <w:p>
            <w:pPr>
              <w:keepNext w:val="false"/>
              <w:spacing w:after="0" w:before="0" w:line="250" w:lineRule="auto"/>
            </w:pPr>
            <w:r>
              <w:rPr>
                <w:rFonts w:ascii="Arial" w:cs="Arial" w:eastAsia="Arial" w:hAnsi="Arial"/>
                <w:b w:val="false"/>
                <w:bCs w:val="false"/>
                <w:i w:val="false"/>
                <w:iCs w:val="false"/>
                <w:color w:val="000000"/>
                <w:sz w:val="17"/>
                <w:szCs w:val="17"/>
              </w:rPr>
              <w:t xml:space="preserve">Governance</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18</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7 — Teams message (CFO)</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Marked </w:t>
            </w:r>
            <w:r>
              <w:rPr>
                <w:rFonts w:ascii="Arial" w:cs="Arial" w:eastAsia="Arial" w:hAnsi="Arial"/>
                <w:b/>
                <w:bCs/>
                <w:i w:val="false"/>
                <w:iCs w:val="false"/>
                <w:color w:val="000000"/>
                <w:sz w:val="17"/>
                <w:szCs w:val="17"/>
              </w:rPr>
              <w:t xml:space="preserve">STRICTLY CONFIDENTIAL — FOR INVESTMENT COMMITTEE USE ONLY.</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Electricity is both one of the most significant operating inputs and one of the biggest constraints on the ability to expand.</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Attaches an operations briefing on power.</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Given the role renewable energy is likely to play, familiarise yourself with the related income tax considerations.</w:t>
            </w:r>
            <w:r>
              <w:rPr>
                <w:rFonts w:ascii="Arial" w:cs="Arial" w:eastAsia="Arial" w:hAnsi="Arial"/>
                <w:b w:val="false"/>
                <w:bCs w:val="false"/>
                <w:i w:val="false"/>
                <w:iCs w:val="false"/>
                <w:color w:val="000000"/>
                <w:sz w:val="17"/>
                <w:szCs w:val="17"/>
              </w:rPr>
              <w:t xml:space="preserve"> Provides a live link to the </w:t>
            </w:r>
            <w:r>
              <w:rPr>
                <w:rFonts w:ascii="Arial" w:cs="Arial" w:eastAsia="Arial" w:hAnsi="Arial"/>
                <w:b/>
                <w:bCs/>
                <w:i w:val="false"/>
                <w:iCs w:val="false"/>
                <w:color w:val="000000"/>
                <w:sz w:val="17"/>
                <w:szCs w:val="17"/>
              </w:rPr>
              <w:t xml:space="preserve">SARS Guide on the Allowances and Deductions Relating to Assets Used in the Generation of Electricity from Specified Sources of Renewable Energy.</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Tax — s12B, s12BA, s12U</w:t>
            </w:r>
          </w:p>
          <w:p>
            <w:pPr>
              <w:keepNext w:val="false"/>
              <w:spacing w:after="0" w:before="0" w:line="250" w:lineRule="auto"/>
            </w:pPr>
            <w:r>
              <w:rPr>
                <w:rFonts w:ascii="Arial" w:cs="Arial" w:eastAsia="Arial" w:hAnsi="Arial"/>
                <w:b w:val="false"/>
                <w:bCs w:val="false"/>
                <w:i w:val="false"/>
                <w:iCs w:val="false"/>
                <w:color w:val="000000"/>
                <w:sz w:val="17"/>
                <w:szCs w:val="17"/>
              </w:rPr>
              <w:t xml:space="preserve">Ethics — confidentiality</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19</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7 — Powering Axion</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Electricity powers customer equipment plus the cooling, security and facility infrastructure.</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How a facility is powered: normal supply from grid and municipal plus renewable arrangements. If normal supply fails, UPS and batteries give immediate temporary supply and backup generators give long-duration emergency supply.</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Where electricity comes from: grid and municipal (primary supply); renewable electricity (procured through </w:t>
            </w:r>
            <w:r>
              <w:rPr>
                <w:rFonts w:ascii="Arial" w:cs="Arial" w:eastAsia="Arial" w:hAnsi="Arial"/>
                <w:b/>
                <w:bCs/>
                <w:i w:val="false"/>
                <w:iCs w:val="false"/>
                <w:color w:val="000000"/>
                <w:sz w:val="17"/>
                <w:szCs w:val="17"/>
              </w:rPr>
              <w:t xml:space="preserve">PPAs</w:t>
            </w:r>
            <w:r>
              <w:rPr>
                <w:rFonts w:ascii="Arial" w:cs="Arial" w:eastAsia="Arial" w:hAnsi="Arial"/>
                <w:b w:val="false"/>
                <w:bCs w:val="false"/>
                <w:i w:val="false"/>
                <w:iCs w:val="false"/>
                <w:color w:val="000000"/>
                <w:sz w:val="17"/>
                <w:szCs w:val="17"/>
              </w:rPr>
              <w:t xml:space="preserve">); on-site solar generation (supplements supply). Diesel used in backup generators is excluded.</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Reliability requires redundancy, and that requires significant investment in electrical, cooling and backup infrastructure. 99.999% target uptime.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At Johannesburg 1, Axion is piloting an AI-enabled tool that uses operational data to identify and prioritise equipment requiring maintenance. Before considering wider implementation, the Audit &amp; Risk Committee has requested assurance over the processes and controls supporting the pilot.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Power and growth: 45 MW now, with a significant increase contemplated. New capacity needs electricity plus supporting transmission and distribution infrastructure.</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Four themes: availability (long lead times, depends on network capacity); cost (one of the most significant operating costs; tariff changes affect Axion and its customers); reliability; sustainability.</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Audit / IT governance</w:t>
            </w:r>
          </w:p>
          <w:p>
            <w:pPr>
              <w:keepNext w:val="false"/>
              <w:spacing w:after="40" w:before="0" w:line="250" w:lineRule="auto"/>
            </w:pPr>
            <w:r>
              <w:rPr>
                <w:rFonts w:ascii="Arial" w:cs="Arial" w:eastAsia="Arial" w:hAnsi="Arial"/>
                <w:b w:val="false"/>
                <w:bCs w:val="false"/>
                <w:i w:val="false"/>
                <w:iCs w:val="false"/>
                <w:color w:val="000000"/>
                <w:sz w:val="17"/>
                <w:szCs w:val="17"/>
              </w:rPr>
              <w:t xml:space="preserve">Risk</w:t>
            </w:r>
          </w:p>
          <w:p>
            <w:pPr>
              <w:keepNext w:val="false"/>
              <w:spacing w:after="40" w:before="0" w:line="250" w:lineRule="auto"/>
            </w:pPr>
            <w:r>
              <w:rPr>
                <w:rFonts w:ascii="Arial" w:cs="Arial" w:eastAsia="Arial" w:hAnsi="Arial"/>
                <w:b w:val="false"/>
                <w:bCs w:val="false"/>
                <w:i w:val="false"/>
                <w:iCs w:val="false"/>
                <w:color w:val="000000"/>
                <w:sz w:val="17"/>
                <w:szCs w:val="17"/>
              </w:rPr>
              <w:t xml:space="preserve">ESG</w:t>
            </w:r>
          </w:p>
          <w:p>
            <w:pPr>
              <w:keepNext w:val="false"/>
              <w:spacing w:after="0" w:before="0" w:line="250" w:lineRule="auto"/>
            </w:pPr>
            <w:r>
              <w:rPr>
                <w:rFonts w:ascii="Arial" w:cs="Arial" w:eastAsia="Arial" w:hAnsi="Arial"/>
                <w:b w:val="false"/>
                <w:bCs w:val="false"/>
                <w:i w:val="false"/>
                <w:iCs w:val="false"/>
                <w:color w:val="000000"/>
                <w:sz w:val="17"/>
                <w:szCs w:val="17"/>
              </w:rPr>
              <w:t xml:space="preserve">Strategy</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20</w:t>
            </w:r>
          </w:p>
        </w:tc>
        <w:tc>
          <w:tcPr>
            <w:tcW w:type="dxa" w:w="1957"/>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7 — Renewable electricity for future growth</w:t>
            </w:r>
          </w:p>
        </w:tc>
        <w:tc>
          <w:tcPr>
            <w:tcW w:type="dxa" w:w="5768"/>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Additional PPAs:</w:t>
            </w:r>
            <w:r>
              <w:rPr>
                <w:rFonts w:ascii="Arial" w:cs="Arial" w:eastAsia="Arial" w:hAnsi="Arial"/>
                <w:b w:val="false"/>
                <w:bCs w:val="false"/>
                <w:i w:val="false"/>
                <w:iCs w:val="false"/>
                <w:color w:val="000000"/>
                <w:sz w:val="17"/>
                <w:szCs w:val="17"/>
              </w:rPr>
              <w:t xml:space="preserve"> purchase renewable electricity from an independent producer; may require limited upfront capital; price, volume and supply terms agreed contractually; flexibility depends on the terms.</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Direct investment in generation capacity:</w:t>
            </w:r>
            <w:r>
              <w:rPr>
                <w:rFonts w:ascii="Arial" w:cs="Arial" w:eastAsia="Arial" w:hAnsi="Arial"/>
                <w:b w:val="false"/>
                <w:bCs w:val="false"/>
                <w:i w:val="false"/>
                <w:iCs w:val="false"/>
                <w:color w:val="000000"/>
                <w:sz w:val="17"/>
                <w:szCs w:val="17"/>
              </w:rPr>
              <w:t xml:space="preserve"> possibly with an experienced technical partner; requires upfront capital and an appropriate funding structure; Axion participates in the risks and returns; greater involvement in construction, operations and governance.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Off-site generation and wheeling:</w:t>
            </w:r>
            <w:r>
              <w:rPr>
                <w:rFonts w:ascii="Arial" w:cs="Arial" w:eastAsia="Arial" w:hAnsi="Arial"/>
                <w:b w:val="false"/>
                <w:bCs w:val="false"/>
                <w:i w:val="false"/>
                <w:iCs w:val="false"/>
                <w:color w:val="000000"/>
                <w:sz w:val="17"/>
                <w:szCs w:val="17"/>
              </w:rPr>
              <w:t xml:space="preserve"> land and network constraints may limit generation at a data centre site, so electricity may be generated elsewhere and wheeled through the network to an agreed metering point. Consider network and wheeling charges, transmission losses, curtailment, and electricity generated but not used.</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Long-term offtake agreements</w:t>
            </w:r>
            <w:r>
              <w:rPr>
                <w:rFonts w:ascii="Arial" w:cs="Arial" w:eastAsia="Arial" w:hAnsi="Arial"/>
                <w:b w:val="false"/>
                <w:bCs w:val="false"/>
                <w:i w:val="false"/>
                <w:iCs w:val="false"/>
                <w:color w:val="000000"/>
                <w:sz w:val="17"/>
                <w:szCs w:val="17"/>
              </w:rPr>
              <w:t xml:space="preserve"> — each benefit has a matching risk: revenue certainty for the project but heavy dependence on one customer; visibility over future electricity costs but pricing and escalation terms lasting many years; contracted revenues support project debt but funders assess the customer’s ability to pay; electricity secured for future capacity but purchase commitments may begin before a new facility is fully utilised.</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Renewable generation does not replace resilience infrastructure</w:t>
            </w:r>
            <w:r>
              <w:rPr>
                <w:rFonts w:ascii="Arial" w:cs="Arial" w:eastAsia="Arial" w:hAnsi="Arial"/>
                <w:b w:val="false"/>
                <w:bCs w:val="false"/>
                <w:i w:val="false"/>
                <w:iCs w:val="false"/>
                <w:color w:val="000000"/>
                <w:sz w:val="17"/>
                <w:szCs w:val="17"/>
              </w:rPr>
              <w:t xml:space="preserve"> — grid connections, UPS and battery infrastructure and backup generation are still required.</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FM — appraisal and funding</w:t>
            </w:r>
          </w:p>
          <w:p>
            <w:pPr>
              <w:keepNext w:val="false"/>
              <w:spacing w:after="40" w:before="0" w:line="250" w:lineRule="auto"/>
            </w:pPr>
            <w:r>
              <w:rPr>
                <w:rFonts w:ascii="Arial" w:cs="Arial" w:eastAsia="Arial" w:hAnsi="Arial"/>
                <w:b w:val="false"/>
                <w:bCs w:val="false"/>
                <w:i w:val="false"/>
                <w:iCs w:val="false"/>
                <w:color w:val="000000"/>
                <w:sz w:val="17"/>
                <w:szCs w:val="17"/>
              </w:rPr>
              <w:t xml:space="preserve">FR — IFRS 16, IFRS 9, IFRS 11</w:t>
            </w:r>
          </w:p>
          <w:p>
            <w:pPr>
              <w:keepNext w:val="false"/>
              <w:spacing w:after="40" w:before="0" w:line="250" w:lineRule="auto"/>
            </w:pPr>
            <w:r>
              <w:rPr>
                <w:rFonts w:ascii="Arial" w:cs="Arial" w:eastAsia="Arial" w:hAnsi="Arial"/>
                <w:b w:val="false"/>
                <w:bCs w:val="false"/>
                <w:i w:val="false"/>
                <w:iCs w:val="false"/>
                <w:color w:val="000000"/>
                <w:sz w:val="17"/>
                <w:szCs w:val="17"/>
              </w:rPr>
              <w:t xml:space="preserve">Tax</w:t>
            </w:r>
          </w:p>
          <w:p>
            <w:pPr>
              <w:keepNext w:val="false"/>
              <w:spacing w:after="0" w:before="0" w:line="250" w:lineRule="auto"/>
            </w:pPr>
            <w:r>
              <w:rPr>
                <w:rFonts w:ascii="Arial" w:cs="Arial" w:eastAsia="Arial" w:hAnsi="Arial"/>
                <w:b w:val="false"/>
                <w:bCs w:val="false"/>
                <w:i w:val="false"/>
                <w:iCs w:val="false"/>
                <w:color w:val="000000"/>
                <w:sz w:val="17"/>
                <w:szCs w:val="17"/>
              </w:rPr>
              <w:t xml:space="preserve">Strategy / ESG</w:t>
            </w:r>
          </w:p>
        </w:tc>
      </w:tr>
    </w:tbl>
    <w:p>
      <w:pPr>
        <w:keepNext w:val="false"/>
        <w:spacing w:after="0" w:before="0" w:line="250" w:lineRule="auto"/>
      </w:pPr>
      <w:r>
        <w:rPr>
          <w:rFonts w:ascii="Arial" w:cs="Arial" w:eastAsia="Arial" w:hAnsi="Arial"/>
          <w:sz w:val="12"/>
          <w:szCs w:val="12"/>
        </w:rPr>
        <w:t xml:space="preserve"/>
      </w:r>
    </w:p>
    <w:p>
      <w:pPr>
        <w:keepNext/>
        <w:pageBreakBefore/>
        <w:pBdr>
          <w:bottom w:val="single" w:color="000000" w:sz="8" w:space="2"/>
        </w:pBdr>
        <w:spacing w:after="100" w:before="0" w:line="250" w:lineRule="auto"/>
      </w:pPr>
      <w:r>
        <w:rPr>
          <w:rFonts w:ascii="Arial" w:cs="Arial" w:eastAsia="Arial" w:hAnsi="Arial"/>
          <w:b/>
          <w:bCs/>
          <w:i w:val="false"/>
          <w:iCs w:val="false"/>
          <w:color w:val="000000"/>
          <w:sz w:val="24"/>
          <w:szCs w:val="24"/>
        </w:rPr>
        <w:t xml:space="preserve">Part 2 — What each document says, and what it means for us</w:t>
      </w:r>
    </w:p>
    <w:p>
      <w:pPr>
        <w:keepNext/>
        <w:spacing w:after="70" w:before="180" w:line="250" w:lineRule="auto"/>
      </w:pPr>
      <w:r>
        <w:rPr>
          <w:rFonts w:ascii="Arial" w:cs="Arial" w:eastAsia="Arial" w:hAnsi="Arial"/>
          <w:b/>
          <w:bCs/>
          <w:i w:val="false"/>
          <w:iCs w:val="false"/>
          <w:color w:val="000000"/>
          <w:sz w:val="20"/>
          <w:szCs w:val="20"/>
        </w:rPr>
        <w:t xml:space="preserve">Document 1 — Welcome email from the CFO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150"/>
        <w:gridCol w:w="5150"/>
      </w:tblGrid>
      <w:tr>
        <w:trPr>
          <w:tblHeader/>
        </w:trPr>
        <w:tc>
          <w:tcPr>
            <w:tcW w:type="dxa" w:w="515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Important points</w:t>
            </w:r>
          </w:p>
        </w:tc>
        <w:tc>
          <w:tcPr>
            <w:tcW w:type="dxa" w:w="515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Insight — why it matters</w:t>
            </w:r>
          </w:p>
        </w:tc>
      </w:tr>
      <w:tr>
        <w:tc>
          <w:tcPr>
            <w:tcW w:type="dxa" w:w="515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Axion is a South African digital infrastructure business, 15 years old, grown from a single data centre in Johannesburg.</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Customers include SA banks, retailers and telcos, and some of the world’s largest cloud and technology businesses.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Cloud adoption, AI and African digital investment are creating significant opportunities.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Taking those opportunities needs substantial investment, reliable power and sound commercial judgement.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CFO expects the industry to be unfamiliar and provides an introduction document.</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She lists six specific areas to familiarise ourselves with.</w:t>
            </w:r>
          </w:p>
        </w:tc>
        <w:tc>
          <w:tcPr>
            <w:tcW w:type="dxa" w:w="515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six named areas are the clearest signpost in the whole pack. They almost certainly map onto the tasks. Research all six properly.</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But they are not the whole list. Two rich triggers are </w:t>
            </w:r>
            <w:r>
              <w:rPr>
                <w:rFonts w:ascii="Arial" w:cs="Arial" w:eastAsia="Arial" w:hAnsi="Arial"/>
                <w:b/>
                <w:bCs/>
                <w:i w:val="false"/>
                <w:iCs w:val="false"/>
                <w:color w:val="000000"/>
                <w:sz w:val="17"/>
                <w:szCs w:val="17"/>
              </w:rPr>
              <w:t xml:space="preserve">not</w:t>
            </w:r>
            <w:r>
              <w:rPr>
                <w:rFonts w:ascii="Arial" w:cs="Arial" w:eastAsia="Arial" w:hAnsi="Arial"/>
                <w:b w:val="false"/>
                <w:bCs w:val="false"/>
                <w:i w:val="false"/>
                <w:iCs w:val="false"/>
                <w:color w:val="000000"/>
                <w:sz w:val="17"/>
                <w:szCs w:val="17"/>
              </w:rPr>
              <w:t xml:space="preserve"> named — the JHB4 borrowing costs and the Metroloop joint venture. Anything in the pack is a trigger whether or not she names it.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“Substantial investment, reliable power and sound commercial judgement” is the case in one sentence: money, electricity, decisions.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Global cloud and technology customers means customer concentration risk and strong buyer bargaining power.</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Everything comes from Sarah Naidoo, a CA(SA). We can write to her using technical language without explaining the basics.</w:t>
            </w:r>
          </w:p>
        </w:tc>
      </w:tr>
    </w:tbl>
    <w:p>
      <w:pPr>
        <w:keepNext w:val="false"/>
        <w:spacing w:after="0" w:before="0" w:line="250" w:lineRule="auto"/>
      </w:pPr>
      <w:r>
        <w:rPr>
          <w:rFonts w:ascii="Arial" w:cs="Arial" w:eastAsia="Arial" w:hAnsi="Arial"/>
          <w:sz w:val="12"/>
          <w:szCs w:val="12"/>
        </w:rPr>
        <w:t xml:space="preserve"/>
      </w:r>
    </w:p>
    <w:p>
      <w:pPr>
        <w:keepNext/>
        <w:spacing w:after="70" w:before="180" w:line="250" w:lineRule="auto"/>
      </w:pPr>
      <w:r>
        <w:rPr>
          <w:rFonts w:ascii="Arial" w:cs="Arial" w:eastAsia="Arial" w:hAnsi="Arial"/>
          <w:b/>
          <w:bCs/>
          <w:i w:val="false"/>
          <w:iCs w:val="false"/>
          <w:color w:val="000000"/>
          <w:sz w:val="20"/>
          <w:szCs w:val="20"/>
        </w:rPr>
        <w:t xml:space="preserve">Document 2 — Axion: Getting Connected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150"/>
        <w:gridCol w:w="5150"/>
      </w:tblGrid>
      <w:tr>
        <w:trPr>
          <w:tblHeader/>
        </w:trPr>
        <w:tc>
          <w:tcPr>
            <w:tcW w:type="dxa" w:w="515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Important points</w:t>
            </w:r>
          </w:p>
        </w:tc>
        <w:tc>
          <w:tcPr>
            <w:tcW w:type="dxa" w:w="515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Insight — why it matters</w:t>
            </w:r>
          </w:p>
        </w:tc>
      </w:tr>
      <w:tr>
        <w:tc>
          <w:tcPr>
            <w:tcW w:type="dxa" w:w="515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5 facilities, 45 MW installed capacity, 350+ customers, 300 employees, 99.999% target availability.</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Data centre services are approximately 85% of FY2026 revenue; interconnection approximately 15%.</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Axion provides secure space — “dedicated racks, cages or areas” — plus continuous power, cooling, physical security, resilience and on-site support.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Interconnection creates an ecosystem: more participants makes the platform more valuable to everyone in it.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It is a physical business needing land, specialised buildings, electrical infrastructure, backup generation, cooling, network and security systems.</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Revenue is shown as R2.4bn.</w:t>
            </w:r>
          </w:p>
        </w:tc>
        <w:tc>
          <w:tcPr>
            <w:tcW w:type="dxa" w:w="515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“Dedicated racks, cages or areas” is the single most important phrase for financial reporting.</w:t>
            </w:r>
            <w:r>
              <w:rPr>
                <w:rFonts w:ascii="Arial" w:cs="Arial" w:eastAsia="Arial" w:hAnsi="Arial"/>
                <w:b w:val="false"/>
                <w:bCs w:val="false"/>
                <w:i w:val="false"/>
                <w:iCs w:val="false"/>
                <w:color w:val="000000"/>
                <w:sz w:val="17"/>
                <w:szCs w:val="17"/>
              </w:rPr>
              <w:t xml:space="preserve"> A dedicated, identified physical space may mean the contract contains a </w:t>
            </w:r>
            <w:r>
              <w:rPr>
                <w:rFonts w:ascii="Arial" w:cs="Arial" w:eastAsia="Arial" w:hAnsi="Arial"/>
                <w:b/>
                <w:bCs/>
                <w:i w:val="false"/>
                <w:iCs w:val="false"/>
                <w:color w:val="000000"/>
                <w:sz w:val="17"/>
                <w:szCs w:val="17"/>
              </w:rPr>
              <w:t xml:space="preserve">lease</w:t>
            </w:r>
            <w:r>
              <w:rPr>
                <w:rFonts w:ascii="Arial" w:cs="Arial" w:eastAsia="Arial" w:hAnsi="Arial"/>
                <w:b w:val="false"/>
                <w:bCs w:val="false"/>
                <w:i w:val="false"/>
                <w:iCs w:val="false"/>
                <w:color w:val="000000"/>
                <w:sz w:val="17"/>
                <w:szCs w:val="17"/>
              </w:rPr>
              <w:t xml:space="preserve"> under IFRS 16, with Axion as lessor — not revenue under IFRS 15. We must be able to argue this both ways.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85/15 split tells us where to spend our accounting effort.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ecosystem effect is the competitive moat. It raises switching costs and supports pricing. Useful in any strategy answer.</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99.999% availability is roughly five minutes of downtime a year. That drives the redundancy spending, the service level penalty risk, and why the AI maintenance tool has to work properly.</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R2.4bn here does not agree to R2 620m in Document 5.</w:t>
            </w:r>
            <w:r>
              <w:rPr>
                <w:rFonts w:ascii="Arial" w:cs="Arial" w:eastAsia="Arial" w:hAnsi="Arial"/>
                <w:b w:val="false"/>
                <w:bCs w:val="false"/>
                <w:i w:val="false"/>
                <w:iCs w:val="false"/>
                <w:color w:val="000000"/>
                <w:sz w:val="17"/>
                <w:szCs w:val="17"/>
              </w:rPr>
              <w:t xml:space="preserve"> Reconcile it; do not assume it is rounding.</w:t>
            </w:r>
          </w:p>
        </w:tc>
      </w:tr>
    </w:tbl>
    <w:p>
      <w:pPr>
        <w:keepNext w:val="false"/>
        <w:spacing w:after="0" w:before="0" w:line="250" w:lineRule="auto"/>
      </w:pPr>
      <w:r>
        <w:rPr>
          <w:rFonts w:ascii="Arial" w:cs="Arial" w:eastAsia="Arial" w:hAnsi="Arial"/>
          <w:sz w:val="12"/>
          <w:szCs w:val="12"/>
        </w:rPr>
        <w:t xml:space="preserve"/>
      </w:r>
    </w:p>
    <w:p>
      <w:pPr>
        <w:keepNext/>
        <w:spacing w:after="70" w:before="180" w:line="250" w:lineRule="auto"/>
      </w:pPr>
      <w:r>
        <w:rPr>
          <w:rFonts w:ascii="Arial" w:cs="Arial" w:eastAsia="Arial" w:hAnsi="Arial"/>
          <w:b/>
          <w:bCs/>
          <w:i w:val="false"/>
          <w:iCs w:val="false"/>
          <w:color w:val="000000"/>
          <w:sz w:val="20"/>
          <w:szCs w:val="20"/>
        </w:rPr>
        <w:t xml:space="preserve">Document 3 — Board Strategy Day: Axion 2030</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150"/>
        <w:gridCol w:w="5150"/>
      </w:tblGrid>
      <w:tr>
        <w:trPr>
          <w:tblHeader/>
        </w:trPr>
        <w:tc>
          <w:tcPr>
            <w:tcW w:type="dxa" w:w="515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Important points</w:t>
            </w:r>
          </w:p>
        </w:tc>
        <w:tc>
          <w:tcPr>
            <w:tcW w:type="dxa" w:w="515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Insight — why it matters</w:t>
            </w:r>
          </w:p>
        </w:tc>
      </w:tr>
      <w:tr>
        <w:tc>
          <w:tcPr>
            <w:tcW w:type="dxa" w:w="515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Demand drivers: cloud, AI and Africa’s digital economy.</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Four priorities: GROW, CONNECT, POWER, MATURE.</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R3–5bn of capital under consideration over five years.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Funding should reflect the project, not the group. Project-level funding does not necessarily transfer risk away from Axion.</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Three-stage investment process, starting with incremental </w:t>
            </w:r>
            <w:r>
              <w:rPr>
                <w:rFonts w:ascii="Arial" w:cs="Arial" w:eastAsia="Arial" w:hAnsi="Arial"/>
                <w:b/>
                <w:bCs/>
                <w:i w:val="false"/>
                <w:iCs w:val="false"/>
                <w:color w:val="000000"/>
                <w:sz w:val="17"/>
                <w:szCs w:val="17"/>
              </w:rPr>
              <w:t xml:space="preserve">pre-tax</w:t>
            </w:r>
            <w:r>
              <w:rPr>
                <w:rFonts w:ascii="Arial" w:cs="Arial" w:eastAsia="Arial" w:hAnsi="Arial"/>
                <w:b w:val="false"/>
                <w:bCs w:val="false"/>
                <w:i w:val="false"/>
                <w:iCs w:val="false"/>
                <w:color w:val="000000"/>
                <w:sz w:val="17"/>
                <w:szCs w:val="17"/>
              </w:rPr>
              <w:t xml:space="preserve"> cash flows, a project-specific cost of capital and a </w:t>
            </w:r>
            <w:r>
              <w:rPr>
                <w:rFonts w:ascii="Arial" w:cs="Arial" w:eastAsia="Arial" w:hAnsi="Arial"/>
                <w:b/>
                <w:bCs/>
                <w:i w:val="false"/>
                <w:iCs w:val="false"/>
                <w:color w:val="000000"/>
                <w:sz w:val="17"/>
                <w:szCs w:val="17"/>
              </w:rPr>
              <w:t xml:space="preserve">pre-tax</w:t>
            </w:r>
            <w:r>
              <w:rPr>
                <w:rFonts w:ascii="Arial" w:cs="Arial" w:eastAsia="Arial" w:hAnsi="Arial"/>
                <w:b w:val="false"/>
                <w:bCs w:val="false"/>
                <w:i w:val="false"/>
                <w:iCs w:val="false"/>
                <w:color w:val="000000"/>
                <w:sz w:val="17"/>
                <w:szCs w:val="17"/>
              </w:rPr>
              <w:t xml:space="preserve"> NPV.</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beta method is set out step by step: comparable equity beta, remove gearing, apply the project’s capital structure.</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Six constraints and four tensions. “How do we capture the opportunity without getting ahead of ourselves?”</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Digital tools support analysis, not judgement; outputs are reviewed and independently validated.</w:t>
            </w:r>
          </w:p>
        </w:tc>
        <w:tc>
          <w:tcPr>
            <w:tcW w:type="dxa" w:w="515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exam has handed us the method it expects us to apply. Know the ungearing and regearing formulas cold and be able to run the whole chain through to a project WACC.</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Pre-tax cash flows need a pre-tax discount rate.</w:t>
            </w:r>
            <w:r>
              <w:rPr>
                <w:rFonts w:ascii="Arial" w:cs="Arial" w:eastAsia="Arial" w:hAnsi="Arial"/>
                <w:b w:val="false"/>
                <w:bCs w:val="false"/>
                <w:i w:val="false"/>
                <w:iCs w:val="false"/>
                <w:color w:val="000000"/>
                <w:sz w:val="17"/>
                <w:szCs w:val="17"/>
              </w:rPr>
              <w:t xml:space="preserve"> Mixing the two is a classic APC trap. Expect a calculation on the day that either gets this wrong or that we must get right.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MATURE being a stated priority, and organisational capacity being a stated constraint, means governance and systems weaknesses are fair game as a task.</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four tensions are ready-made structure for any open-ended strategy question. Use them.</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sentence about digital tools is the standard Axion has set for itself. Any weakness in the AI pilot can be measured directly against it.</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The pipeline is said to exceed the capital invested in Axion’s first 15 years — but PPE is already R10.25bn. Worth probing what “capital invested” means.</w:t>
            </w:r>
          </w:p>
        </w:tc>
      </w:tr>
    </w:tbl>
    <w:p>
      <w:pPr>
        <w:keepNext w:val="false"/>
        <w:spacing w:after="0" w:before="0" w:line="250" w:lineRule="auto"/>
      </w:pPr>
      <w:r>
        <w:rPr>
          <w:rFonts w:ascii="Arial" w:cs="Arial" w:eastAsia="Arial" w:hAnsi="Arial"/>
          <w:sz w:val="12"/>
          <w:szCs w:val="12"/>
        </w:rPr>
        <w:t xml:space="preserve"/>
      </w:r>
    </w:p>
    <w:p>
      <w:pPr>
        <w:keepNext/>
        <w:spacing w:after="70" w:before="180" w:line="250" w:lineRule="auto"/>
      </w:pPr>
      <w:r>
        <w:rPr>
          <w:rFonts w:ascii="Arial" w:cs="Arial" w:eastAsia="Arial" w:hAnsi="Arial"/>
          <w:b/>
          <w:bCs/>
          <w:i w:val="false"/>
          <w:iCs w:val="false"/>
          <w:color w:val="000000"/>
          <w:sz w:val="20"/>
          <w:szCs w:val="20"/>
        </w:rPr>
        <w:t xml:space="preserve">Document 4 — Draft information memorandum: ownership and governance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150"/>
        <w:gridCol w:w="5150"/>
      </w:tblGrid>
      <w:tr>
        <w:trPr>
          <w:tblHeader/>
        </w:trPr>
        <w:tc>
          <w:tcPr>
            <w:tcW w:type="dxa" w:w="515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Important points</w:t>
            </w:r>
          </w:p>
        </w:tc>
        <w:tc>
          <w:tcPr>
            <w:tcW w:type="dxa" w:w="515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Insight — why it matters</w:t>
            </w:r>
          </w:p>
        </w:tc>
      </w:tr>
      <w:tr>
        <w:tc>
          <w:tcPr>
            <w:tcW w:type="dxa" w:w="515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Ubuntu 35%, Horizon 30%, Moleke 18%, Employee &amp; Empowerment Trust 10%, Low 7%. Still private.</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Institutional investors have director nomination rights under the shareholders’ agreement.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Seven directors. Two stated as independent. Two appointed by the institutional shareholders. Two founders, one of whom is executive.</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Four committees. Dr September chairs two of them as well as the board. Michael van de Wyk of Ubuntu chairs the Investment Committee. Thandi Mthanda, a former audit partner, chairs Audit &amp; Risk.</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Not listed, but governance practices are informed by King V.</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Prepared as part of the strategic funding review.</w:t>
            </w:r>
          </w:p>
        </w:tc>
        <w:tc>
          <w:tcPr>
            <w:tcW w:type="dxa" w:w="515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Michael van de Wyk chairs the Investment Committee while being investment director of the 35% shareholder.</w:t>
            </w:r>
            <w:r>
              <w:rPr>
                <w:rFonts w:ascii="Arial" w:cs="Arial" w:eastAsia="Arial" w:hAnsi="Arial"/>
                <w:b w:val="false"/>
                <w:bCs w:val="false"/>
                <w:i w:val="false"/>
                <w:iCs w:val="false"/>
                <w:color w:val="000000"/>
                <w:sz w:val="17"/>
                <w:szCs w:val="17"/>
              </w:rPr>
              <w:t xml:space="preserve"> If Ubuntu could co-invest or otherwise benefit, that is a conflict of interest under Companies Act section 75 and King V. This is the most likely place an ethics or governance task will land.</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Dr September chairing the board, Social &amp; Ethics and Remuneration raises capacity and independence questions — and under King V the board chair chairing remuneration is worth challenging.</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Thandi Mthanda is a former audit partner. Of which firm? KZL Inc is our auditor. Check the cooling-off period.</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Ownership matters for the funding decision. A new investor dilutes everyone, including the 10% Employee &amp; Empowerment Trust, which reduces the B-BBEE ownership score — and that matters to customers who are SA banks and telcos.</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An information memorandum is used to raise money. Anything in it must be capable of substantiation, and any performance measure in it may become a management-defined performance measure under IFRS 18.</w:t>
            </w:r>
          </w:p>
        </w:tc>
      </w:tr>
    </w:tbl>
    <w:p>
      <w:pPr>
        <w:keepNext w:val="false"/>
        <w:spacing w:after="0" w:before="0" w:line="250" w:lineRule="auto"/>
      </w:pPr>
      <w:r>
        <w:rPr>
          <w:rFonts w:ascii="Arial" w:cs="Arial" w:eastAsia="Arial" w:hAnsi="Arial"/>
          <w:sz w:val="12"/>
          <w:szCs w:val="12"/>
        </w:rPr>
        <w:t xml:space="preserve"/>
      </w:r>
    </w:p>
    <w:p>
      <w:pPr>
        <w:keepNext/>
        <w:spacing w:after="70" w:before="180" w:line="250" w:lineRule="auto"/>
      </w:pPr>
      <w:r>
        <w:rPr>
          <w:rFonts w:ascii="Arial" w:cs="Arial" w:eastAsia="Arial" w:hAnsi="Arial"/>
          <w:b/>
          <w:bCs/>
          <w:i w:val="false"/>
          <w:iCs w:val="false"/>
          <w:color w:val="000000"/>
          <w:sz w:val="20"/>
          <w:szCs w:val="20"/>
        </w:rPr>
        <w:t xml:space="preserve">Document 5 — FY2026 business performance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150"/>
        <w:gridCol w:w="5150"/>
      </w:tblGrid>
      <w:tr>
        <w:trPr>
          <w:tblHeader/>
        </w:trPr>
        <w:tc>
          <w:tcPr>
            <w:tcW w:type="dxa" w:w="515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Important points</w:t>
            </w:r>
          </w:p>
        </w:tc>
        <w:tc>
          <w:tcPr>
            <w:tcW w:type="dxa" w:w="515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Insight — why it matters</w:t>
            </w:r>
          </w:p>
        </w:tc>
      </w:tr>
      <w:tr>
        <w:tc>
          <w:tcPr>
            <w:tcW w:type="dxa" w:w="515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Four revenue streams, each charged differently. Contracts typically 3 to 5 years, invoiced monthly.</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Axion does not provide financing to its customers.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Customers may contract capacity before using it. Installed 45 MW, contracted 40 MW, utilised 35 MW.</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Contracted capacity is management’s key indicator of future revenue and underpins the ability to secure financing.</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Decisions on new customer commitments significantly influence the future revenue profile and customer mix of a facility.</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Three years of income statement, balance sheet and operating metrics.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Metroloop: 40% joint venture, metro fibre in Gauteng, equity accounted.</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Undeveloped site: bought for future expansion, plans have evolved, still undeveloped, accounting implications being considered.</w:t>
            </w:r>
          </w:p>
        </w:tc>
        <w:tc>
          <w:tcPr>
            <w:tcW w:type="dxa" w:w="515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Only 5 MW of installed capacity is left to sell.</w:t>
            </w:r>
            <w:r>
              <w:rPr>
                <w:rFonts w:ascii="Arial" w:cs="Arial" w:eastAsia="Arial" w:hAnsi="Arial"/>
                <w:b w:val="false"/>
                <w:bCs w:val="false"/>
                <w:i w:val="false"/>
                <w:iCs w:val="false"/>
                <w:color w:val="000000"/>
                <w:sz w:val="17"/>
                <w:szCs w:val="17"/>
              </w:rPr>
              <w:t xml:space="preserve"> The sentence about new customer commitments points directly at a capacity allocation decision — which customer gets the last capacity. Prepare a contribution-per-MW model.</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5 MW gap between contracted and utilised is revenue being earned on capacity nobody is using yet. That is a stand-ready obligation question.</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“Does not provide financing to its customers” is a scoping sentence. It closes off the significant financing component under IFRS 15 and the “financing to customers” main business activity test under IFRS 18.</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“Plans have evolved over time” and “considering how best to use it” is very close to the IAS 40 wording for </w:t>
            </w:r>
            <w:r>
              <w:rPr>
                <w:rFonts w:ascii="Arial" w:cs="Arial" w:eastAsia="Arial" w:hAnsi="Arial"/>
                <w:b/>
                <w:bCs/>
                <w:i w:val="false"/>
                <w:iCs w:val="false"/>
                <w:color w:val="000000"/>
                <w:sz w:val="17"/>
                <w:szCs w:val="17"/>
              </w:rPr>
              <w:t xml:space="preserve">land held for a currently undetermined future use</w:t>
            </w:r>
            <w:r>
              <w:rPr>
                <w:rFonts w:ascii="Arial" w:cs="Arial" w:eastAsia="Arial" w:hAnsi="Arial"/>
                <w:b w:val="false"/>
                <w:bCs w:val="false"/>
                <w:i w:val="false"/>
                <w:iCs w:val="false"/>
                <w:color w:val="000000"/>
                <w:sz w:val="17"/>
                <w:szCs w:val="17"/>
              </w:rPr>
              <w:t xml:space="preserve">, which is investment property. Expect the plan to change again on the day.</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Metroloop gets one line — which in an APC pre-release means it is there for a reason.</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The numbers stop at profit before tax. No tax charge, no cash flow statement, no debt maturity profile. Note what we would ask for.</w:t>
            </w:r>
          </w:p>
        </w:tc>
      </w:tr>
    </w:tbl>
    <w:p>
      <w:pPr>
        <w:keepNext w:val="false"/>
        <w:spacing w:after="0" w:before="0" w:line="250" w:lineRule="auto"/>
      </w:pPr>
      <w:r>
        <w:rPr>
          <w:rFonts w:ascii="Arial" w:cs="Arial" w:eastAsia="Arial" w:hAnsi="Arial"/>
          <w:sz w:val="12"/>
          <w:szCs w:val="12"/>
        </w:rPr>
        <w:t xml:space="preserve"/>
      </w:r>
    </w:p>
    <w:p>
      <w:pPr>
        <w:keepNext/>
        <w:spacing w:after="70" w:before="180" w:line="250" w:lineRule="auto"/>
      </w:pPr>
      <w:r>
        <w:rPr>
          <w:rFonts w:ascii="Arial" w:cs="Arial" w:eastAsia="Arial" w:hAnsi="Arial"/>
          <w:b/>
          <w:bCs/>
          <w:i w:val="false"/>
          <w:iCs w:val="false"/>
          <w:color w:val="000000"/>
          <w:sz w:val="20"/>
          <w:szCs w:val="20"/>
        </w:rPr>
        <w:t xml:space="preserve">Financial analysis we should have done before the exam</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502"/>
        <w:gridCol w:w="1545"/>
        <w:gridCol w:w="1545"/>
        <w:gridCol w:w="1545"/>
        <w:gridCol w:w="2163"/>
      </w:tblGrid>
      <w:tr>
        <w:trPr>
          <w:tblHeader/>
        </w:trPr>
        <w:tc>
          <w:tcPr>
            <w:tcW w:type="dxa" w:w="350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Measure</w:t>
            </w:r>
          </w:p>
        </w:tc>
        <w:tc>
          <w:tcPr>
            <w:tcW w:type="dxa" w:w="1545"/>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FY2024</w:t>
            </w:r>
          </w:p>
        </w:tc>
        <w:tc>
          <w:tcPr>
            <w:tcW w:type="dxa" w:w="1545"/>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FY2025</w:t>
            </w:r>
          </w:p>
        </w:tc>
        <w:tc>
          <w:tcPr>
            <w:tcW w:type="dxa" w:w="1545"/>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FY2026</w:t>
            </w:r>
          </w:p>
        </w:tc>
        <w:tc>
          <w:tcPr>
            <w:tcW w:type="dxa" w:w="2163"/>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Direction</w:t>
            </w:r>
          </w:p>
        </w:tc>
      </w:tr>
      <w:tr>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Revenue (Rm)</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1 820</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2 160</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2 620</w:t>
            </w:r>
          </w:p>
        </w:tc>
        <w:tc>
          <w:tcPr>
            <w:tcW w:type="dxa" w:w="2163"/>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+18.7%, then +21.3%</w:t>
            </w:r>
          </w:p>
        </w:tc>
      </w:tr>
      <w:tr>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EBITDA (Rm)</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745</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905</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1 116</w:t>
            </w:r>
          </w:p>
        </w:tc>
        <w:tc>
          <w:tcPr>
            <w:tcW w:type="dxa" w:w="2163"/>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Growing faster than revenue</w:t>
            </w:r>
          </w:p>
        </w:tc>
      </w:tr>
      <w:tr>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EBITDA margin</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40.9%</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41.9%</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42.6%</w:t>
            </w:r>
          </w:p>
        </w:tc>
        <w:tc>
          <w:tcPr>
            <w:tcW w:type="dxa" w:w="2163"/>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Improving</w:t>
            </w:r>
          </w:p>
        </w:tc>
      </w:tr>
      <w:tr>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Operating margin</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25.3%</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26.2%</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26.7%</w:t>
            </w:r>
          </w:p>
        </w:tc>
        <w:tc>
          <w:tcPr>
            <w:tcW w:type="dxa" w:w="2163"/>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Improving</w:t>
            </w:r>
          </w:p>
        </w:tc>
      </w:tr>
      <w:tr>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Profit before tax margin</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12.9%</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12.7%</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12.4%</w:t>
            </w:r>
          </w:p>
        </w:tc>
        <w:tc>
          <w:tcPr>
            <w:tcW w:type="dxa" w:w="2163"/>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7"/>
                <w:szCs w:val="17"/>
              </w:rPr>
              <w:t xml:space="preserve">Falling</w:t>
            </w:r>
          </w:p>
        </w:tc>
      </w:tr>
      <w:tr>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Operating profit ÷ finance costs</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2.04×</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1.95×</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1.87×</w:t>
            </w:r>
          </w:p>
        </w:tc>
        <w:tc>
          <w:tcPr>
            <w:tcW w:type="dxa" w:w="2163"/>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7"/>
                <w:szCs w:val="17"/>
              </w:rPr>
              <w:t xml:space="preserve">Falling — tight</w:t>
            </w:r>
          </w:p>
        </w:tc>
      </w:tr>
      <w:tr>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EBITDA ÷ finance costs</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3.31×</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3.12×</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2.98×</w:t>
            </w:r>
          </w:p>
        </w:tc>
        <w:tc>
          <w:tcPr>
            <w:tcW w:type="dxa" w:w="2163"/>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7"/>
                <w:szCs w:val="17"/>
              </w:rPr>
              <w:t xml:space="preserve">Now below 3×</w:t>
            </w:r>
          </w:p>
        </w:tc>
      </w:tr>
      <w:tr>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Borrowings ÷ EBITDA</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4.23×</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4.36×</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4.35×</w:t>
            </w:r>
          </w:p>
        </w:tc>
        <w:tc>
          <w:tcPr>
            <w:tcW w:type="dxa" w:w="2163"/>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High and flat</w:t>
            </w:r>
          </w:p>
        </w:tc>
      </w:tr>
      <w:tr>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Equity (Rm)</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4 050</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4 650</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5 400</w:t>
            </w:r>
          </w:p>
        </w:tc>
        <w:tc>
          <w:tcPr>
            <w:tcW w:type="dxa" w:w="2163"/>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Growing from retained profit</w:t>
            </w:r>
          </w:p>
        </w:tc>
      </w:tr>
      <w:tr>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Debt ÷ equity</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0.78</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0.85</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0.90</w:t>
            </w:r>
          </w:p>
        </w:tc>
        <w:tc>
          <w:tcPr>
            <w:tcW w:type="dxa" w:w="2163"/>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Rising</w:t>
            </w:r>
          </w:p>
        </w:tc>
      </w:tr>
      <w:tr>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Estimated capital expenditure (Rm)</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1 810</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2 045</w:t>
            </w:r>
          </w:p>
        </w:tc>
        <w:tc>
          <w:tcPr>
            <w:tcW w:type="dxa" w:w="2163"/>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About 1.8× EBITDA</w:t>
            </w:r>
          </w:p>
        </w:tc>
      </w:tr>
      <w:tr>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Revenue ÷ utilised MW (Rm)</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75.8</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74.5</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74.9</w:t>
            </w:r>
          </w:p>
        </w:tc>
        <w:tc>
          <w:tcPr>
            <w:tcW w:type="dxa" w:w="2163"/>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Flat — growth is volume, not price</w:t>
            </w:r>
          </w:p>
        </w:tc>
      </w:tr>
      <w:tr>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Contracted ÷ installed capacity</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84%</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87%</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89%</w:t>
            </w:r>
          </w:p>
        </w:tc>
        <w:tc>
          <w:tcPr>
            <w:tcW w:type="dxa" w:w="2163"/>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Running out of space to sell</w:t>
            </w:r>
          </w:p>
        </w:tc>
      </w:tr>
      <w:tr>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Utilised ÷ installed capacity</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75%</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76%</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78%</w:t>
            </w:r>
          </w:p>
        </w:tc>
        <w:tc>
          <w:tcPr>
            <w:tcW w:type="dxa" w:w="2163"/>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Rising</w:t>
            </w:r>
          </w:p>
        </w:tc>
      </w:tr>
      <w:tr>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Revenue per customer (Rm)</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6.28</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6.65</w:t>
            </w:r>
          </w:p>
        </w:tc>
        <w:tc>
          <w:tcPr>
            <w:tcW w:type="dxa" w:w="154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7.40</w:t>
            </w:r>
          </w:p>
        </w:tc>
        <w:tc>
          <w:tcPr>
            <w:tcW w:type="dxa" w:w="2163"/>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Rising</w:t>
            </w:r>
          </w:p>
        </w:tc>
      </w:tr>
    </w:tbl>
    <w:p>
      <w:pPr>
        <w:keepNext w:val="false"/>
        <w:spacing w:after="0" w:before="0" w:line="250" w:lineRule="auto"/>
      </w:pPr>
      <w:r>
        <w:rPr>
          <w:rFonts w:ascii="Arial" w:cs="Arial" w:eastAsia="Arial" w:hAnsi="Arial"/>
          <w:sz w:val="12"/>
          <w:szCs w:val="12"/>
        </w:rPr>
        <w:t xml:space="preserve"/>
      </w:r>
    </w:p>
    <w:p>
      <w:pPr>
        <w:keepNext w:val="false"/>
        <w:spacing w:after="100" w:before="0" w:line="250" w:lineRule="auto"/>
      </w:pPr>
      <w:r>
        <w:rPr>
          <w:rFonts w:ascii="Arial" w:cs="Arial" w:eastAsia="Arial" w:hAnsi="Arial"/>
          <w:b w:val="false"/>
          <w:bCs w:val="false"/>
          <w:i/>
          <w:iCs/>
          <w:color w:val="000000"/>
          <w:sz w:val="17"/>
          <w:szCs w:val="17"/>
        </w:rPr>
        <w:t xml:space="preserve">In one line: the operations are getting more profitable, but debt is growing faster than the business can comfortably service it, capital spend is running well ahead of cash generation, and there is very little capacity left to sell. That is why funding and capacity allocation are the two commercial questions in this case.</w:t>
      </w:r>
    </w:p>
    <w:p>
      <w:pPr>
        <w:keepNext/>
        <w:spacing w:after="70" w:before="180" w:line="250" w:lineRule="auto"/>
      </w:pPr>
      <w:r>
        <w:rPr>
          <w:rFonts w:ascii="Arial" w:cs="Arial" w:eastAsia="Arial" w:hAnsi="Arial"/>
          <w:b/>
          <w:bCs/>
          <w:i w:val="false"/>
          <w:iCs w:val="false"/>
          <w:color w:val="000000"/>
          <w:sz w:val="20"/>
          <w:szCs w:val="20"/>
        </w:rPr>
        <w:t xml:space="preserve">Document 6 — IFRS 18 and the JHB4 project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150"/>
        <w:gridCol w:w="5150"/>
      </w:tblGrid>
      <w:tr>
        <w:trPr>
          <w:tblHeader/>
        </w:trPr>
        <w:tc>
          <w:tcPr>
            <w:tcW w:type="dxa" w:w="515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Important points</w:t>
            </w:r>
          </w:p>
        </w:tc>
        <w:tc>
          <w:tcPr>
            <w:tcW w:type="dxa" w:w="515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Insight — why it matters</w:t>
            </w:r>
          </w:p>
        </w:tc>
      </w:tr>
      <w:tr>
        <w:tc>
          <w:tcPr>
            <w:tcW w:type="dxa" w:w="515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IFRS 18 will replace IAS 1. Axion is not adopting it yet, but the board wants to know what it means for presentation.</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Ubuntu and Horizon benchmark Axion against listed infrastructure businesses.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reporting team is remapping FY2026 results and the CFO will send it through.</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Scoped in: classification and presentation of income and expenses in profit or loss; how main business activities affect classification; understanding management-defined performance measures.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Scoped out: the detailed disclosure requirements for those measures, and transition.</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JHB4: R1.2bn project facility, construction in progress, not yet operational, phased bring-into-service, grid connection timing critical.</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Undeployed funds sit on short-term deposit at rates below the facility rate.</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The delivery team scorecard includes “net interest not capitalised”, reported internally only.</w:t>
            </w:r>
          </w:p>
        </w:tc>
        <w:tc>
          <w:tcPr>
            <w:tcW w:type="dxa" w:w="515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Expect the remapped income statement on the day, and expect to review it line by line.</w:t>
            </w:r>
            <w:r>
              <w:rPr>
                <w:rFonts w:ascii="Arial" w:cs="Arial" w:eastAsia="Arial" w:hAnsi="Arial"/>
                <w:b w:val="false"/>
                <w:bCs w:val="false"/>
                <w:i w:val="false"/>
                <w:iCs w:val="false"/>
                <w:color w:val="000000"/>
                <w:sz w:val="17"/>
                <w:szCs w:val="17"/>
              </w:rPr>
              <w:t xml:space="preserve"> That is the most common APC task shape. Be able to say what is correctly classified, what is wrong and why, and what is missing.</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Know exactly where our items go: finance costs to financing; interest income on deposits to investing; the Metroloop share of profit to investing, and therefore outside operating profit.</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The two halves of Document 6 connect.</w:t>
            </w:r>
            <w:r>
              <w:rPr>
                <w:rFonts w:ascii="Arial" w:cs="Arial" w:eastAsia="Arial" w:hAnsi="Arial"/>
                <w:b w:val="false"/>
                <w:bCs w:val="false"/>
                <w:i w:val="false"/>
                <w:iCs w:val="false"/>
                <w:color w:val="000000"/>
                <w:sz w:val="17"/>
                <w:szCs w:val="17"/>
              </w:rPr>
              <w:t xml:space="preserve"> “Net interest not capitalised” nets an investing item against a financing item — under IFRS 18 they sit in different categories. And because it is explicitly not used externally, it is </w:t>
            </w:r>
            <w:r>
              <w:rPr>
                <w:rFonts w:ascii="Arial" w:cs="Arial" w:eastAsia="Arial" w:hAnsi="Arial"/>
                <w:b/>
                <w:bCs/>
                <w:i w:val="false"/>
                <w:iCs w:val="false"/>
                <w:color w:val="000000"/>
                <w:sz w:val="17"/>
                <w:szCs w:val="17"/>
              </w:rPr>
              <w:t xml:space="preserve">not</w:t>
            </w:r>
            <w:r>
              <w:rPr>
                <w:rFonts w:ascii="Arial" w:cs="Arial" w:eastAsia="Arial" w:hAnsi="Arial"/>
                <w:b w:val="false"/>
                <w:bCs w:val="false"/>
                <w:i w:val="false"/>
                <w:iCs w:val="false"/>
                <w:color w:val="000000"/>
                <w:sz w:val="17"/>
                <w:szCs w:val="17"/>
              </w:rPr>
              <w:t xml:space="preserve"> a management-defined performance measure. This link is almost certainly deliberate.</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IAS 23 is the other half of JHB4: on specific borrowings you capitalise actual borrowing costs </w:t>
            </w:r>
            <w:r>
              <w:rPr>
                <w:rFonts w:ascii="Arial" w:cs="Arial" w:eastAsia="Arial" w:hAnsi="Arial"/>
                <w:b/>
                <w:bCs/>
                <w:i w:val="false"/>
                <w:iCs w:val="false"/>
                <w:color w:val="000000"/>
                <w:sz w:val="17"/>
                <w:szCs w:val="17"/>
              </w:rPr>
              <w:t xml:space="preserve">less</w:t>
            </w:r>
            <w:r>
              <w:rPr>
                <w:rFonts w:ascii="Arial" w:cs="Arial" w:eastAsia="Arial" w:hAnsi="Arial"/>
                <w:b w:val="false"/>
                <w:bCs w:val="false"/>
                <w:i w:val="false"/>
                <w:iCs w:val="false"/>
                <w:color w:val="000000"/>
                <w:sz w:val="17"/>
                <w:szCs w:val="17"/>
              </w:rPr>
              <w:t xml:space="preserve"> investment income earned on temporary investment of those funds — which is literally what the scorecard measures.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“Grid connection timing is critical” points at suspension and cessation of capitalisation.</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scorecard itself is a KPI design question: the team controls drawdown timing but not the rate spread, and the measure pulls against delivering on programme.</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Investor benchmarking is why presentation matters commercially, not just technically.</w:t>
            </w:r>
          </w:p>
        </w:tc>
      </w:tr>
    </w:tbl>
    <w:p>
      <w:pPr>
        <w:keepNext w:val="false"/>
        <w:spacing w:after="0" w:before="0" w:line="250" w:lineRule="auto"/>
      </w:pPr>
      <w:r>
        <w:rPr>
          <w:rFonts w:ascii="Arial" w:cs="Arial" w:eastAsia="Arial" w:hAnsi="Arial"/>
          <w:sz w:val="12"/>
          <w:szCs w:val="12"/>
        </w:rPr>
        <w:t xml:space="preserve"/>
      </w:r>
    </w:p>
    <w:p>
      <w:pPr>
        <w:keepNext/>
        <w:spacing w:after="70" w:before="180" w:line="250" w:lineRule="auto"/>
      </w:pPr>
      <w:r>
        <w:rPr>
          <w:rFonts w:ascii="Arial" w:cs="Arial" w:eastAsia="Arial" w:hAnsi="Arial"/>
          <w:b/>
          <w:bCs/>
          <w:i w:val="false"/>
          <w:iCs w:val="false"/>
          <w:color w:val="000000"/>
          <w:sz w:val="20"/>
          <w:szCs w:val="20"/>
        </w:rPr>
        <w:t xml:space="preserve">Document 7 — Powering Axion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150"/>
        <w:gridCol w:w="5150"/>
      </w:tblGrid>
      <w:tr>
        <w:trPr>
          <w:tblHeader/>
        </w:trPr>
        <w:tc>
          <w:tcPr>
            <w:tcW w:type="dxa" w:w="515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Important points</w:t>
            </w:r>
          </w:p>
        </w:tc>
        <w:tc>
          <w:tcPr>
            <w:tcW w:type="dxa" w:w="515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Insight — why it matters</w:t>
            </w:r>
          </w:p>
        </w:tc>
      </w:tr>
      <w:tr>
        <w:tc>
          <w:tcPr>
            <w:tcW w:type="dxa" w:w="515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Marked strictly confidential, for Investment Committee use only.</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Electricity is both a major cost and a major constraint on growth.</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Supply is grid and municipal (primary), renewable through PPAs, and on-site solar. Backup is UPS, batteries and diesel generators.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JHB1 is piloting an AI tool that uses operational data to identify and prioritise maintenance. The Audit &amp; Risk Committee has asked for assurance over the processes and controls before wider rollout.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New capacity needs electricity plus transmission and distribution infrastructure. Connections have long lead times.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Three renewable routes: more PPAs, direct investment in generation, or off-site generation with wheeling.</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Long-term offtake agreements bring benefits and matching risks.</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The CFO links directly to the SARS guide on renewable energy allowances.</w:t>
            </w:r>
          </w:p>
        </w:tc>
        <w:tc>
          <w:tcPr>
            <w:tcW w:type="dxa" w:w="515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The SARS link is the strongest single content trigger in the pack.</w:t>
            </w:r>
            <w:r>
              <w:rPr>
                <w:rFonts w:ascii="Arial" w:cs="Arial" w:eastAsia="Arial" w:hAnsi="Arial"/>
                <w:b w:val="false"/>
                <w:bCs w:val="false"/>
                <w:i w:val="false"/>
                <w:iCs w:val="false"/>
                <w:color w:val="000000"/>
                <w:sz w:val="17"/>
                <w:szCs w:val="17"/>
              </w:rPr>
              <w:t xml:space="preserve"> That guide covers sections 12B, 12BA and 12U of the Income Tax Act. A named, hyperlinked source in a pre-release is always examined.</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Note that the section 12BA enhanced 125% allowance applied only to assets brought into use between 1 March 2023 and 28 February 2025. </w:t>
            </w:r>
            <w:r>
              <w:rPr>
                <w:rFonts w:ascii="Arial" w:cs="Arial" w:eastAsia="Arial" w:hAnsi="Arial"/>
                <w:b/>
                <w:bCs/>
                <w:i w:val="false"/>
                <w:iCs w:val="false"/>
                <w:color w:val="000000"/>
                <w:sz w:val="17"/>
                <w:szCs w:val="17"/>
              </w:rPr>
              <w:t xml:space="preserve">That window has closed.</w:t>
            </w:r>
            <w:r>
              <w:rPr>
                <w:rFonts w:ascii="Arial" w:cs="Arial" w:eastAsia="Arial" w:hAnsi="Arial"/>
                <w:b w:val="false"/>
                <w:bCs w:val="false"/>
                <w:i w:val="false"/>
                <w:iCs w:val="false"/>
                <w:color w:val="000000"/>
                <w:sz w:val="17"/>
                <w:szCs w:val="17"/>
              </w:rPr>
              <w:t xml:space="preserve"> Being able to say so — rather than claiming the allowance — is exactly the kind of precision that separates a pass from a fail on a tax task.</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AI pilot is an internal control and assurance task waiting to happen. The Audit &amp; Risk Committee has already asked the question.</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three renewable routes are a make-or-buy decision with very different accounting: a PPA may be a lease or a derivative; direct investment with a partner raises joint arrangement questions.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confidentiality marking is a quiet ethics hook — who may see this document, and what we do if asked to share it.</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Sustainability scrutiny of electricity and water connects to the Social, Ethics &amp; Sustainability Committee and to any claims Axion makes publicly.</w:t>
            </w:r>
          </w:p>
        </w:tc>
      </w:tr>
    </w:tbl>
    <w:p>
      <w:pPr>
        <w:keepNext w:val="false"/>
        <w:spacing w:after="0" w:before="0" w:line="250" w:lineRule="auto"/>
      </w:pPr>
      <w:r>
        <w:rPr>
          <w:rFonts w:ascii="Arial" w:cs="Arial" w:eastAsia="Arial" w:hAnsi="Arial"/>
          <w:sz w:val="12"/>
          <w:szCs w:val="12"/>
        </w:rPr>
        <w:t xml:space="preserve"/>
      </w:r>
    </w:p>
    <w:p>
      <w:pPr>
        <w:keepNext/>
        <w:spacing w:after="70" w:before="180" w:line="250" w:lineRule="auto"/>
      </w:pPr>
      <w:r>
        <w:rPr>
          <w:rFonts w:ascii="Arial" w:cs="Arial" w:eastAsia="Arial" w:hAnsi="Arial"/>
          <w:b/>
          <w:bCs/>
          <w:i w:val="false"/>
          <w:iCs w:val="false"/>
          <w:color w:val="000000"/>
          <w:sz w:val="20"/>
          <w:szCs w:val="20"/>
        </w:rPr>
        <w:t xml:space="preserve">Things that do not add up — check these on the day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914"/>
        <w:gridCol w:w="6386"/>
      </w:tblGrid>
      <w:tr>
        <w:trPr>
          <w:tblHeader/>
        </w:trPr>
        <w:tc>
          <w:tcPr>
            <w:tcW w:type="dxa" w:w="391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Point</w:t>
            </w:r>
          </w:p>
        </w:tc>
        <w:tc>
          <w:tcPr>
            <w:tcW w:type="dxa" w:w="6386"/>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Why we are noting it</w:t>
            </w:r>
          </w:p>
        </w:tc>
      </w:tr>
      <w:tr>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Revenue of R2.4bn (Doc 2) against R2 620m (Doc 5)</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A difference of about R220m. It may be a rounded marketing figure, a different basis, or an error. Reconcile it rather than assume.</w:t>
            </w:r>
          </w:p>
        </w:tc>
      </w:tr>
      <w:tr>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“Pipeline significantly exceeds the capital invested during Axion’s first 15 years” (Doc 3)</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PPE is already R10.25bn and the pipeline is R3–5bn. The statement only works if “capital invested” means equity contributed. Ask what it means.</w:t>
            </w:r>
          </w:p>
        </w:tc>
      </w:tr>
      <w:tr>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Contracted 40 MW but utilised only 35 MW</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5 MW is contracted and presumably being paid for, but not used. Understand how that is billed and how it is recognised.</w:t>
            </w:r>
          </w:p>
        </w:tc>
      </w:tr>
      <w:tr>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Only 5 MW of installed capacity uncommitted</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Growth is capacity-constrained now, not just in five years’ time. That makes the allocation decision urgent.</w:t>
            </w:r>
          </w:p>
        </w:tc>
      </w:tr>
      <w:tr>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No tax line in the income statement</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We cannot compute the effective tax rate or profit for the year — both of which an IFRS 18 remapping would need.</w:t>
            </w:r>
          </w:p>
        </w:tc>
      </w:tr>
      <w:tr>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Sarah’s list omits JHB4 borrowing costs and Metroloop</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Both are in the pack. Prepare them anyway.</w:t>
            </w:r>
          </w:p>
        </w:tc>
      </w:tr>
    </w:tbl>
    <w:p>
      <w:pPr>
        <w:keepNext w:val="false"/>
        <w:spacing w:after="0" w:before="0" w:line="250" w:lineRule="auto"/>
      </w:pPr>
      <w:r>
        <w:rPr>
          <w:rFonts w:ascii="Arial" w:cs="Arial" w:eastAsia="Arial" w:hAnsi="Arial"/>
          <w:sz w:val="12"/>
          <w:szCs w:val="12"/>
        </w:rPr>
        <w:t xml:space="preserve"/>
      </w:r>
    </w:p>
    <w:p>
      <w:pPr>
        <w:keepNext/>
        <w:pageBreakBefore/>
        <w:pBdr>
          <w:bottom w:val="single" w:color="000000" w:sz="8" w:space="2"/>
        </w:pBdr>
        <w:spacing w:after="100" w:before="0" w:line="250" w:lineRule="auto"/>
      </w:pPr>
      <w:r>
        <w:rPr>
          <w:rFonts w:ascii="Arial" w:cs="Arial" w:eastAsia="Arial" w:hAnsi="Arial"/>
          <w:b/>
          <w:bCs/>
          <w:i w:val="false"/>
          <w:iCs w:val="false"/>
          <w:color w:val="000000"/>
          <w:sz w:val="24"/>
          <w:szCs w:val="24"/>
        </w:rPr>
        <w:t xml:space="preserve">Part 3 — Research plan by trigger</w:t>
      </w:r>
    </w:p>
    <w:p>
      <w:pPr>
        <w:keepNext w:val="false"/>
        <w:spacing w:after="100" w:before="0" w:line="250" w:lineRule="auto"/>
      </w:pPr>
      <w:r>
        <w:rPr>
          <w:rFonts w:ascii="Arial" w:cs="Arial" w:eastAsia="Arial" w:hAnsi="Arial"/>
          <w:b w:val="false"/>
          <w:bCs w:val="false"/>
          <w:i/>
          <w:iCs/>
          <w:color w:val="000000"/>
          <w:sz w:val="17"/>
          <w:szCs w:val="17"/>
        </w:rPr>
        <w:t xml:space="preserve">This is what the group must cover before the information on the day. Research the issue, not the task we think will be asked. For every trigger, be able to explain the principle, apply it to Axion’s facts, and say what extra information we would want.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8240"/>
      </w:tblGrid>
      <w:tr>
        <w:trPr>
          <w:tblHeader/>
        </w:trPr>
        <w:tc>
          <w:tcPr>
            <w:tcW w:type="dxa" w:w="206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Trigger</w:t>
            </w:r>
          </w:p>
        </w:tc>
        <w:tc>
          <w:tcPr>
            <w:tcW w:type="dxa" w:w="824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What we must research and be able to do</w:t>
            </w:r>
          </w:p>
        </w:tc>
      </w:tr>
      <w:tr>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0000"/>
                <w:sz w:val="17"/>
                <w:szCs w:val="17"/>
              </w:rPr>
              <w:t xml:space="preserve">1. Revenue and contracted capacity</w:t>
            </w:r>
          </w:p>
          <w:p>
            <w:pPr>
              <w:keepNext w:val="false"/>
              <w:spacing w:after="0" w:before="0" w:line="250" w:lineRule="auto"/>
            </w:pPr>
            <w:r>
              <w:rPr>
                <w:rFonts w:ascii="Arial" w:cs="Arial" w:eastAsia="Arial" w:hAnsi="Arial"/>
                <w:b w:val="false"/>
                <w:bCs w:val="false"/>
                <w:i w:val="false"/>
                <w:iCs w:val="false"/>
                <w:color w:val="000000"/>
                <w:sz w:val="17"/>
                <w:szCs w:val="17"/>
              </w:rPr>
              <w:t xml:space="preserve">Doc 5, pages 14–15; Doc 2, pages 4–5</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Work the IFRS 15 five-step model through </w:t>
            </w:r>
            <w:r>
              <w:rPr>
                <w:rFonts w:ascii="Arial" w:cs="Arial" w:eastAsia="Arial" w:hAnsi="Arial"/>
                <w:b/>
                <w:bCs/>
                <w:i w:val="false"/>
                <w:iCs w:val="false"/>
                <w:color w:val="000000"/>
                <w:sz w:val="17"/>
                <w:szCs w:val="17"/>
              </w:rPr>
              <w:t xml:space="preserve">each of the four streams separately</w:t>
            </w:r>
            <w:r>
              <w:rPr>
                <w:rFonts w:ascii="Arial" w:cs="Arial" w:eastAsia="Arial" w:hAnsi="Arial"/>
                <w:b w:val="false"/>
                <w:bCs w:val="false"/>
                <w:i w:val="false"/>
                <w:iCs w:val="false"/>
                <w:color w:val="000000"/>
                <w:sz w:val="17"/>
                <w:szCs w:val="17"/>
              </w:rPr>
              <w:t xml:space="preserve"> — colocation, power recharge, interconnection, ancillary. Do not treat revenue as one thing.</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Decide whether a colocation contract contains a lease under IFRS 16.</w:t>
            </w:r>
            <w:r>
              <w:rPr>
                <w:rFonts w:ascii="Arial" w:cs="Arial" w:eastAsia="Arial" w:hAnsi="Arial"/>
                <w:b w:val="false"/>
                <w:bCs w:val="false"/>
                <w:i w:val="false"/>
                <w:iCs w:val="false"/>
                <w:color w:val="000000"/>
                <w:sz w:val="17"/>
                <w:szCs w:val="17"/>
              </w:rPr>
              <w:t xml:space="preserve"> Is there an identified asset (a specific rack, cage or area)? Does Axion have a substantive substitution right? Does the customer obtain substantially all the economic benefits and direct the use? Be able to argue both sides and state what extra facts would settle it.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If it is a lease, Axion is the </w:t>
            </w:r>
            <w:r>
              <w:rPr>
                <w:rFonts w:ascii="Arial" w:cs="Arial" w:eastAsia="Arial" w:hAnsi="Arial"/>
                <w:b/>
                <w:bCs/>
                <w:i w:val="false"/>
                <w:iCs w:val="false"/>
                <w:color w:val="000000"/>
                <w:sz w:val="17"/>
                <w:szCs w:val="17"/>
              </w:rPr>
              <w:t xml:space="preserve">lessor</w:t>
            </w:r>
            <w:r>
              <w:rPr>
                <w:rFonts w:ascii="Arial" w:cs="Arial" w:eastAsia="Arial" w:hAnsi="Arial"/>
                <w:b w:val="false"/>
                <w:bCs w:val="false"/>
                <w:i w:val="false"/>
                <w:iCs w:val="false"/>
                <w:color w:val="000000"/>
                <w:sz w:val="17"/>
                <w:szCs w:val="17"/>
              </w:rPr>
              <w:t xml:space="preserve">: operating versus finance lease classification, straight-lining of escalating payments, lessor disclosure. If it is a service, recognition over time under IFRS 15.</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Contracted but unutilised capacity (the 5 MW gap):</w:t>
            </w:r>
            <w:r>
              <w:rPr>
                <w:rFonts w:ascii="Arial" w:cs="Arial" w:eastAsia="Arial" w:hAnsi="Arial"/>
                <w:b w:val="false"/>
                <w:bCs w:val="false"/>
                <w:i w:val="false"/>
                <w:iCs w:val="false"/>
                <w:color w:val="000000"/>
                <w:sz w:val="17"/>
                <w:szCs w:val="17"/>
              </w:rPr>
              <w:t xml:space="preserve"> a stand-ready obligation — revenue as capacity is made available, not as it is used. Take-or-pay and minimum commitment clauses.</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Power recharge — principal or agent?</w:t>
            </w:r>
            <w:r>
              <w:rPr>
                <w:rFonts w:ascii="Arial" w:cs="Arial" w:eastAsia="Arial" w:hAnsi="Arial"/>
                <w:b w:val="false"/>
                <w:bCs w:val="false"/>
                <w:i w:val="false"/>
                <w:iCs w:val="false"/>
                <w:color w:val="000000"/>
                <w:sz w:val="17"/>
                <w:szCs w:val="17"/>
              </w:rPr>
              <w:t xml:space="preserve"> Axion buys electricity and on-sells it. Work through control before transfer, pricing discretion and inventory risk. Then decide whether it is a separate performance obligation or part of one combined service, and whether the streams form a series of distinct services.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Variable consideration and the constraint for usage-based charges, and how metered amounts are estimated at period end.</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Non-refundable installation, set-up, cross-connect and migration fees</w:t>
            </w:r>
            <w:r>
              <w:rPr>
                <w:rFonts w:ascii="Arial" w:cs="Arial" w:eastAsia="Arial" w:hAnsi="Arial"/>
                <w:b w:val="false"/>
                <w:bCs w:val="false"/>
                <w:i w:val="false"/>
                <w:iCs w:val="false"/>
                <w:color w:val="000000"/>
                <w:sz w:val="17"/>
                <w:szCs w:val="17"/>
              </w:rPr>
              <w:t xml:space="preserve"> — usually not a distinct performance obligation, so recognised over the contract term. Consider material rights arising from renewal options.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Contract modifications when a customer increases capacity or extends the term.</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Costs to obtain a contract, such as sales commissions — capitalise and amortise over the contract term.</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IFRS 9 expected credit losses on trade receivables, and customer concentration. Note there is no significant financing component, because invoicing is monthly and Axion does not finance customers.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Onerous contract risk under IAS 37 if electricity costs rise faster than contractual escalations allow us to recover them.</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Tax:</w:t>
            </w:r>
            <w:r>
              <w:rPr>
                <w:rFonts w:ascii="Arial" w:cs="Arial" w:eastAsia="Arial" w:hAnsi="Arial"/>
                <w:b w:val="false"/>
                <w:bCs w:val="false"/>
                <w:i w:val="false"/>
                <w:iCs w:val="false"/>
                <w:color w:val="000000"/>
                <w:sz w:val="17"/>
                <w:szCs w:val="17"/>
              </w:rPr>
              <w:t xml:space="preserve"> section 24C allowance where amounts are received in advance to fund future expenditure; VAT time and value of supply on the electricity recharge; VAT on monthly invoicing.</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Management accounting — do this before the exam.</w:t>
            </w:r>
            <w:r>
              <w:rPr>
                <w:rFonts w:ascii="Arial" w:cs="Arial" w:eastAsia="Arial" w:hAnsi="Arial"/>
                <w:b w:val="false"/>
                <w:bCs w:val="false"/>
                <w:i w:val="false"/>
                <w:iCs w:val="false"/>
                <w:color w:val="000000"/>
                <w:sz w:val="17"/>
                <w:szCs w:val="17"/>
              </w:rPr>
              <w:t xml:space="preserve"> Build a contribution-per-MW model. Be ready to rank competing customers for the last 5 MW on contribution per MW (the limiting factor), and to bring in the non-financial factors: contract length, credit quality, power density, cooling load, and what the customer adds to the ecosystem.</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Audit:</w:t>
            </w:r>
            <w:r>
              <w:rPr>
                <w:rFonts w:ascii="Arial" w:cs="Arial" w:eastAsia="Arial" w:hAnsi="Arial"/>
                <w:b w:val="false"/>
                <w:bCs w:val="false"/>
                <w:i w:val="false"/>
                <w:iCs w:val="false"/>
                <w:color w:val="000000"/>
                <w:sz w:val="17"/>
                <w:szCs w:val="17"/>
              </w:rPr>
              <w:t xml:space="preserve"> risk of material misstatement over revenue, cut-off, accuracy of metered recharges, existence of contracts, and controls over billing and the capacity register.</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Have the capacity ratios and revenue per MW already calculated and in the file.</w:t>
            </w:r>
          </w:p>
        </w:tc>
      </w:tr>
      <w:tr>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0000"/>
                <w:sz w:val="17"/>
                <w:szCs w:val="17"/>
              </w:rPr>
              <w:t xml:space="preserve">2. Undeveloped land</w:t>
            </w:r>
          </w:p>
          <w:p>
            <w:pPr>
              <w:keepNext w:val="false"/>
              <w:spacing w:after="0" w:before="0" w:line="250" w:lineRule="auto"/>
            </w:pPr>
            <w:r>
              <w:rPr>
                <w:rFonts w:ascii="Arial" w:cs="Arial" w:eastAsia="Arial" w:hAnsi="Arial"/>
                <w:b w:val="false"/>
                <w:bCs w:val="false"/>
                <w:i w:val="false"/>
                <w:iCs w:val="false"/>
                <w:color w:val="000000"/>
                <w:sz w:val="17"/>
                <w:szCs w:val="17"/>
              </w:rPr>
              <w:t xml:space="preserve">Doc 5, page 15</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Be able to place the land in </w:t>
            </w:r>
            <w:r>
              <w:rPr>
                <w:rFonts w:ascii="Arial" w:cs="Arial" w:eastAsia="Arial" w:hAnsi="Arial"/>
                <w:b/>
                <w:bCs/>
                <w:i w:val="false"/>
                <w:iCs w:val="false"/>
                <w:color w:val="000000"/>
                <w:sz w:val="17"/>
                <w:szCs w:val="17"/>
              </w:rPr>
              <w:t xml:space="preserve">all four possible homes</w:t>
            </w:r>
            <w:r>
              <w:rPr>
                <w:rFonts w:ascii="Arial" w:cs="Arial" w:eastAsia="Arial" w:hAnsi="Arial"/>
                <w:b w:val="false"/>
                <w:bCs w:val="false"/>
                <w:i w:val="false"/>
                <w:iCs w:val="false"/>
                <w:color w:val="000000"/>
                <w:sz w:val="17"/>
                <w:szCs w:val="17"/>
              </w:rPr>
              <w:t xml:space="preserve">, with the test for each: IAS 16 property, plant and equipment (held for use in production, supply or administration); </w:t>
            </w:r>
            <w:r>
              <w:rPr>
                <w:rFonts w:ascii="Arial" w:cs="Arial" w:eastAsia="Arial" w:hAnsi="Arial"/>
                <w:b/>
                <w:bCs/>
                <w:i w:val="false"/>
                <w:iCs w:val="false"/>
                <w:color w:val="000000"/>
                <w:sz w:val="17"/>
                <w:szCs w:val="17"/>
              </w:rPr>
              <w:t xml:space="preserve">IAS 40 investment property</w:t>
            </w:r>
            <w:r>
              <w:rPr>
                <w:rFonts w:ascii="Arial" w:cs="Arial" w:eastAsia="Arial" w:hAnsi="Arial"/>
                <w:b w:val="false"/>
                <w:bCs w:val="false"/>
                <w:i w:val="false"/>
                <w:iCs w:val="false"/>
                <w:color w:val="000000"/>
                <w:sz w:val="17"/>
                <w:szCs w:val="17"/>
              </w:rPr>
              <w:t xml:space="preserve"> (held to earn rentals or for capital appreciation — and specifically </w:t>
            </w:r>
            <w:r>
              <w:rPr>
                <w:rFonts w:ascii="Arial" w:cs="Arial" w:eastAsia="Arial" w:hAnsi="Arial"/>
                <w:b/>
                <w:bCs/>
                <w:i w:val="false"/>
                <w:iCs w:val="false"/>
                <w:color w:val="000000"/>
                <w:sz w:val="17"/>
                <w:szCs w:val="17"/>
              </w:rPr>
              <w:t xml:space="preserve">land held for a currently undetermined future use</w:t>
            </w:r>
            <w:r>
              <w:rPr>
                <w:rFonts w:ascii="Arial" w:cs="Arial" w:eastAsia="Arial" w:hAnsi="Arial"/>
                <w:b w:val="false"/>
                <w:bCs w:val="false"/>
                <w:i w:val="false"/>
                <w:iCs w:val="false"/>
                <w:color w:val="000000"/>
                <w:sz w:val="17"/>
                <w:szCs w:val="17"/>
              </w:rPr>
              <w:t xml:space="preserve">); IAS 2 inventory (held for sale in the ordinary course of business); IFRS 5 held for sale.</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Learn the IAS 40 wording on land held for an undetermined future use. Our facts — plans have evolved, it remains undeveloped while management considers how best to use it — sit very close to it.</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Transfers between categories:</w:t>
            </w:r>
            <w:r>
              <w:rPr>
                <w:rFonts w:ascii="Arial" w:cs="Arial" w:eastAsia="Arial" w:hAnsi="Arial"/>
                <w:b w:val="false"/>
                <w:bCs w:val="false"/>
                <w:i w:val="false"/>
                <w:iCs w:val="false"/>
                <w:color w:val="000000"/>
                <w:sz w:val="17"/>
                <w:szCs w:val="17"/>
              </w:rPr>
              <w:t xml:space="preserve"> a transfer is made only when there is a change in use, evidenced by specific events. Know the list of triggering events, and the measurement on transfer under both the cost and fair value models.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Cost model against fair value model for investment property. Under fair value, gains and losses go to profit or loss. Land is not depreciated under either cost model.</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Deferred tax:</w:t>
            </w:r>
            <w:r>
              <w:rPr>
                <w:rFonts w:ascii="Arial" w:cs="Arial" w:eastAsia="Arial" w:hAnsi="Arial"/>
                <w:b w:val="false"/>
                <w:bCs w:val="false"/>
                <w:i w:val="false"/>
                <w:iCs w:val="false"/>
                <w:color w:val="000000"/>
                <w:sz w:val="17"/>
                <w:szCs w:val="17"/>
              </w:rPr>
              <w:t xml:space="preserve"> land carries no capital allowances, so the tax base is base cost. Where investment property is measured at fair value there is a rebuttable presumption of recovery through sale, so deferred tax is measured at the capital gains rate. Be able to compute it.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Impairment under IAS 36 if it is property, plant and equipment; net realisable value if it is inventory.</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Borrowing costs: bare land on which development has not started is not a qualifying asset. Capitalisation begins only once development activities begin.</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Tax:</w:t>
            </w:r>
            <w:r>
              <w:rPr>
                <w:rFonts w:ascii="Arial" w:cs="Arial" w:eastAsia="Arial" w:hAnsi="Arial"/>
                <w:b w:val="false"/>
                <w:bCs w:val="false"/>
                <w:i w:val="false"/>
                <w:iCs w:val="false"/>
                <w:color w:val="000000"/>
                <w:sz w:val="17"/>
                <w:szCs w:val="17"/>
              </w:rPr>
              <w:t xml:space="preserve"> capital gains tax on eventual disposal, base cost, and whether holding costs such as rates and security are deductible. No building allowance on bare land.</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Audit:</w:t>
            </w:r>
            <w:r>
              <w:rPr>
                <w:rFonts w:ascii="Arial" w:cs="Arial" w:eastAsia="Arial" w:hAnsi="Arial"/>
                <w:b w:val="false"/>
                <w:bCs w:val="false"/>
                <w:i w:val="false"/>
                <w:iCs w:val="false"/>
                <w:color w:val="000000"/>
                <w:sz w:val="17"/>
                <w:szCs w:val="17"/>
              </w:rPr>
              <w:t xml:space="preserve"> management’s intention is an assertion. What evidence would support it — board minutes, planning applications, capital budgets, the Axion 2030 capacity programme?</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Prepare the journal entries for every possible reclassification, in both directions, under both measurement models.</w:t>
            </w:r>
            <w:r>
              <w:rPr>
                <w:rFonts w:ascii="Arial" w:cs="Arial" w:eastAsia="Arial" w:hAnsi="Arial"/>
                <w:b w:val="false"/>
                <w:bCs w:val="false"/>
                <w:i w:val="false"/>
                <w:iCs w:val="false"/>
                <w:color w:val="000000"/>
                <w:sz w:val="17"/>
                <w:szCs w:val="17"/>
              </w:rPr>
              <w:t xml:space="preserve"> The phrase “plans have evolved” means the plan will probably change again on the day.</w:t>
            </w:r>
          </w:p>
        </w:tc>
      </w:tr>
      <w:tr>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0000"/>
                <w:sz w:val="17"/>
                <w:szCs w:val="17"/>
              </w:rPr>
              <w:t xml:space="preserve">3. IFRS 18</w:t>
            </w:r>
          </w:p>
          <w:p>
            <w:pPr>
              <w:keepNext w:val="false"/>
              <w:spacing w:after="0" w:before="0" w:line="250" w:lineRule="auto"/>
            </w:pPr>
            <w:r>
              <w:rPr>
                <w:rFonts w:ascii="Arial" w:cs="Arial" w:eastAsia="Arial" w:hAnsi="Arial"/>
                <w:b w:val="false"/>
                <w:bCs w:val="false"/>
                <w:i w:val="false"/>
                <w:iCs w:val="false"/>
                <w:color w:val="000000"/>
                <w:sz w:val="17"/>
                <w:szCs w:val="17"/>
              </w:rPr>
              <w:t xml:space="preserve">Doc 6, page 16</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Effective for annual periods beginning on or after 1 January 2027, so Axion’s first mandatory year is the year ending 30 June 2028. Early adoption is permitted. It replaces IAS 1.</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w:t>
            </w:r>
            <w:r>
              <w:rPr>
                <w:rFonts w:ascii="Arial" w:cs="Arial" w:eastAsia="Arial" w:hAnsi="Arial"/>
                <w:b/>
                <w:bCs/>
                <w:i w:val="false"/>
                <w:iCs w:val="false"/>
                <w:color w:val="000000"/>
                <w:sz w:val="17"/>
                <w:szCs w:val="17"/>
              </w:rPr>
              <w:t xml:space="preserve">five categories</w:t>
            </w:r>
            <w:r>
              <w:rPr>
                <w:rFonts w:ascii="Arial" w:cs="Arial" w:eastAsia="Arial" w:hAnsi="Arial"/>
                <w:b w:val="false"/>
                <w:bCs w:val="false"/>
                <w:i w:val="false"/>
                <w:iCs w:val="false"/>
                <w:color w:val="000000"/>
                <w:sz w:val="17"/>
                <w:szCs w:val="17"/>
              </w:rPr>
              <w:t xml:space="preserve">: operating, investing, financing, income taxes, and discontinued operations. Know what belongs in each, and that operating is the residual.</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w:t>
            </w:r>
            <w:r>
              <w:rPr>
                <w:rFonts w:ascii="Arial" w:cs="Arial" w:eastAsia="Arial" w:hAnsi="Arial"/>
                <w:b/>
                <w:bCs/>
                <w:i w:val="false"/>
                <w:iCs w:val="false"/>
                <w:color w:val="000000"/>
                <w:sz w:val="17"/>
                <w:szCs w:val="17"/>
              </w:rPr>
              <w:t xml:space="preserve">two required subtotals</w:t>
            </w:r>
            <w:r>
              <w:rPr>
                <w:rFonts w:ascii="Arial" w:cs="Arial" w:eastAsia="Arial" w:hAnsi="Arial"/>
                <w:b w:val="false"/>
                <w:bCs w:val="false"/>
                <w:i w:val="false"/>
                <w:iCs w:val="false"/>
                <w:color w:val="000000"/>
                <w:sz w:val="17"/>
                <w:szCs w:val="17"/>
              </w:rPr>
              <w:t xml:space="preserve">: operating profit, and profit before financing and income taxes.</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Main business activity assessments</w:t>
            </w:r>
            <w:r>
              <w:rPr>
                <w:rFonts w:ascii="Arial" w:cs="Arial" w:eastAsia="Arial" w:hAnsi="Arial"/>
                <w:b w:val="false"/>
                <w:bCs w:val="false"/>
                <w:i w:val="false"/>
                <w:iCs w:val="false"/>
                <w:color w:val="000000"/>
                <w:sz w:val="17"/>
                <w:szCs w:val="17"/>
              </w:rPr>
              <w:t xml:space="preserve"> — investing in assets, and providing financing to customers — and how each changes classification. Note that the pack says Axion does not provide financing to customers, which closes the second one off.</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Map Axion’s items:</w:t>
            </w:r>
            <w:r>
              <w:rPr>
                <w:rFonts w:ascii="Arial" w:cs="Arial" w:eastAsia="Arial" w:hAnsi="Arial"/>
                <w:b w:val="false"/>
                <w:bCs w:val="false"/>
                <w:i w:val="false"/>
                <w:iCs w:val="false"/>
                <w:color w:val="000000"/>
                <w:sz w:val="17"/>
                <w:szCs w:val="17"/>
              </w:rPr>
              <w:t xml:space="preserve"> finance costs on borrowings to financing; interest income on cash and deposits to investing; the share of Metroloop’s profit to investing, which means it sits </w:t>
            </w:r>
            <w:r>
              <w:rPr>
                <w:rFonts w:ascii="Arial" w:cs="Arial" w:eastAsia="Arial" w:hAnsi="Arial"/>
                <w:b/>
                <w:bCs/>
                <w:i w:val="false"/>
                <w:iCs w:val="false"/>
                <w:color w:val="000000"/>
                <w:sz w:val="17"/>
                <w:szCs w:val="17"/>
              </w:rPr>
              <w:t xml:space="preserve">outside</w:t>
            </w:r>
            <w:r>
              <w:rPr>
                <w:rFonts w:ascii="Arial" w:cs="Arial" w:eastAsia="Arial" w:hAnsi="Arial"/>
                <w:b w:val="false"/>
                <w:bCs w:val="false"/>
                <w:i w:val="false"/>
                <w:iCs w:val="false"/>
                <w:color w:val="000000"/>
                <w:sz w:val="17"/>
                <w:szCs w:val="17"/>
              </w:rPr>
              <w:t xml:space="preserve"> operating profit; investment property income, if the land becomes investment property, to investing unless investing in assets is a main business activity.</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Rebuild the FY2026 income statement into the new categories</w:t>
            </w:r>
            <w:r>
              <w:rPr>
                <w:rFonts w:ascii="Arial" w:cs="Arial" w:eastAsia="Arial" w:hAnsi="Arial"/>
                <w:b w:val="false"/>
                <w:bCs w:val="false"/>
                <w:i w:val="false"/>
                <w:iCs w:val="false"/>
                <w:color w:val="000000"/>
                <w:sz w:val="17"/>
                <w:szCs w:val="17"/>
              </w:rPr>
              <w:t xml:space="preserve"> from the figures we have, and list the extra information we would need — the tax charge, a split of finance costs, interest income.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Management-defined performance measures:</w:t>
            </w:r>
            <w:r>
              <w:rPr>
                <w:rFonts w:ascii="Arial" w:cs="Arial" w:eastAsia="Arial" w:hAnsi="Arial"/>
                <w:b w:val="false"/>
                <w:bCs w:val="false"/>
                <w:i w:val="false"/>
                <w:iCs w:val="false"/>
                <w:color w:val="000000"/>
                <w:sz w:val="17"/>
                <w:szCs w:val="17"/>
              </w:rPr>
              <w:t xml:space="preserve"> learn the definition — a subtotal of income and expenses, used in public communications outside the financial statements, that communicates management’s view of performance. Know what is excluded from the definition, including subtotals required by IFRS 18 and operating profit before depreciation and amortisation.</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Apply the test to Axion’s internal measures:</w:t>
            </w:r>
            <w:r>
              <w:rPr>
                <w:rFonts w:ascii="Arial" w:cs="Arial" w:eastAsia="Arial" w:hAnsi="Arial"/>
                <w:b w:val="false"/>
                <w:bCs w:val="false"/>
                <w:i w:val="false"/>
                <w:iCs w:val="false"/>
                <w:color w:val="000000"/>
                <w:sz w:val="17"/>
                <w:szCs w:val="17"/>
              </w:rPr>
              <w:t xml:space="preserve"> EBITDA; capital cost per MW; and “net interest not capitalised”, which is explicitly not used externally and therefore is </w:t>
            </w:r>
            <w:r>
              <w:rPr>
                <w:rFonts w:ascii="Arial" w:cs="Arial" w:eastAsia="Arial" w:hAnsi="Arial"/>
                <w:b/>
                <w:bCs/>
                <w:i w:val="false"/>
                <w:iCs w:val="false"/>
                <w:color w:val="000000"/>
                <w:sz w:val="17"/>
                <w:szCs w:val="17"/>
              </w:rPr>
              <w:t xml:space="preserve">not</w:t>
            </w:r>
            <w:r>
              <w:rPr>
                <w:rFonts w:ascii="Arial" w:cs="Arial" w:eastAsia="Arial" w:hAnsi="Arial"/>
                <w:b w:val="false"/>
                <w:bCs w:val="false"/>
                <w:i w:val="false"/>
                <w:iCs w:val="false"/>
                <w:color w:val="000000"/>
                <w:sz w:val="17"/>
                <w:szCs w:val="17"/>
              </w:rPr>
              <w:t xml:space="preserve"> a management-defined performance measure. Watch the information memorandum — measures used there are public communications and may qualify.</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Know the aggregation and disaggregation principles, and the requirement to present operating expenses by nature or by function.</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Scoped out — do not write about it:</w:t>
            </w:r>
            <w:r>
              <w:rPr>
                <w:rFonts w:ascii="Arial" w:cs="Arial" w:eastAsia="Arial" w:hAnsi="Arial"/>
                <w:b w:val="false"/>
                <w:bCs w:val="false"/>
                <w:i w:val="false"/>
                <w:iCs w:val="false"/>
                <w:color w:val="000000"/>
                <w:sz w:val="17"/>
                <w:szCs w:val="17"/>
              </w:rPr>
              <w:t xml:space="preserve"> the detailed disclosure requirements for management-defined performance measures, and the transition requirements.</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Expect the remapped FY2026 income statement on the day.</w:t>
            </w:r>
            <w:r>
              <w:rPr>
                <w:rFonts w:ascii="Arial" w:cs="Arial" w:eastAsia="Arial" w:hAnsi="Arial"/>
                <w:b w:val="false"/>
                <w:bCs w:val="false"/>
                <w:i w:val="false"/>
                <w:iCs w:val="false"/>
                <w:color w:val="000000"/>
                <w:sz w:val="17"/>
                <w:szCs w:val="17"/>
              </w:rPr>
              <w:t xml:space="preserve"> Practise reviewing a restated statement line by line: what is correct, what is misclassified and why, and what is missing.</w:t>
            </w:r>
          </w:p>
        </w:tc>
      </w:tr>
      <w:tr>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0000"/>
                <w:sz w:val="17"/>
                <w:szCs w:val="17"/>
              </w:rPr>
              <w:t xml:space="preserve">4. JHB4 project funding and borrowing costs</w:t>
            </w:r>
          </w:p>
          <w:p>
            <w:pPr>
              <w:keepNext w:val="false"/>
              <w:spacing w:after="0" w:before="0" w:line="250" w:lineRule="auto"/>
            </w:pPr>
            <w:r>
              <w:rPr>
                <w:rFonts w:ascii="Arial" w:cs="Arial" w:eastAsia="Arial" w:hAnsi="Arial"/>
                <w:b w:val="false"/>
                <w:bCs w:val="false"/>
                <w:i w:val="false"/>
                <w:iCs w:val="false"/>
                <w:color w:val="000000"/>
                <w:sz w:val="17"/>
                <w:szCs w:val="17"/>
              </w:rPr>
              <w:t xml:space="preserve">Doc 6, page 17</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IAS 23:</w:t>
            </w:r>
            <w:r>
              <w:rPr>
                <w:rFonts w:ascii="Arial" w:cs="Arial" w:eastAsia="Arial" w:hAnsi="Arial"/>
                <w:b w:val="false"/>
                <w:bCs w:val="false"/>
                <w:i w:val="false"/>
                <w:iCs w:val="false"/>
                <w:color w:val="000000"/>
                <w:sz w:val="17"/>
                <w:szCs w:val="17"/>
              </w:rPr>
              <w:t xml:space="preserve"> the definition of a qualifying asset; when capitalisation commences (expenditure incurred, borrowing costs incurred, activities in progress); </w:t>
            </w:r>
            <w:r>
              <w:rPr>
                <w:rFonts w:ascii="Arial" w:cs="Arial" w:eastAsia="Arial" w:hAnsi="Arial"/>
                <w:b/>
                <w:bCs/>
                <w:i w:val="false"/>
                <w:iCs w:val="false"/>
                <w:color w:val="000000"/>
                <w:sz w:val="17"/>
                <w:szCs w:val="17"/>
              </w:rPr>
              <w:t xml:space="preserve">suspension</w:t>
            </w:r>
            <w:r>
              <w:rPr>
                <w:rFonts w:ascii="Arial" w:cs="Arial" w:eastAsia="Arial" w:hAnsi="Arial"/>
                <w:b w:val="false"/>
                <w:bCs w:val="false"/>
                <w:i w:val="false"/>
                <w:iCs w:val="false"/>
                <w:color w:val="000000"/>
                <w:sz w:val="17"/>
                <w:szCs w:val="17"/>
              </w:rPr>
              <w:t xml:space="preserve"> during extended periods in which active development is interrupted; </w:t>
            </w:r>
            <w:r>
              <w:rPr>
                <w:rFonts w:ascii="Arial" w:cs="Arial" w:eastAsia="Arial" w:hAnsi="Arial"/>
                <w:b/>
                <w:bCs/>
                <w:i w:val="false"/>
                <w:iCs w:val="false"/>
                <w:color w:val="000000"/>
                <w:sz w:val="17"/>
                <w:szCs w:val="17"/>
              </w:rPr>
              <w:t xml:space="preserve">cessation</w:t>
            </w:r>
            <w:r>
              <w:rPr>
                <w:rFonts w:ascii="Arial" w:cs="Arial" w:eastAsia="Arial" w:hAnsi="Arial"/>
                <w:b w:val="false"/>
                <w:bCs w:val="false"/>
                <w:i w:val="false"/>
                <w:iCs w:val="false"/>
                <w:color w:val="000000"/>
                <w:sz w:val="17"/>
                <w:szCs w:val="17"/>
              </w:rPr>
              <w:t xml:space="preserve"> when substantially all activities necessary to prepare the asset for its intended use are complete.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Specific borrowings:</w:t>
            </w:r>
            <w:r>
              <w:rPr>
                <w:rFonts w:ascii="Arial" w:cs="Arial" w:eastAsia="Arial" w:hAnsi="Arial"/>
                <w:b w:val="false"/>
                <w:bCs w:val="false"/>
                <w:i w:val="false"/>
                <w:iCs w:val="false"/>
                <w:color w:val="000000"/>
                <w:sz w:val="17"/>
                <w:szCs w:val="17"/>
              </w:rPr>
              <w:t xml:space="preserve"> capitalise the actual borrowing costs incurred </w:t>
            </w:r>
            <w:r>
              <w:rPr>
                <w:rFonts w:ascii="Arial" w:cs="Arial" w:eastAsia="Arial" w:hAnsi="Arial"/>
                <w:b/>
                <w:bCs/>
                <w:i w:val="false"/>
                <w:iCs w:val="false"/>
                <w:color w:val="000000"/>
                <w:sz w:val="17"/>
                <w:szCs w:val="17"/>
              </w:rPr>
              <w:t xml:space="preserve">less investment income earned on the temporary investment of those borrowings.</w:t>
            </w:r>
            <w:r>
              <w:rPr>
                <w:rFonts w:ascii="Arial" w:cs="Arial" w:eastAsia="Arial" w:hAnsi="Arial"/>
                <w:b w:val="false"/>
                <w:bCs w:val="false"/>
                <w:i w:val="false"/>
                <w:iCs w:val="false"/>
                <w:color w:val="000000"/>
                <w:sz w:val="17"/>
                <w:szCs w:val="17"/>
              </w:rPr>
              <w:t xml:space="preserve"> This is exactly the R1.2bn facility and the short-term deposits. Be able to compute it for a given drawdown and deposit profile.</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General borrowings and the weighted average capitalisation rate, in case group facilities also fund the project.</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The grid connection point:</w:t>
            </w:r>
            <w:r>
              <w:rPr>
                <w:rFonts w:ascii="Arial" w:cs="Arial" w:eastAsia="Arial" w:hAnsi="Arial"/>
                <w:b w:val="false"/>
                <w:bCs w:val="false"/>
                <w:i w:val="false"/>
                <w:iCs w:val="false"/>
                <w:color w:val="000000"/>
                <w:sz w:val="17"/>
                <w:szCs w:val="17"/>
              </w:rPr>
              <w:t xml:space="preserve"> if the building is physically complete but cannot operate while awaiting connection, does capitalisation cease? Consider the phased bring-into-service, and whether parts capable of being used independently should be treated separately.</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Componentisation, and the date depreciation starts — when the asset is available for use, not when revenue starts.</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Tax:</w:t>
            </w:r>
            <w:r>
              <w:rPr>
                <w:rFonts w:ascii="Arial" w:cs="Arial" w:eastAsia="Arial" w:hAnsi="Arial"/>
                <w:b w:val="false"/>
                <w:bCs w:val="false"/>
                <w:i w:val="false"/>
                <w:iCs w:val="false"/>
                <w:color w:val="000000"/>
                <w:sz w:val="17"/>
                <w:szCs w:val="17"/>
              </w:rPr>
              <w:t xml:space="preserve"> the interest deduction under section 24J, which does not follow the accounting treatment; the section 23M limitation; and capital allowances — section 13quin on the building and section 11(e) wear and tear on equipment. Decide, and be able to defend, whether a data centre is a “process of manufacture” for section 12C.</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Audit:</w:t>
            </w:r>
            <w:r>
              <w:rPr>
                <w:rFonts w:ascii="Arial" w:cs="Arial" w:eastAsia="Arial" w:hAnsi="Arial"/>
                <w:b w:val="false"/>
                <w:bCs w:val="false"/>
                <w:i w:val="false"/>
                <w:iCs w:val="false"/>
                <w:color w:val="000000"/>
                <w:sz w:val="17"/>
                <w:szCs w:val="17"/>
              </w:rPr>
              <w:t xml:space="preserve"> existence and valuation of assets under construction, capitalisation of costs, classification, and cut-off at bring-into-service.</w:t>
            </w:r>
          </w:p>
        </w:tc>
      </w:tr>
      <w:tr>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0000"/>
                <w:sz w:val="17"/>
                <w:szCs w:val="17"/>
              </w:rPr>
              <w:t xml:space="preserve">5. Delivery team scorecard</w:t>
            </w:r>
          </w:p>
          <w:p>
            <w:pPr>
              <w:keepNext w:val="false"/>
              <w:spacing w:after="0" w:before="0" w:line="250" w:lineRule="auto"/>
            </w:pPr>
            <w:r>
              <w:rPr>
                <w:rFonts w:ascii="Arial" w:cs="Arial" w:eastAsia="Arial" w:hAnsi="Arial"/>
                <w:b w:val="false"/>
                <w:bCs w:val="false"/>
                <w:i w:val="false"/>
                <w:iCs w:val="false"/>
                <w:color w:val="000000"/>
                <w:sz w:val="17"/>
                <w:szCs w:val="17"/>
              </w:rPr>
              <w:t xml:space="preserve">Doc 6, page 17</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Review each of the five measures against the standard tests: specific, measurable, </w:t>
            </w:r>
            <w:r>
              <w:rPr>
                <w:rFonts w:ascii="Arial" w:cs="Arial" w:eastAsia="Arial" w:hAnsi="Arial"/>
                <w:b/>
                <w:bCs/>
                <w:i w:val="false"/>
                <w:iCs w:val="false"/>
                <w:color w:val="000000"/>
                <w:sz w:val="17"/>
                <w:szCs w:val="17"/>
              </w:rPr>
              <w:t xml:space="preserve">controllable by the person being measured</w:t>
            </w:r>
            <w:r>
              <w:rPr>
                <w:rFonts w:ascii="Arial" w:cs="Arial" w:eastAsia="Arial" w:hAnsi="Arial"/>
                <w:b w:val="false"/>
                <w:bCs w:val="false"/>
                <w:i w:val="false"/>
                <w:iCs w:val="false"/>
                <w:color w:val="000000"/>
                <w:sz w:val="17"/>
                <w:szCs w:val="17"/>
              </w:rPr>
              <w:t xml:space="preserve">, aligned to strategy, and balanced as a set.</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Net interest not capitalised:</w:t>
            </w:r>
            <w:r>
              <w:rPr>
                <w:rFonts w:ascii="Arial" w:cs="Arial" w:eastAsia="Arial" w:hAnsi="Arial"/>
                <w:b w:val="false"/>
                <w:bCs w:val="false"/>
                <w:i w:val="false"/>
                <w:iCs w:val="false"/>
                <w:color w:val="000000"/>
                <w:sz w:val="17"/>
                <w:szCs w:val="17"/>
              </w:rPr>
              <w:t xml:space="preserve"> the team controls drawdown timing but not the rate spread between the facility and the deposits. The perverse incentive is to delay drawdowns, which could starve contractors, breach payment terms, delay the programme or trigger penalties.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Tension within the set: drawdown efficiency pulls against “capacity delivered against programme” and “milestones achieved”.</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Accountability mismatch: Group Treasury negotiates the facility and its terms, but the delivery team is measured on a number those terms partly drive.</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What is missing from the set: quality and commissioning, customer readiness, environmental compliance, contractor performance, and anything about the grid connection — which the pack itself says is critical.</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Weightings, targets, thresholds, the data source, and who verifies the outcome.</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Be ready to recommend replacement or additional measures, each with a short reason.</w:t>
            </w:r>
            <w:r>
              <w:rPr>
                <w:rFonts w:ascii="Arial" w:cs="Arial" w:eastAsia="Arial" w:hAnsi="Arial"/>
                <w:b w:val="false"/>
                <w:bCs w:val="false"/>
                <w:i w:val="false"/>
                <w:iCs w:val="false"/>
                <w:color w:val="000000"/>
                <w:sz w:val="17"/>
                <w:szCs w:val="17"/>
              </w:rPr>
              <w:t xml:space="preserve"> Practise this — it is the same task shape as the Diamante remuneration KPI task.</w:t>
            </w:r>
          </w:p>
        </w:tc>
      </w:tr>
      <w:tr>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0000"/>
                <w:sz w:val="17"/>
                <w:szCs w:val="17"/>
              </w:rPr>
              <w:t xml:space="preserve">6. Investment appraisal and project cost of capital</w:t>
            </w:r>
          </w:p>
          <w:p>
            <w:pPr>
              <w:keepNext w:val="false"/>
              <w:spacing w:after="0" w:before="0" w:line="250" w:lineRule="auto"/>
            </w:pPr>
            <w:r>
              <w:rPr>
                <w:rFonts w:ascii="Arial" w:cs="Arial" w:eastAsia="Arial" w:hAnsi="Arial"/>
                <w:b w:val="false"/>
                <w:bCs w:val="false"/>
                <w:i w:val="false"/>
                <w:iCs w:val="false"/>
                <w:color w:val="000000"/>
                <w:sz w:val="17"/>
                <w:szCs w:val="17"/>
              </w:rPr>
              <w:t xml:space="preserve">Doc 3, page 8</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Know the three-stage process and what belongs in each stage.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Keep the cash flows and the discount rate on the same basis.</w:t>
            </w:r>
            <w:r>
              <w:rPr>
                <w:rFonts w:ascii="Arial" w:cs="Arial" w:eastAsia="Arial" w:hAnsi="Arial"/>
                <w:b w:val="false"/>
                <w:bCs w:val="false"/>
                <w:i w:val="false"/>
                <w:iCs w:val="false"/>
                <w:color w:val="000000"/>
                <w:sz w:val="17"/>
                <w:szCs w:val="17"/>
              </w:rPr>
              <w:t xml:space="preserve"> The pack specifies incremental pre-tax cash flows and a pre-tax NPV, so the rate must be pre-tax. Be able to explain why mixing them is wrong, how to convert a post-tax rate to a pre-tax one, and the limits of doing so.</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Relevant cash flows:</w:t>
            </w:r>
            <w:r>
              <w:rPr>
                <w:rFonts w:ascii="Arial" w:cs="Arial" w:eastAsia="Arial" w:hAnsi="Arial"/>
                <w:b w:val="false"/>
                <w:bCs w:val="false"/>
                <w:i w:val="false"/>
                <w:iCs w:val="false"/>
                <w:color w:val="000000"/>
                <w:sz w:val="17"/>
                <w:szCs w:val="17"/>
              </w:rPr>
              <w:t xml:space="preserve"> incremental only. Exclude sunk costs, allocated overheads and depreciation. Include opportunity costs and working capital movements. State explicitly what is in, what is out, and why.</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The full beta chain:</w:t>
            </w:r>
            <w:r>
              <w:rPr>
                <w:rFonts w:ascii="Arial" w:cs="Arial" w:eastAsia="Arial" w:hAnsi="Arial"/>
                <w:b w:val="false"/>
                <w:bCs w:val="false"/>
                <w:i w:val="false"/>
                <w:iCs w:val="false"/>
                <w:color w:val="000000"/>
                <w:sz w:val="17"/>
                <w:szCs w:val="17"/>
              </w:rPr>
              <w:t xml:space="preserve"> comparable company equity beta → ungear to an asset beta → regear to the project’s capital structure → CAPM cost of equity → project WACC. Know the ungearing and regearing formulas with and without tax, and be able to do both.</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Sensitivity and scenario analysis. The variables that matter here: utilisation ramp-up, electricity tariff, capital cost per MW, contract length and escalation rates.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Payback, discounted payback, IRR and the profitability index under capital rationing — and when IRR misleads.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Terminal value and project life for an asset with a 15 to 20 year life.</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What “project-specific” funding means in practice: ring-fencing, security, guarantees and covenants — and the pack’s own warning that project-level funding does not necessarily transfer risk away from Axion.</w:t>
            </w:r>
          </w:p>
        </w:tc>
      </w:tr>
      <w:tr>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0000"/>
                <w:sz w:val="17"/>
                <w:szCs w:val="17"/>
              </w:rPr>
              <w:t xml:space="preserve">7. Funding options and ownership</w:t>
            </w:r>
          </w:p>
          <w:p>
            <w:pPr>
              <w:keepNext w:val="false"/>
              <w:spacing w:after="0" w:before="0" w:line="250" w:lineRule="auto"/>
            </w:pPr>
            <w:r>
              <w:rPr>
                <w:rFonts w:ascii="Arial" w:cs="Arial" w:eastAsia="Arial" w:hAnsi="Arial"/>
                <w:b w:val="false"/>
                <w:bCs w:val="false"/>
                <w:i w:val="false"/>
                <w:iCs w:val="false"/>
                <w:color w:val="000000"/>
                <w:sz w:val="17"/>
                <w:szCs w:val="17"/>
              </w:rPr>
              <w:t xml:space="preserve">Docs 3 and 4</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three options: additional debt; investment from existing shareholders; investment from a new strategic investor. Evaluate each using </w:t>
            </w:r>
            <w:r>
              <w:rPr>
                <w:rFonts w:ascii="Arial" w:cs="Arial" w:eastAsia="Arial" w:hAnsi="Arial"/>
                <w:b/>
                <w:bCs/>
                <w:i w:val="false"/>
                <w:iCs w:val="false"/>
                <w:color w:val="000000"/>
                <w:sz w:val="17"/>
                <w:szCs w:val="17"/>
              </w:rPr>
              <w:t xml:space="preserve">FRICTO</w:t>
            </w:r>
            <w:r>
              <w:rPr>
                <w:rFonts w:ascii="Arial" w:cs="Arial" w:eastAsia="Arial" w:hAnsi="Arial"/>
                <w:b w:val="false"/>
                <w:bCs w:val="false"/>
                <w:i w:val="false"/>
                <w:iCs w:val="false"/>
                <w:color w:val="000000"/>
                <w:sz w:val="17"/>
                <w:szCs w:val="17"/>
              </w:rPr>
              <w:t xml:space="preserve"> — flexibility, risk, income and cost, control, timing, other.</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Calculate the debt capacity.</w:t>
            </w:r>
            <w:r>
              <w:rPr>
                <w:rFonts w:ascii="Arial" w:cs="Arial" w:eastAsia="Arial" w:hAnsi="Arial"/>
                <w:b w:val="false"/>
                <w:bCs w:val="false"/>
                <w:i w:val="false"/>
                <w:iCs w:val="false"/>
                <w:color w:val="000000"/>
                <w:sz w:val="17"/>
                <w:szCs w:val="17"/>
              </w:rPr>
              <w:t xml:space="preserve"> Borrowings are R4 850m against EBITDA of R1 116m and equity of R5 400m. Work out how much more debt the business could carry at a given covenant level, and therefore how much of the R3–5bn must be equity. This is the central commercial calculation in the case.</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Covenants: net debt to EBITDA, interest cover, debt service cover. What happens on breach, and the IAS 1 consequence of classifying borrowings as current where a covenant is tested at or shortly after the reporting date.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Model the dilution.</w:t>
            </w:r>
            <w:r>
              <w:rPr>
                <w:rFonts w:ascii="Arial" w:cs="Arial" w:eastAsia="Arial" w:hAnsi="Arial"/>
                <w:b w:val="false"/>
                <w:bCs w:val="false"/>
                <w:i w:val="false"/>
                <w:iCs w:val="false"/>
                <w:color w:val="000000"/>
                <w:sz w:val="17"/>
                <w:szCs w:val="17"/>
              </w:rPr>
              <w:t xml:space="preserve"> Who falls below which threshold if a new investor takes 10%, 20% or 25%? The founders hold 25% combined and Ubuntu 35%. Consider the 75% special resolution and 50% ordinary resolution thresholds, and the director nomination rights in the shareholders’ agreement.</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B-BBEE:</w:t>
            </w:r>
            <w:r>
              <w:rPr>
                <w:rFonts w:ascii="Arial" w:cs="Arial" w:eastAsia="Arial" w:hAnsi="Arial"/>
                <w:b w:val="false"/>
                <w:bCs w:val="false"/>
                <w:i w:val="false"/>
                <w:iCs w:val="false"/>
                <w:color w:val="000000"/>
                <w:sz w:val="17"/>
                <w:szCs w:val="17"/>
              </w:rPr>
              <w:t xml:space="preserve"> the Employee &amp; Empowerment Trust holds 10%. Dilution reduces the ownership score, which matters to customers who are SA banks, retailers and telcos with their own procurement scorecards. This is a real commercial cost, not a technicality.</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Companies Act:</w:t>
            </w:r>
            <w:r>
              <w:rPr>
                <w:rFonts w:ascii="Arial" w:cs="Arial" w:eastAsia="Arial" w:hAnsi="Arial"/>
                <w:b w:val="false"/>
                <w:bCs w:val="false"/>
                <w:i w:val="false"/>
                <w:iCs w:val="false"/>
                <w:color w:val="000000"/>
                <w:sz w:val="17"/>
                <w:szCs w:val="17"/>
              </w:rPr>
              <w:t xml:space="preserve"> sections 38 and 40 on the issue of shares; section 41 shareholder approval; pre-emptive rights in the MOI and the shareholders’ agreement; and sections 44 and 45 if funding flows to a subsidiary or project company.</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Accounting:</w:t>
            </w:r>
            <w:r>
              <w:rPr>
                <w:rFonts w:ascii="Arial" w:cs="Arial" w:eastAsia="Arial" w:hAnsi="Arial"/>
                <w:b w:val="false"/>
                <w:bCs w:val="false"/>
                <w:i w:val="false"/>
                <w:iCs w:val="false"/>
                <w:color w:val="000000"/>
                <w:sz w:val="17"/>
                <w:szCs w:val="17"/>
              </w:rPr>
              <w:t xml:space="preserve"> IAS 32 debt against equity classification, compound instruments, preference shares and shareholder loans; IFRS 9 for the debt itself.</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Tax:</w:t>
            </w:r>
            <w:r>
              <w:rPr>
                <w:rFonts w:ascii="Arial" w:cs="Arial" w:eastAsia="Arial" w:hAnsi="Arial"/>
                <w:b w:val="false"/>
                <w:bCs w:val="false"/>
                <w:i w:val="false"/>
                <w:iCs w:val="false"/>
                <w:color w:val="000000"/>
                <w:sz w:val="17"/>
                <w:szCs w:val="17"/>
              </w:rPr>
              <w:t xml:space="preserve"> section 23M interest limitation; sections 8F and 8FA hybrid instruments; section 24BA if shares are issued for assets; dividends tax. No securities transfer tax arises on an issue of shares.</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If the strategic investor is a trade investor such as a hyperscaler or a power company: competition law, conflicts with existing customers, information rights and board influence.</w:t>
            </w:r>
          </w:p>
        </w:tc>
      </w:tr>
      <w:tr>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0000"/>
                <w:sz w:val="17"/>
                <w:szCs w:val="17"/>
              </w:rPr>
              <w:t xml:space="preserve">8. Renewable electricity options</w:t>
            </w:r>
          </w:p>
          <w:p>
            <w:pPr>
              <w:keepNext w:val="false"/>
              <w:spacing w:after="0" w:before="0" w:line="250" w:lineRule="auto"/>
            </w:pPr>
            <w:r>
              <w:rPr>
                <w:rFonts w:ascii="Arial" w:cs="Arial" w:eastAsia="Arial" w:hAnsi="Arial"/>
                <w:b w:val="false"/>
                <w:bCs w:val="false"/>
                <w:i w:val="false"/>
                <w:iCs w:val="false"/>
                <w:color w:val="000000"/>
                <w:sz w:val="17"/>
                <w:szCs w:val="17"/>
              </w:rPr>
              <w:t xml:space="preserve">Doc 7, page 20</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Compare the three routes on cost, capital, control, risk and flexibility: more PPAs; direct investment in generation with a technical partner; off-site generation with wheeling. </w:t>
            </w:r>
            <w:r>
              <w:rPr>
                <w:rFonts w:ascii="Arial" w:cs="Arial" w:eastAsia="Arial" w:hAnsi="Arial"/>
                <w:b/>
                <w:bCs/>
                <w:i w:val="false"/>
                <w:iCs w:val="false"/>
                <w:color w:val="000000"/>
                <w:sz w:val="17"/>
                <w:szCs w:val="17"/>
              </w:rPr>
              <w:t xml:space="preserve">Treat it as a make-or-buy decision</w:t>
            </w:r>
            <w:r>
              <w:rPr>
                <w:rFonts w:ascii="Arial" w:cs="Arial" w:eastAsia="Arial" w:hAnsi="Arial"/>
                <w:b w:val="false"/>
                <w:bCs w:val="false"/>
                <w:i w:val="false"/>
                <w:iCs w:val="false"/>
                <w:color w:val="000000"/>
                <w:sz w:val="17"/>
                <w:szCs w:val="17"/>
              </w:rPr>
              <w:t xml:space="preserve"> and build the relevant cost comparison per kWh, including capital.</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PPA accounting.</w:t>
            </w:r>
            <w:r>
              <w:rPr>
                <w:rFonts w:ascii="Arial" w:cs="Arial" w:eastAsia="Arial" w:hAnsi="Arial"/>
                <w:b w:val="false"/>
                <w:bCs w:val="false"/>
                <w:i w:val="false"/>
                <w:iCs w:val="false"/>
                <w:color w:val="000000"/>
                <w:sz w:val="17"/>
                <w:szCs w:val="17"/>
              </w:rPr>
              <w:t xml:space="preserve"> Does the contract contain a </w:t>
            </w:r>
            <w:r>
              <w:rPr>
                <w:rFonts w:ascii="Arial" w:cs="Arial" w:eastAsia="Arial" w:hAnsi="Arial"/>
                <w:b/>
                <w:bCs/>
                <w:i w:val="false"/>
                <w:iCs w:val="false"/>
                <w:color w:val="000000"/>
                <w:sz w:val="17"/>
                <w:szCs w:val="17"/>
              </w:rPr>
              <w:t xml:space="preserve">lease</w:t>
            </w:r>
            <w:r>
              <w:rPr>
                <w:rFonts w:ascii="Arial" w:cs="Arial" w:eastAsia="Arial" w:hAnsi="Arial"/>
                <w:b w:val="false"/>
                <w:bCs w:val="false"/>
                <w:i w:val="false"/>
                <w:iCs w:val="false"/>
                <w:color w:val="000000"/>
                <w:sz w:val="17"/>
                <w:szCs w:val="17"/>
              </w:rPr>
              <w:t xml:space="preserve"> under IFRS 16 — an identified generation asset, the right to substantially all the output, the right to direct its use? If not a lease, is it a </w:t>
            </w:r>
            <w:r>
              <w:rPr>
                <w:rFonts w:ascii="Arial" w:cs="Arial" w:eastAsia="Arial" w:hAnsi="Arial"/>
                <w:b/>
                <w:bCs/>
                <w:i w:val="false"/>
                <w:iCs w:val="false"/>
                <w:color w:val="000000"/>
                <w:sz w:val="17"/>
                <w:szCs w:val="17"/>
              </w:rPr>
              <w:t xml:space="preserve">derivative</w:t>
            </w:r>
            <w:r>
              <w:rPr>
                <w:rFonts w:ascii="Arial" w:cs="Arial" w:eastAsia="Arial" w:hAnsi="Arial"/>
                <w:b w:val="false"/>
                <w:bCs w:val="false"/>
                <w:i w:val="false"/>
                <w:iCs w:val="false"/>
                <w:color w:val="000000"/>
                <w:sz w:val="17"/>
                <w:szCs w:val="17"/>
              </w:rPr>
              <w:t xml:space="preserve"> under IFRS 9, and does the own-use exemption apply? Know the difference between a physical PPA and a virtual or financial PPA, and how take-or-pay and capacity payments are treated.</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If Axion invests directly with a partner:</w:t>
            </w:r>
            <w:r>
              <w:rPr>
                <w:rFonts w:ascii="Arial" w:cs="Arial" w:eastAsia="Arial" w:hAnsi="Arial"/>
                <w:b w:val="false"/>
                <w:bCs w:val="false"/>
                <w:i w:val="false"/>
                <w:iCs w:val="false"/>
                <w:color w:val="000000"/>
                <w:sz w:val="17"/>
                <w:szCs w:val="17"/>
              </w:rPr>
              <w:t xml:space="preserve"> work the decision tree — control under IFRS 10, joint control under IFRS 11 (joint operation against joint venture), or significant influence under IAS 28. Know which facts decide it and the accounting consequence of each. This was tested directly in the August paper.</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Wheeling:</w:t>
            </w:r>
            <w:r>
              <w:rPr>
                <w:rFonts w:ascii="Arial" w:cs="Arial" w:eastAsia="Arial" w:hAnsi="Arial"/>
                <w:b w:val="false"/>
                <w:bCs w:val="false"/>
                <w:i w:val="false"/>
                <w:iCs w:val="false"/>
                <w:color w:val="000000"/>
                <w:sz w:val="17"/>
                <w:szCs w:val="17"/>
              </w:rPr>
              <w:t xml:space="preserve"> network and wheeling charges, transmission losses, curtailment, and electricity generated but not used — who bears each risk, and how each is accounted for.</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Long-term offtake agreements:</w:t>
            </w:r>
            <w:r>
              <w:rPr>
                <w:rFonts w:ascii="Arial" w:cs="Arial" w:eastAsia="Arial" w:hAnsi="Arial"/>
                <w:b w:val="false"/>
                <w:bCs w:val="false"/>
                <w:i w:val="false"/>
                <w:iCs w:val="false"/>
                <w:color w:val="000000"/>
                <w:sz w:val="17"/>
                <w:szCs w:val="17"/>
              </w:rPr>
              <w:t xml:space="preserve"> the benefits and risks set out in the pack, plus single-customer dependence, escalation terms running for many years, and purchase commitments starting before a facility is fully utilised — which is an onerous contract risk under IAS 37.</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Decommissioning and rehabilitation obligations for generation assets under IAS 37 and IFRIC 1.</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Regulation:</w:t>
            </w:r>
            <w:r>
              <w:rPr>
                <w:rFonts w:ascii="Arial" w:cs="Arial" w:eastAsia="Arial" w:hAnsi="Arial"/>
                <w:b w:val="false"/>
                <w:bCs w:val="false"/>
                <w:i w:val="false"/>
                <w:iCs w:val="false"/>
                <w:color w:val="000000"/>
                <w:sz w:val="17"/>
                <w:szCs w:val="17"/>
              </w:rPr>
              <w:t xml:space="preserve"> NERSA registration or licensing for generation and for wheeling; the Electricity Regulation Act; municipal wheeling frameworks; and grid connection agreements.</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Remember the pack’s closing point — renewable generation does </w:t>
            </w:r>
            <w:r>
              <w:rPr>
                <w:rFonts w:ascii="Arial" w:cs="Arial" w:eastAsia="Arial" w:hAnsi="Arial"/>
                <w:b/>
                <w:bCs/>
                <w:i w:val="false"/>
                <w:iCs w:val="false"/>
                <w:color w:val="000000"/>
                <w:sz w:val="17"/>
                <w:szCs w:val="17"/>
              </w:rPr>
              <w:t xml:space="preserve">not</w:t>
            </w:r>
            <w:r>
              <w:rPr>
                <w:rFonts w:ascii="Arial" w:cs="Arial" w:eastAsia="Arial" w:hAnsi="Arial"/>
                <w:b w:val="false"/>
                <w:bCs w:val="false"/>
                <w:i w:val="false"/>
                <w:iCs w:val="false"/>
                <w:color w:val="000000"/>
                <w:sz w:val="17"/>
                <w:szCs w:val="17"/>
              </w:rPr>
              <w:t xml:space="preserve"> remove the need for grid connections, UPS, batteries and backup generation. Any option must be costed on top of the existing resilience infrastructure, not instead of it.</w:t>
            </w:r>
          </w:p>
        </w:tc>
      </w:tr>
      <w:tr>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0000"/>
                <w:sz w:val="17"/>
                <w:szCs w:val="17"/>
              </w:rPr>
              <w:t xml:space="preserve">9. Renewable energy tax allowances</w:t>
            </w:r>
          </w:p>
          <w:p>
            <w:pPr>
              <w:keepNext w:val="false"/>
              <w:spacing w:after="0" w:before="0" w:line="250" w:lineRule="auto"/>
            </w:pPr>
            <w:r>
              <w:rPr>
                <w:rFonts w:ascii="Arial" w:cs="Arial" w:eastAsia="Arial" w:hAnsi="Arial"/>
                <w:b w:val="false"/>
                <w:bCs w:val="false"/>
                <w:i w:val="false"/>
                <w:iCs w:val="false"/>
                <w:color w:val="000000"/>
                <w:sz w:val="17"/>
                <w:szCs w:val="17"/>
              </w:rPr>
              <w:t xml:space="preserve">Doc 7, page 18 — hyperlinked by the CFO</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Read the SARS guide the CFO linked to.</w:t>
            </w:r>
            <w:r>
              <w:rPr>
                <w:rFonts w:ascii="Arial" w:cs="Arial" w:eastAsia="Arial" w:hAnsi="Arial"/>
                <w:b w:val="false"/>
                <w:bCs w:val="false"/>
                <w:i w:val="false"/>
                <w:iCs w:val="false"/>
                <w:color w:val="000000"/>
                <w:sz w:val="17"/>
                <w:szCs w:val="17"/>
              </w:rPr>
              <w:t xml:space="preserve"> It covers sections 12B, 12BA and 12U of the Income Tax Act. A named, hyperlinked source in a pre-release is always examined.</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Section 12B:</w:t>
            </w:r>
            <w:r>
              <w:rPr>
                <w:rFonts w:ascii="Arial" w:cs="Arial" w:eastAsia="Arial" w:hAnsi="Arial"/>
                <w:b w:val="false"/>
                <w:bCs w:val="false"/>
                <w:i w:val="false"/>
                <w:iCs w:val="false"/>
                <w:color w:val="000000"/>
                <w:sz w:val="17"/>
                <w:szCs w:val="17"/>
              </w:rPr>
              <w:t xml:space="preserve"> the allowance for machinery, plant, implements, utensils and articles used in the generation of electricity from wind, sunlight, water and biomass. Know the 50/30/20 split over three years, and the 100% first-year write-off for solar photovoltaic generation not exceeding one megawatt.</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Section 12BA:</w:t>
            </w:r>
            <w:r>
              <w:rPr>
                <w:rFonts w:ascii="Arial" w:cs="Arial" w:eastAsia="Arial" w:hAnsi="Arial"/>
                <w:b w:val="false"/>
                <w:bCs w:val="false"/>
                <w:i w:val="false"/>
                <w:iCs w:val="false"/>
                <w:color w:val="000000"/>
                <w:sz w:val="17"/>
                <w:szCs w:val="17"/>
              </w:rPr>
              <w:t xml:space="preserve"> the temporary enhanced 125% allowance in the year the asset is brought into use, for new and unused renewable energy assets brought into use </w:t>
            </w:r>
            <w:r>
              <w:rPr>
                <w:rFonts w:ascii="Arial" w:cs="Arial" w:eastAsia="Arial" w:hAnsi="Arial"/>
                <w:b/>
                <w:bCs/>
                <w:i w:val="false"/>
                <w:iCs w:val="false"/>
                <w:color w:val="000000"/>
                <w:sz w:val="17"/>
                <w:szCs w:val="17"/>
              </w:rPr>
              <w:t xml:space="preserve">between 1 March 2023 and 28 February 2025.</w:t>
            </w:r>
            <w:r>
              <w:rPr>
                <w:rFonts w:ascii="Arial" w:cs="Arial" w:eastAsia="Arial" w:hAnsi="Arial"/>
                <w:b w:val="false"/>
                <w:bCs w:val="false"/>
                <w:i w:val="false"/>
                <w:iCs w:val="false"/>
                <w:color w:val="000000"/>
                <w:sz w:val="17"/>
                <w:szCs w:val="17"/>
              </w:rPr>
              <w:t xml:space="preserve"> </w:t>
            </w:r>
            <w:r>
              <w:rPr>
                <w:rFonts w:ascii="Arial" w:cs="Arial" w:eastAsia="Arial" w:hAnsi="Arial"/>
                <w:b/>
                <w:bCs/>
                <w:i w:val="false"/>
                <w:iCs w:val="false"/>
                <w:color w:val="000000"/>
                <w:sz w:val="17"/>
                <w:szCs w:val="17"/>
              </w:rPr>
              <w:t xml:space="preserve">That window has closed</w:t>
            </w:r>
            <w:r>
              <w:rPr>
                <w:rFonts w:ascii="Arial" w:cs="Arial" w:eastAsia="Arial" w:hAnsi="Arial"/>
                <w:b w:val="false"/>
                <w:bCs w:val="false"/>
                <w:i w:val="false"/>
                <w:iCs w:val="false"/>
                <w:color w:val="000000"/>
                <w:sz w:val="17"/>
                <w:szCs w:val="17"/>
              </w:rPr>
              <w:t xml:space="preserve"> — be ready to say so rather than claim the allowance.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Section 12U:</w:t>
            </w:r>
            <w:r>
              <w:rPr>
                <w:rFonts w:ascii="Arial" w:cs="Arial" w:eastAsia="Arial" w:hAnsi="Arial"/>
                <w:b w:val="false"/>
                <w:bCs w:val="false"/>
                <w:i w:val="false"/>
                <w:iCs w:val="false"/>
                <w:color w:val="000000"/>
                <w:sz w:val="17"/>
                <w:szCs w:val="17"/>
              </w:rPr>
              <w:t xml:space="preserve"> the deduction for supporting infrastructure — roads, fences, transmission lines and substations — for qualifying renewable projects above the stated generation threshold.</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The conditions in every case:</w:t>
            </w:r>
            <w:r>
              <w:rPr>
                <w:rFonts w:ascii="Arial" w:cs="Arial" w:eastAsia="Arial" w:hAnsi="Arial"/>
                <w:b w:val="false"/>
                <w:bCs w:val="false"/>
                <w:i w:val="false"/>
                <w:iCs w:val="false"/>
                <w:color w:val="000000"/>
                <w:sz w:val="17"/>
                <w:szCs w:val="17"/>
              </w:rPr>
              <w:t xml:space="preserve"> owned by the taxpayer, brought into use, used in the production of income, in the carrying on of a trade.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Who claims the allowance</w:t>
            </w:r>
            <w:r>
              <w:rPr>
                <w:rFonts w:ascii="Arial" w:cs="Arial" w:eastAsia="Arial" w:hAnsi="Arial"/>
                <w:b w:val="false"/>
                <w:bCs w:val="false"/>
                <w:i w:val="false"/>
                <w:iCs w:val="false"/>
                <w:color w:val="000000"/>
                <w:sz w:val="17"/>
                <w:szCs w:val="17"/>
              </w:rPr>
              <w:t xml:space="preserve"> if the plant sits in a project company or a joint arrangement? It follows the owner who brings it into use. Be clear about which entity gets what, because this interacts directly with trigger 8.</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Recoupment on disposal under section 8(4)(a), capital gains tax, and how they interact with allowances already claimed.</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Also: section 23M interest limitation on project debt; section 24J; VAT on electricity and on construction; and carbon tax exposure.</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Be able to compute</w:t>
            </w:r>
            <w:r>
              <w:rPr>
                <w:rFonts w:ascii="Arial" w:cs="Arial" w:eastAsia="Arial" w:hAnsi="Arial"/>
                <w:b w:val="false"/>
                <w:bCs w:val="false"/>
                <w:i w:val="false"/>
                <w:iCs w:val="false"/>
                <w:color w:val="000000"/>
                <w:sz w:val="17"/>
                <w:szCs w:val="17"/>
              </w:rPr>
              <w:t xml:space="preserve"> the tax effect of a given project over its first three years, and to show it in both a pre-tax and a post-tax NPV.</w:t>
            </w:r>
          </w:p>
        </w:tc>
      </w:tr>
      <w:tr>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0000"/>
                <w:sz w:val="17"/>
                <w:szCs w:val="17"/>
              </w:rPr>
              <w:t xml:space="preserve">10. AI maintenance tool — controls and assurance</w:t>
            </w:r>
          </w:p>
          <w:p>
            <w:pPr>
              <w:keepNext w:val="false"/>
              <w:spacing w:after="0" w:before="0" w:line="250" w:lineRule="auto"/>
            </w:pPr>
            <w:r>
              <w:rPr>
                <w:rFonts w:ascii="Arial" w:cs="Arial" w:eastAsia="Arial" w:hAnsi="Arial"/>
                <w:b w:val="false"/>
                <w:bCs w:val="false"/>
                <w:i w:val="false"/>
                <w:iCs w:val="false"/>
                <w:color w:val="000000"/>
                <w:sz w:val="17"/>
                <w:szCs w:val="17"/>
              </w:rPr>
              <w:t xml:space="preserve">Doc 7, page 19</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Map the process end to end:</w:t>
            </w:r>
            <w:r>
              <w:rPr>
                <w:rFonts w:ascii="Arial" w:cs="Arial" w:eastAsia="Arial" w:hAnsi="Arial"/>
                <w:b w:val="false"/>
                <w:bCs w:val="false"/>
                <w:i w:val="false"/>
                <w:iCs w:val="false"/>
                <w:color w:val="000000"/>
                <w:sz w:val="17"/>
                <w:szCs w:val="17"/>
              </w:rPr>
              <w:t xml:space="preserve"> sensor data capture → transfer and storage → the model → the output (a prioritised maintenance list) → human review → work order → maintenance performed → outcome fed back to the model.</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Risks to prepare:</w:t>
            </w:r>
            <w:r>
              <w:rPr>
                <w:rFonts w:ascii="Arial" w:cs="Arial" w:eastAsia="Arial" w:hAnsi="Arial"/>
                <w:b w:val="false"/>
                <w:bCs w:val="false"/>
                <w:i w:val="false"/>
                <w:iCs w:val="false"/>
                <w:color w:val="000000"/>
                <w:sz w:val="17"/>
                <w:szCs w:val="17"/>
              </w:rPr>
              <w:t xml:space="preserve"> incomplete or inaccurate sensor data; data from one site not being representative of others; model drift over time; </w:t>
            </w:r>
            <w:r>
              <w:rPr>
                <w:rFonts w:ascii="Arial" w:cs="Arial" w:eastAsia="Arial" w:hAnsi="Arial"/>
                <w:b/>
                <w:bCs/>
                <w:i w:val="false"/>
                <w:iCs w:val="false"/>
                <w:color w:val="000000"/>
                <w:sz w:val="17"/>
                <w:szCs w:val="17"/>
              </w:rPr>
              <w:t xml:space="preserve">false negatives</w:t>
            </w:r>
            <w:r>
              <w:rPr>
                <w:rFonts w:ascii="Arial" w:cs="Arial" w:eastAsia="Arial" w:hAnsi="Arial"/>
                <w:b w:val="false"/>
                <w:bCs w:val="false"/>
                <w:i w:val="false"/>
                <w:iCs w:val="false"/>
                <w:color w:val="000000"/>
                <w:sz w:val="17"/>
                <w:szCs w:val="17"/>
              </w:rPr>
              <w:t xml:space="preserve"> — a failure missed, threatening the 99.999% commitment and triggering service level credits; </w:t>
            </w:r>
            <w:r>
              <w:rPr>
                <w:rFonts w:ascii="Arial" w:cs="Arial" w:eastAsia="Arial" w:hAnsi="Arial"/>
                <w:b/>
                <w:bCs/>
                <w:i w:val="false"/>
                <w:iCs w:val="false"/>
                <w:color w:val="000000"/>
                <w:sz w:val="17"/>
                <w:szCs w:val="17"/>
              </w:rPr>
              <w:t xml:space="preserve">false positives</w:t>
            </w:r>
            <w:r>
              <w:rPr>
                <w:rFonts w:ascii="Arial" w:cs="Arial" w:eastAsia="Arial" w:hAnsi="Arial"/>
                <w:b w:val="false"/>
                <w:bCs w:val="false"/>
                <w:i w:val="false"/>
                <w:iCs w:val="false"/>
                <w:color w:val="000000"/>
                <w:sz w:val="17"/>
                <w:szCs w:val="17"/>
              </w:rPr>
              <w:t xml:space="preserve"> — unnecessary maintenance cost and downtime; over-reliance on the tool; lack of explainability; unauthorised changes to the model or its parameters; vendor dependence; cyber security; POPIA if any personal data is processed.</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Controls to prepare:</w:t>
            </w:r>
            <w:r>
              <w:rPr>
                <w:rFonts w:ascii="Arial" w:cs="Arial" w:eastAsia="Arial" w:hAnsi="Arial"/>
                <w:b w:val="false"/>
                <w:bCs w:val="false"/>
                <w:i w:val="false"/>
                <w:iCs w:val="false"/>
                <w:color w:val="000000"/>
                <w:sz w:val="17"/>
                <w:szCs w:val="17"/>
              </w:rPr>
              <w:t xml:space="preserve"> data quality and completeness checks; model validation before use and periodic revalidation against actual failures; documented model governance with a named owner; human review and override, with the reviewer’s competence defined; access control and change management over the model and its parameters; an audit trail of outputs, overrides and outcomes; monitoring of performance; escalation for unexplained outputs; vendor due diligence and contractual assurance rights; and clear accountability for decisions.</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Measure every weakness against the standard Axion has already set itself</w:t>
            </w:r>
            <w:r>
              <w:rPr>
                <w:rFonts w:ascii="Arial" w:cs="Arial" w:eastAsia="Arial" w:hAnsi="Arial"/>
                <w:b w:val="false"/>
                <w:bCs w:val="false"/>
                <w:i w:val="false"/>
                <w:iCs w:val="false"/>
                <w:color w:val="000000"/>
                <w:sz w:val="17"/>
                <w:szCs w:val="17"/>
              </w:rPr>
              <w:t xml:space="preserve"> in Document 3: digital tools support analysis and calculation, they do not replace judgement, and outputs are reviewed and independently validated before use.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Assurance:</w:t>
            </w:r>
            <w:r>
              <w:rPr>
                <w:rFonts w:ascii="Arial" w:cs="Arial" w:eastAsia="Arial" w:hAnsi="Arial"/>
                <w:b w:val="false"/>
                <w:bCs w:val="false"/>
                <w:i w:val="false"/>
                <w:iCs w:val="false"/>
                <w:color w:val="000000"/>
                <w:sz w:val="17"/>
                <w:szCs w:val="17"/>
              </w:rPr>
              <w:t xml:space="preserve"> what an assurance engagement would actually involve. Reasonable against limited assurance; the subject matter and suitable criteria; who performs it — internal audit or an external practitioner; ISAE 3000 (Revised) for assurance engagements other than audits of historical financial information; and what the report would say.</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Governance:</w:t>
            </w:r>
            <w:r>
              <w:rPr>
                <w:rFonts w:ascii="Arial" w:cs="Arial" w:eastAsia="Arial" w:hAnsi="Arial"/>
                <w:b w:val="false"/>
                <w:bCs w:val="false"/>
                <w:i w:val="false"/>
                <w:iCs w:val="false"/>
                <w:color w:val="000000"/>
                <w:sz w:val="17"/>
                <w:szCs w:val="17"/>
              </w:rPr>
              <w:t xml:space="preserve"> King V on technology and information governance, risk governance and combined assurance, and the role of the Audit &amp; Risk Committee.</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Be ready either to identify weaknesses and recommend controls, or to set out what assurance could and could not be given and what would have to be in place first. Recommendations must be specific enough to act on — who does what, how often, and what happens on an exception.</w:t>
            </w:r>
          </w:p>
        </w:tc>
      </w:tr>
      <w:tr>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0000"/>
                <w:sz w:val="17"/>
                <w:szCs w:val="17"/>
              </w:rPr>
              <w:t xml:space="preserve">11. Metroloop joint venture</w:t>
            </w:r>
          </w:p>
          <w:p>
            <w:pPr>
              <w:keepNext w:val="false"/>
              <w:spacing w:after="0" w:before="0" w:line="250" w:lineRule="auto"/>
            </w:pPr>
            <w:r>
              <w:rPr>
                <w:rFonts w:ascii="Arial" w:cs="Arial" w:eastAsia="Arial" w:hAnsi="Arial"/>
                <w:b w:val="false"/>
                <w:bCs w:val="false"/>
                <w:i w:val="false"/>
                <w:iCs w:val="false"/>
                <w:color w:val="000000"/>
                <w:sz w:val="17"/>
                <w:szCs w:val="17"/>
              </w:rPr>
              <w:t xml:space="preserve">Doc 5, page 15</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Confirm the classification: joint control under IFRS 11 (a joint venture, equity accounted) against significant influence under IAS 28 (an associate, also equity accounted) against control. Know which facts decide it — the shareholders’ agreement and the decision-making rights.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Equity method mechanics: initial recognition; share of profit or loss and other comprehensive income; dividends reducing the carrying amount; losses limited to the interest; and impairment indicators and testing.</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Transactions between Axion and Metroloop.</w:t>
            </w:r>
            <w:r>
              <w:rPr>
                <w:rFonts w:ascii="Arial" w:cs="Arial" w:eastAsia="Arial" w:hAnsi="Arial"/>
                <w:b w:val="false"/>
                <w:bCs w:val="false"/>
                <w:i w:val="false"/>
                <w:iCs w:val="false"/>
                <w:color w:val="000000"/>
                <w:sz w:val="17"/>
                <w:szCs w:val="17"/>
              </w:rPr>
              <w:t xml:space="preserve"> Metroloop runs metro fibre serving carriers and enterprises in Gauteng, and Axion sells interconnection — so related-party transactions are likely. IAS 24 disclosure, and elimination of unrealised profits on upstream and downstream transactions.</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IFRS 18:</w:t>
            </w:r>
            <w:r>
              <w:rPr>
                <w:rFonts w:ascii="Arial" w:cs="Arial" w:eastAsia="Arial" w:hAnsi="Arial"/>
                <w:b w:val="false"/>
                <w:bCs w:val="false"/>
                <w:i w:val="false"/>
                <w:iCs w:val="false"/>
                <w:color w:val="000000"/>
                <w:sz w:val="17"/>
                <w:szCs w:val="17"/>
              </w:rPr>
              <w:t xml:space="preserve"> the share of profit of an equity-accounted investee is classified in the investing category and sits outside operating profit.</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Tax:</w:t>
            </w:r>
            <w:r>
              <w:rPr>
                <w:rFonts w:ascii="Arial" w:cs="Arial" w:eastAsia="Arial" w:hAnsi="Arial"/>
                <w:b w:val="false"/>
                <w:bCs w:val="false"/>
                <w:i w:val="false"/>
                <w:iCs w:val="false"/>
                <w:color w:val="000000"/>
                <w:sz w:val="17"/>
                <w:szCs w:val="17"/>
              </w:rPr>
              <w:t xml:space="preserve"> dividends from Metroloop are exempt; capital gains tax on disposal.</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What-ifs to work through:</w:t>
            </w:r>
            <w:r>
              <w:rPr>
                <w:rFonts w:ascii="Arial" w:cs="Arial" w:eastAsia="Arial" w:hAnsi="Arial"/>
                <w:b w:val="false"/>
                <w:bCs w:val="false"/>
                <w:i w:val="false"/>
                <w:iCs w:val="false"/>
                <w:color w:val="000000"/>
                <w:sz w:val="17"/>
                <w:szCs w:val="17"/>
              </w:rPr>
              <w:t xml:space="preserve"> Axion acquires control (a step acquisition — remeasure the previously held interest at fair value through profit or loss, then recognise goodwill); Axion disposes of the interest; Metroloop needs further funding or becomes loss-making.</w:t>
            </w:r>
          </w:p>
        </w:tc>
      </w:tr>
      <w:tr>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0000"/>
                <w:sz w:val="17"/>
                <w:szCs w:val="17"/>
              </w:rPr>
              <w:t xml:space="preserve">12. Governance, board and committees</w:t>
            </w:r>
          </w:p>
          <w:p>
            <w:pPr>
              <w:keepNext w:val="false"/>
              <w:spacing w:after="0" w:before="0" w:line="250" w:lineRule="auto"/>
            </w:pPr>
            <w:r>
              <w:rPr>
                <w:rFonts w:ascii="Arial" w:cs="Arial" w:eastAsia="Arial" w:hAnsi="Arial"/>
                <w:b w:val="false"/>
                <w:bCs w:val="false"/>
                <w:i w:val="false"/>
                <w:iCs w:val="false"/>
                <w:color w:val="000000"/>
                <w:sz w:val="17"/>
                <w:szCs w:val="17"/>
              </w:rPr>
              <w:t xml:space="preserve">Doc 4, pages 11–12</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Assess </w:t>
            </w:r>
            <w:r>
              <w:rPr>
                <w:rFonts w:ascii="Arial" w:cs="Arial" w:eastAsia="Arial" w:hAnsi="Arial"/>
                <w:b/>
                <w:bCs/>
                <w:i w:val="false"/>
                <w:iCs w:val="false"/>
                <w:color w:val="000000"/>
                <w:sz w:val="17"/>
                <w:szCs w:val="17"/>
              </w:rPr>
              <w:t xml:space="preserve">independence</w:t>
            </w:r>
            <w:r>
              <w:rPr>
                <w:rFonts w:ascii="Arial" w:cs="Arial" w:eastAsia="Arial" w:hAnsi="Arial"/>
                <w:b w:val="false"/>
                <w:bCs w:val="false"/>
                <w:i w:val="false"/>
                <w:iCs w:val="false"/>
                <w:color w:val="000000"/>
                <w:sz w:val="17"/>
                <w:szCs w:val="17"/>
              </w:rPr>
              <w:t xml:space="preserve"> properly. Van de Wyk (Ubuntu) and Kahn (Horizon) are shareholder appointees and are not independent. Low is a founder. Only September and Mthanda are described as independent.</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Michael van de Wyk chairs the Investment Committee while being investment director of the 35% shareholder.</w:t>
            </w:r>
            <w:r>
              <w:rPr>
                <w:rFonts w:ascii="Arial" w:cs="Arial" w:eastAsia="Arial" w:hAnsi="Arial"/>
                <w:b w:val="false"/>
                <w:bCs w:val="false"/>
                <w:i w:val="false"/>
                <w:iCs w:val="false"/>
                <w:color w:val="000000"/>
                <w:sz w:val="17"/>
                <w:szCs w:val="17"/>
              </w:rPr>
              <w:t xml:space="preserve"> Work through Companies Act section 75 on personal financial interests, King V on conflicts, and what should happen when Ubuntu could co-invest or otherwise benefit.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Dr September chairs the board, Social &amp; Ethics, and Remuneration &amp; Nomination. Consider capacity, independence, and whether the board chair should chair the remuneration committee under King V.</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Thandi Mthanda is a former audit partner and chairs Audit &amp; Risk. Of which firm, and how long ago? KZL Inc is our auditor. Check the cooling-off period.</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Companies Act:</w:t>
            </w:r>
            <w:r>
              <w:rPr>
                <w:rFonts w:ascii="Arial" w:cs="Arial" w:eastAsia="Arial" w:hAnsi="Arial"/>
                <w:b w:val="false"/>
                <w:bCs w:val="false"/>
                <w:i w:val="false"/>
                <w:iCs w:val="false"/>
                <w:color w:val="000000"/>
                <w:sz w:val="17"/>
                <w:szCs w:val="17"/>
              </w:rPr>
              <w:t xml:space="preserve"> section 72 and Regulation 43 on the social and ethics committee and whether Axion is required to have one; the audit committee requirements for a private company; and the public interest score.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King V:</w:t>
            </w:r>
            <w:r>
              <w:rPr>
                <w:rFonts w:ascii="Arial" w:cs="Arial" w:eastAsia="Arial" w:hAnsi="Arial"/>
                <w:b w:val="false"/>
                <w:bCs w:val="false"/>
                <w:i w:val="false"/>
                <w:iCs w:val="false"/>
                <w:color w:val="000000"/>
                <w:sz w:val="17"/>
                <w:szCs w:val="17"/>
              </w:rPr>
              <w:t xml:space="preserve"> ethical and effective leadership, organisational ethics, responsible corporate citizenship, the governing body’s composition, risk and technology governance, compliance, remuneration, assurance and stakeholder inclusivity. Axion is unlisted and has adopted practices “informed by” King V — so apply it as principles and recommended practices, not as rules.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shareholders’ agreement: nomination rights, reserved matters, pre-emptive rights, and what changes if a new investor joins.</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The “MATURE” theme.</w:t>
            </w:r>
            <w:r>
              <w:rPr>
                <w:rFonts w:ascii="Arial" w:cs="Arial" w:eastAsia="Arial" w:hAnsi="Arial"/>
                <w:b w:val="false"/>
                <w:bCs w:val="false"/>
                <w:i w:val="false"/>
                <w:iCs w:val="false"/>
                <w:color w:val="000000"/>
                <w:sz w:val="17"/>
                <w:szCs w:val="17"/>
              </w:rPr>
              <w:t xml:space="preserve"> Organisational capacity is a stated constraint and maturing the business is a stated priority. Be ready to advise on what needs formalising as Axion scales: delegation of authority, policies, an internal audit function, the risk register and the control environment.</w:t>
            </w:r>
          </w:p>
        </w:tc>
      </w:tr>
      <w:tr>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0000"/>
                <w:sz w:val="17"/>
                <w:szCs w:val="17"/>
              </w:rPr>
              <w:t xml:space="preserve">13. Financial position, debt capacity and going concern</w:t>
            </w:r>
          </w:p>
          <w:p>
            <w:pPr>
              <w:keepNext w:val="false"/>
              <w:spacing w:after="0" w:before="0" w:line="250" w:lineRule="auto"/>
            </w:pPr>
            <w:r>
              <w:rPr>
                <w:rFonts w:ascii="Arial" w:cs="Arial" w:eastAsia="Arial" w:hAnsi="Arial"/>
                <w:b w:val="false"/>
                <w:bCs w:val="false"/>
                <w:i w:val="false"/>
                <w:iCs w:val="false"/>
                <w:color w:val="000000"/>
                <w:sz w:val="17"/>
                <w:szCs w:val="17"/>
              </w:rPr>
              <w:t xml:space="preserve">Doc 5, page 15</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Do the full three-year ratio analysis before the exam</w:t>
            </w:r>
            <w:r>
              <w:rPr>
                <w:rFonts w:ascii="Arial" w:cs="Arial" w:eastAsia="Arial" w:hAnsi="Arial"/>
                <w:b w:val="false"/>
                <w:bCs w:val="false"/>
                <w:i w:val="false"/>
                <w:iCs w:val="false"/>
                <w:color w:val="000000"/>
                <w:sz w:val="17"/>
                <w:szCs w:val="17"/>
              </w:rPr>
              <w:t xml:space="preserve"> — growth, margins, interest cover on both EBITDA and operating profit, borrowings to EBITDA, debt to equity, return on assets, capital expenditure to EBITDA, revenue per MW on all three capacity measures, and revenue per customer. The table in Part 2 is the starting point.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Understand the direction of travel: EBITDA margin improving, interest cover falling, capital spend running ahead of operating cash generation. Be able to explain what that means for the funding decision in one or two sentences.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Estimate capital expenditure from the movement in property, plant and equipment plus depreciation.</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Work out how much additional debt the business could carry at a stated covenant level, and therefore the equity needed for the R3–5bn programme.</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Going concern and covenant compliance; the IAS 1 rules on classifying borrowings as current where a covenant is tested at or after the reporting date.</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List what is missing and would be asked for:</w:t>
            </w:r>
            <w:r>
              <w:rPr>
                <w:rFonts w:ascii="Arial" w:cs="Arial" w:eastAsia="Arial" w:hAnsi="Arial"/>
                <w:b w:val="false"/>
                <w:bCs w:val="false"/>
                <w:i w:val="false"/>
                <w:iCs w:val="false"/>
                <w:color w:val="000000"/>
                <w:sz w:val="17"/>
                <w:szCs w:val="17"/>
              </w:rPr>
              <w:t xml:space="preserve"> the tax charge and profit for the year, a cash flow statement, the equity movement, the maturity profile of borrowings, and the covenant terms themselves.</w:t>
            </w:r>
          </w:p>
        </w:tc>
      </w:tr>
      <w:tr>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0000"/>
                <w:sz w:val="17"/>
                <w:szCs w:val="17"/>
              </w:rPr>
              <w:t xml:space="preserve">14. Sustainability and ESG</w:t>
            </w:r>
          </w:p>
          <w:p>
            <w:pPr>
              <w:keepNext w:val="false"/>
              <w:spacing w:after="0" w:before="0" w:line="250" w:lineRule="auto"/>
            </w:pPr>
            <w:r>
              <w:rPr>
                <w:rFonts w:ascii="Arial" w:cs="Arial" w:eastAsia="Arial" w:hAnsi="Arial"/>
                <w:b w:val="false"/>
                <w:bCs w:val="false"/>
                <w:i w:val="false"/>
                <w:iCs w:val="false"/>
                <w:color w:val="000000"/>
                <w:sz w:val="17"/>
                <w:szCs w:val="17"/>
              </w:rPr>
              <w:t xml:space="preserve">Docs 3, 4 and 7</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pack states the constraint plainly: growth in computing demand increases scrutiny of electricity consumption, water use and environmental impact.</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Know the measures this industry is judged on: power usage effectiveness, water usage effectiveness, percentage of renewable electricity, and Scope 1, 2 and 3 emissions.</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Scope 2 emissions, and how PPAs, wheeling and renewable energy certificates affect what Axion can actually report.</w:t>
            </w:r>
            <w:r>
              <w:rPr>
                <w:rFonts w:ascii="Arial" w:cs="Arial" w:eastAsia="Arial" w:hAnsi="Arial"/>
                <w:b w:val="false"/>
                <w:bCs w:val="false"/>
                <w:i w:val="false"/>
                <w:iCs w:val="false"/>
                <w:color w:val="000000"/>
                <w:sz w:val="17"/>
                <w:szCs w:val="17"/>
              </w:rPr>
              <w:t xml:space="preserve"> This links directly to trigger 8.</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Carbon tax exposure, mainly through diesel used in backup generators.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IFRS S1 and S2, and what climate-related disclosure would require — governance, strategy, risk management, and metrics and targets.</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The mandate of the Social, Ethics &amp; Sustainability Committee.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Greenwashing risk</w:t>
            </w:r>
            <w:r>
              <w:rPr>
                <w:rFonts w:ascii="Arial" w:cs="Arial" w:eastAsia="Arial" w:hAnsi="Arial"/>
                <w:b w:val="false"/>
                <w:bCs w:val="false"/>
                <w:i w:val="false"/>
                <w:iCs w:val="false"/>
                <w:color w:val="000000"/>
                <w:sz w:val="17"/>
                <w:szCs w:val="17"/>
              </w:rPr>
              <w:t xml:space="preserve"> if renewable claims are not substantiated. The August paper tested exactly this. Any public claim must be capable of proof.</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Water: cooling is water-intensive and South Africa is water-constrained. Municipal supply risk is real.</w:t>
            </w:r>
          </w:p>
        </w:tc>
      </w:tr>
      <w:tr>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0000"/>
                <w:sz w:val="17"/>
                <w:szCs w:val="17"/>
              </w:rPr>
              <w:t xml:space="preserve">15. Ethics</w:t>
            </w:r>
          </w:p>
          <w:p>
            <w:pPr>
              <w:keepNext w:val="false"/>
              <w:spacing w:after="0" w:before="0" w:line="250" w:lineRule="auto"/>
            </w:pPr>
            <w:r>
              <w:rPr>
                <w:rFonts w:ascii="Arial" w:cs="Arial" w:eastAsia="Arial" w:hAnsi="Arial"/>
                <w:b w:val="false"/>
                <w:bCs w:val="false"/>
                <w:i w:val="false"/>
                <w:iCs w:val="false"/>
                <w:color w:val="000000"/>
                <w:sz w:val="17"/>
                <w:szCs w:val="17"/>
              </w:rPr>
              <w:t xml:space="preserve">Not triggered — prepare the structure</w:t>
            </w:r>
          </w:p>
        </w:tc>
        <w:tc>
          <w:tcPr>
            <w:tcW w:type="dxa" w:w="8240"/>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Ethics is usually </w:t>
            </w:r>
            <w:r>
              <w:rPr>
                <w:rFonts w:ascii="Arial" w:cs="Arial" w:eastAsia="Arial" w:hAnsi="Arial"/>
                <w:b/>
                <w:bCs/>
                <w:i w:val="false"/>
                <w:iCs w:val="false"/>
                <w:color w:val="000000"/>
                <w:sz w:val="17"/>
                <w:szCs w:val="17"/>
              </w:rPr>
              <w:t xml:space="preserve">not</w:t>
            </w:r>
            <w:r>
              <w:rPr>
                <w:rFonts w:ascii="Arial" w:cs="Arial" w:eastAsia="Arial" w:hAnsi="Arial"/>
                <w:b w:val="false"/>
                <w:bCs w:val="false"/>
                <w:i w:val="false"/>
                <w:iCs w:val="false"/>
                <w:color w:val="000000"/>
                <w:sz w:val="17"/>
                <w:szCs w:val="17"/>
              </w:rPr>
              <w:t xml:space="preserve"> triggered in the pre-release and appears for the first time on the day. Prepare the </w:t>
            </w:r>
            <w:r>
              <w:rPr>
                <w:rFonts w:ascii="Arial" w:cs="Arial" w:eastAsia="Arial" w:hAnsi="Arial"/>
                <w:b/>
                <w:bCs/>
                <w:i w:val="false"/>
                <w:iCs w:val="false"/>
                <w:color w:val="000000"/>
                <w:sz w:val="17"/>
                <w:szCs w:val="17"/>
              </w:rPr>
              <w:t xml:space="preserve">structure</w:t>
            </w:r>
            <w:r>
              <w:rPr>
                <w:rFonts w:ascii="Arial" w:cs="Arial" w:eastAsia="Arial" w:hAnsi="Arial"/>
                <w:b w:val="false"/>
                <w:bCs w:val="false"/>
                <w:i w:val="false"/>
                <w:iCs w:val="false"/>
                <w:color w:val="000000"/>
                <w:sz w:val="17"/>
                <w:szCs w:val="17"/>
              </w:rPr>
              <w:t xml:space="preserve">, not the content.</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The structure:</w:t>
            </w:r>
            <w:r>
              <w:rPr>
                <w:rFonts w:ascii="Arial" w:cs="Arial" w:eastAsia="Arial" w:hAnsi="Arial"/>
                <w:b w:val="false"/>
                <w:bCs w:val="false"/>
                <w:i w:val="false"/>
                <w:iCs w:val="false"/>
                <w:color w:val="000000"/>
                <w:sz w:val="17"/>
                <w:szCs w:val="17"/>
              </w:rPr>
              <w:t xml:space="preserve"> what is the dilemma or concern → what facts and principles bear on it → what should be done, with a clear recommendation and a respectful tone.</w:t>
            </w:r>
          </w:p>
          <w:p>
            <w:pPr>
              <w:pStyle w:val="ListParagraph"/>
              <w:numPr>
                <w:ilvl w:val="0"/>
                <w:numId w:val="2"/>
              </w:numPr>
              <w:spacing w:after="40" w:before="0" w:line="250" w:lineRule="auto"/>
            </w:pPr>
            <w:r>
              <w:rPr>
                <w:rFonts w:ascii="Arial" w:cs="Arial" w:eastAsia="Arial" w:hAnsi="Arial"/>
                <w:b w:val="false"/>
                <w:bCs w:val="false"/>
                <w:i w:val="false"/>
                <w:iCs w:val="false"/>
                <w:color w:val="000000"/>
                <w:sz w:val="17"/>
                <w:szCs w:val="17"/>
              </w:rPr>
              <w:t xml:space="preserve">Have ready: the SAICA Code’s five fundamental principles and the threats to them; NOCLAR; King V on ethical and effective leadership; and the ethics triangle — good for self, good for others.</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Where a dilemma could plausibly arise in this case:</w:t>
            </w:r>
            <w:r>
              <w:rPr>
                <w:rFonts w:ascii="Arial" w:cs="Arial" w:eastAsia="Arial" w:hAnsi="Arial"/>
                <w:b w:val="false"/>
                <w:bCs w:val="false"/>
                <w:i w:val="false"/>
                <w:iCs w:val="false"/>
                <w:color w:val="000000"/>
                <w:sz w:val="17"/>
                <w:szCs w:val="17"/>
              </w:rPr>
              <w:t xml:space="preserve"> the confidentiality marking on Document 7 and who may see it; conflicts of interest on the Investment Committee; pressure to present performance favourably in the information memorandum while raising money; capitalising costs that should be expensed in order to protect covenants; the drawdown timing incentive in the delivery team scorecard; over-claiming on renewable energy or sustainability; and a former audit partner chairing Audit &amp; Risk.</w:t>
            </w:r>
          </w:p>
          <w:p>
            <w:pPr>
              <w:pStyle w:val="ListParagraph"/>
              <w:numPr>
                <w:ilvl w:val="0"/>
                <w:numId w:val="2"/>
              </w:numPr>
              <w:spacing w:after="0" w:before="0" w:line="250" w:lineRule="auto"/>
            </w:pPr>
            <w:r>
              <w:rPr>
                <w:rFonts w:ascii="Arial" w:cs="Arial" w:eastAsia="Arial" w:hAnsi="Arial"/>
                <w:b w:val="false"/>
                <w:bCs w:val="false"/>
                <w:i w:val="false"/>
                <w:iCs w:val="false"/>
                <w:color w:val="000000"/>
                <w:sz w:val="17"/>
                <w:szCs w:val="17"/>
              </w:rPr>
              <w:t xml:space="preserve">Remember there is no such thing as a question that is “business, not ethics”. If an ethical dimension is present in any task, address it.</w:t>
            </w:r>
          </w:p>
        </w:tc>
      </w:tr>
    </w:tbl>
    <w:p>
      <w:pPr>
        <w:keepNext w:val="false"/>
        <w:spacing w:after="0" w:before="0" w:line="250" w:lineRule="auto"/>
      </w:pPr>
      <w:r>
        <w:rPr>
          <w:rFonts w:ascii="Arial" w:cs="Arial" w:eastAsia="Arial" w:hAnsi="Arial"/>
          <w:sz w:val="12"/>
          <w:szCs w:val="12"/>
        </w:rPr>
        <w:t xml:space="preserve"/>
      </w:r>
    </w:p>
    <w:p>
      <w:pPr>
        <w:keepNext/>
        <w:pBdr>
          <w:bottom w:val="single" w:color="000000" w:sz="8" w:space="2"/>
        </w:pBdr>
        <w:spacing w:after="100" w:before="240" w:line="250" w:lineRule="auto"/>
      </w:pPr>
      <w:r>
        <w:rPr>
          <w:rFonts w:ascii="Arial" w:cs="Arial" w:eastAsia="Arial" w:hAnsi="Arial"/>
          <w:b/>
          <w:bCs/>
          <w:i w:val="false"/>
          <w:iCs w:val="false"/>
          <w:color w:val="000000"/>
          <w:sz w:val="24"/>
          <w:szCs w:val="24"/>
        </w:rPr>
        <w:t xml:space="preserve">How we will use the five days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648"/>
        <w:gridCol w:w="8652"/>
      </w:tblGrid>
      <w:tr>
        <w:tc>
          <w:tcPr>
            <w:tcW w:type="dxa" w:w="1648"/>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Friday morning</w:t>
            </w:r>
          </w:p>
        </w:tc>
        <w:tc>
          <w:tcPr>
            <w:tcW w:type="dxa" w:w="865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Read the pre-release twice, on our own, without research. Write down high-level observations on the business and the industry. Build our own trigger list before comparing with anyone.</w:t>
            </w:r>
          </w:p>
        </w:tc>
      </w:tr>
      <w:tr>
        <w:tc>
          <w:tcPr>
            <w:tcW w:type="dxa" w:w="1648"/>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Friday midday</w:t>
            </w:r>
          </w:p>
        </w:tc>
        <w:tc>
          <w:tcPr>
            <w:tcW w:type="dxa" w:w="865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Meet as a group. Compare trigger lists. Agree the ranking. Allocate triggers, playing to each person’s strengths but making sure nobody only does what they enjoy.</w:t>
            </w:r>
          </w:p>
        </w:tc>
      </w:tr>
      <w:tr>
        <w:tc>
          <w:tcPr>
            <w:tcW w:type="dxa" w:w="1648"/>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Friday afternoon and Saturday</w:t>
            </w:r>
          </w:p>
        </w:tc>
        <w:tc>
          <w:tcPr>
            <w:tcW w:type="dxa" w:w="865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Individual research on allocated triggers. One page of key principles per trigger, plus supporting detail. Upload to the shared folder. Read each other’s work and prepare questions.</w:t>
            </w:r>
          </w:p>
        </w:tc>
      </w:tr>
      <w:tr>
        <w:tc>
          <w:tcPr>
            <w:tcW w:type="dxa" w:w="1648"/>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Sunday morning</w:t>
            </w:r>
          </w:p>
        </w:tc>
        <w:tc>
          <w:tcPr>
            <w:tcW w:type="dxa" w:w="865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Final group meeting. Resolve disagreements on technical treatment — but each of us decides for ourselves what to accept. We write the exam alone.</w:t>
            </w:r>
          </w:p>
        </w:tc>
      </w:tr>
      <w:tr>
        <w:tc>
          <w:tcPr>
            <w:tcW w:type="dxa" w:w="1648"/>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Sunday afternoon</w:t>
            </w:r>
          </w:p>
        </w:tc>
        <w:tc>
          <w:tcPr>
            <w:tcW w:type="dxa" w:w="865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Print and index the file: the pre-release, the one-page summaries, the ratio analysis, this document, and time plans for seven, eight and nine tasks.</w:t>
            </w:r>
          </w:p>
        </w:tc>
      </w:tr>
      <w:tr>
        <w:tc>
          <w:tcPr>
            <w:tcW w:type="dxa" w:w="1648"/>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Monday and Tuesday morning</w:t>
            </w:r>
          </w:p>
        </w:tc>
        <w:tc>
          <w:tcPr>
            <w:tcW w:type="dxa" w:w="865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7"/>
                <w:szCs w:val="17"/>
              </w:rPr>
              <w:t xml:space="preserve">Study.</w:t>
            </w:r>
            <w:r>
              <w:rPr>
                <w:rFonts w:ascii="Arial" w:cs="Arial" w:eastAsia="Arial" w:hAnsi="Arial"/>
                <w:b w:val="false"/>
                <w:bCs w:val="false"/>
                <w:i w:val="false"/>
                <w:iCs w:val="false"/>
                <w:color w:val="000000"/>
                <w:sz w:val="17"/>
                <w:szCs w:val="17"/>
              </w:rPr>
              <w:t xml:space="preserve"> Not filing — learning. We must know every trigger well enough to explain it without opening the file. Work the “what if” scenarios for each one.</w:t>
            </w:r>
          </w:p>
        </w:tc>
      </w:tr>
      <w:tr>
        <w:tc>
          <w:tcPr>
            <w:tcW w:type="dxa" w:w="1648"/>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Tuesday afternoon</w:t>
            </w:r>
          </w:p>
        </w:tc>
        <w:tc>
          <w:tcPr>
            <w:tcW w:type="dxa" w:w="865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Read the pre-release one last time without any research next to us, to get the big picture back. Then stop and rest.</w:t>
            </w:r>
          </w:p>
        </w:tc>
      </w:tr>
    </w:tbl>
    <w:p>
      <w:pPr>
        <w:keepNext w:val="false"/>
        <w:spacing w:after="0" w:before="0" w:line="250" w:lineRule="auto"/>
      </w:pPr>
      <w:r>
        <w:rPr>
          <w:rFonts w:ascii="Arial" w:cs="Arial" w:eastAsia="Arial" w:hAnsi="Arial"/>
          <w:sz w:val="12"/>
          <w:szCs w:val="12"/>
        </w:rPr>
        <w:t xml:space="preserve"/>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888888" w:sz="4" w:space="6"/>
              <w:left w:val="single" w:color="888888" w:sz="4" w:space="6"/>
              <w:bottom w:val="single" w:color="888888" w:sz="4" w:space="6"/>
              <w:right w:val="single" w:color="888888" w:sz="4" w:space="6"/>
            </w:tcBorders>
            <w:tcMar>
              <w:top w:type="dxa" w:w="100"/>
              <w:left w:type="dxa" w:w="120"/>
              <w:bottom w:type="dxa" w:w="100"/>
              <w:right w:type="dxa" w:w="120"/>
            </w:tcMar>
          </w:tcPr>
          <w:p>
            <w:pPr>
              <w:keepNext w:val="false"/>
              <w:spacing w:after="60" w:before="0" w:line="250" w:lineRule="auto"/>
            </w:pPr>
            <w:r>
              <w:rPr>
                <w:rFonts w:ascii="Arial" w:cs="Arial" w:eastAsia="Arial" w:hAnsi="Arial"/>
                <w:b/>
                <w:bCs/>
                <w:i w:val="false"/>
                <w:iCs w:val="false"/>
                <w:color w:val="000000"/>
                <w:sz w:val="17"/>
                <w:szCs w:val="17"/>
              </w:rPr>
              <w:t xml:space="preserve">Three reminders for the day itself.</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Answer what is asked.</w:t>
            </w:r>
            <w:r>
              <w:rPr>
                <w:rFonts w:ascii="Arial" w:cs="Arial" w:eastAsia="Arial" w:hAnsi="Arial"/>
                <w:b w:val="false"/>
                <w:bCs w:val="false"/>
                <w:i w:val="false"/>
                <w:iCs w:val="false"/>
                <w:color w:val="000000"/>
                <w:sz w:val="17"/>
                <w:szCs w:val="17"/>
              </w:rPr>
              <w:t xml:space="preserve"> The biggest single cause of lost grades in the last two exams was writing more widely than the task allowed. If the task says high level, no calculations, ignore tax, or only critique what is provided — obey it exactly.</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Apply the information on the day.</w:t>
            </w:r>
            <w:r>
              <w:rPr>
                <w:rFonts w:ascii="Arial" w:cs="Arial" w:eastAsia="Arial" w:hAnsi="Arial"/>
                <w:b w:val="false"/>
                <w:bCs w:val="false"/>
                <w:i w:val="false"/>
                <w:iCs w:val="false"/>
                <w:color w:val="000000"/>
                <w:sz w:val="17"/>
                <w:szCs w:val="17"/>
              </w:rPr>
              <w:t xml:space="preserve"> Research that is not applied to the facts given on the day earns nothing. Be ready to throw away work we spent five days on.</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Say why, and conclude.</w:t>
            </w:r>
            <w:r>
              <w:rPr>
                <w:rFonts w:ascii="Arial" w:cs="Arial" w:eastAsia="Arial" w:hAnsi="Arial"/>
                <w:b w:val="false"/>
                <w:bCs w:val="false"/>
                <w:i w:val="false"/>
                <w:iCs w:val="false"/>
                <w:color w:val="000000"/>
                <w:sz w:val="17"/>
                <w:szCs w:val="17"/>
              </w:rPr>
              <w:t xml:space="preserve"> Every point needs a reason attached. Every analysis that asks for a recommendation needs one — especially when the numbers are close.</w:t>
            </w:r>
          </w:p>
        </w:tc>
      </w:tr>
    </w:tbl>
    <w:p>
      <w:pPr>
        <w:keepNext w:val="false"/>
        <w:spacing w:after="0" w:before="0" w:line="250" w:lineRule="auto"/>
      </w:pPr>
      <w:r>
        <w:rPr>
          <w:rFonts w:ascii="Arial" w:cs="Arial" w:eastAsia="Arial" w:hAnsi="Arial"/>
          <w:sz w:val="10"/>
          <w:szCs w:val="10"/>
        </w:rPr>
        <w:t xml:space="preserve"/>
      </w:r>
    </w:p>
    <w:p>
      <w:pPr>
        <w:keepNext w:val="false"/>
        <w:spacing w:after="100" w:before="0" w:line="250" w:lineRule="auto"/>
      </w:pPr>
      <w:r>
        <w:rPr>
          <w:rFonts w:ascii="Arial" w:cs="Arial" w:eastAsia="Arial" w:hAnsi="Arial"/>
          <w:b w:val="false"/>
          <w:bCs w:val="false"/>
          <w:i/>
          <w:iCs/>
          <w:color w:val="000000"/>
          <w:sz w:val="17"/>
          <w:szCs w:val="17"/>
        </w:rPr>
        <w:t xml:space="preserve">Prepared for APC 2026 September Qualifying Exam preparation. Axion Digital Infrastructure (Pty) Ltd is a fictitious entity created for assessment purposes. This document sets out research areas only — it is not, and must not be used as, a set of pre-prepared answers.</w:t>
      </w:r>
    </w:p>
    <w:sectPr>
      <w:pgSz w:w="11906" w:h="16838" w:orient="portrait"/>
      <w:pgMar w:top="794" w:right="792" w:bottom="794"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2026-09-18T16:13:17.809Z</dcterms:created>
  <dcterms:modified xsi:type="dcterms:W3CDTF">2026-09-18T16:13:17.810Z</dcterms:modified>
</cp:coreProperties>
</file>

<file path=docProps/custom.xml><?xml version="1.0" encoding="utf-8"?>
<Properties xmlns="http://schemas.openxmlformats.org/officeDocument/2006/custom-properties" xmlns:vt="http://schemas.openxmlformats.org/officeDocument/2006/docPropsVTypes"/>
</file>