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這是一份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跨公司適用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Screening note 標準模板，完全去除範例公司資訊，維持《Screening note.xlsx》的排序與欄位精神。所有【花括號】皆為必填或可選占位符，填寫時請用實際資料覆蓋。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ewwvn8uwunj" w:id="0"/>
    <w:bookmarkEnd w:id="0"/>
    <w:p w:rsidR="00000000" w:rsidDel="00000000" w:rsidP="00000000" w:rsidRDefault="00000000" w:rsidRPr="00000000" w14:paraId="00000003">
      <w:pPr>
        <w:pStyle w:val="Heading1"/>
        <w:rPr/>
      </w:pPr>
      <w:sdt>
        <w:sdtPr>
          <w:id w:val="-5507271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封面（基本變數）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【公司名稱】／【Ticker】／【交易所】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【產業分類】（可填兩層：大分類／子產業）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【幣別】（TWD / USD / JPY / …）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【最近財報期間】（例：2025H1、2025Q2、2024FY）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【更新日期】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【資料來源優先序】年報/法說/主管機關資料庫 ＞ 官方公告 ＞ 新聞（補缺）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【口徑覆蓋】（選填：若要覆蓋預設門檻或基準，於此列明）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基準指數（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：依市場自動對應；可改）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高殖利率門檻（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：4%）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槓桿警示門檻（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：負債比 &gt;60%）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估值主指標（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：P/E；可改為 P/B 或 EV/EBITDA）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7t9ue2m2ook" w:id="1"/>
    <w:bookmarkEnd w:id="1"/>
    <w:p w:rsidR="00000000" w:rsidDel="00000000" w:rsidP="00000000" w:rsidRDefault="00000000" w:rsidRPr="00000000" w14:paraId="00000010">
      <w:pPr>
        <w:pStyle w:val="Heading1"/>
        <w:rPr/>
      </w:pPr>
      <w:sdt>
        <w:sdtPr>
          <w:id w:val="3866431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A. 股權結構</w:t>
          </w:r>
        </w:sdtContent>
      </w:sdt>
    </w:p>
    <w:bookmarkStart w:colFirst="0" w:colLast="0" w:name="bookmark=id.3uwr69nrepyv" w:id="2"/>
    <w:bookmarkEnd w:id="2"/>
    <w:p w:rsidR="00000000" w:rsidDel="00000000" w:rsidP="00000000" w:rsidRDefault="00000000" w:rsidRPr="00000000" w14:paraId="00000011">
      <w:pPr>
        <w:pStyle w:val="Heading2"/>
        <w:rPr/>
      </w:pPr>
      <w:sdt>
        <w:sdtPr>
          <w:id w:val="-16411375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董事會改選日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（可得則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YYYY-MM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）＋一句話摘要。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下次董事改選時間為【YYYY[-MM]】。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：以年報/公告為準；臨時改選以最新公告覆蓋。</w:t>
      </w:r>
    </w:p>
    <w:bookmarkStart w:colFirst="0" w:colLast="0" w:name="bookmark=id.rulugpmk0e1i" w:id="3"/>
    <w:bookmarkEnd w:id="3"/>
    <w:p w:rsidR="00000000" w:rsidDel="00000000" w:rsidP="00000000" w:rsidRDefault="00000000" w:rsidRPr="00000000" w14:paraId="00000015">
      <w:pPr>
        <w:pStyle w:val="Heading2"/>
        <w:rPr/>
      </w:pPr>
      <w:sdt>
        <w:sdtPr>
          <w:id w:val="-6597705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2) 董事長年紀、學經歷、家族成員、交友圈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姓名／年齡或出生年／（選配）3 點內學經歷／（可得）與家族或友好企業關係一句話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董事長【姓名】，約【年齡】歲；曾任【要點×1-3】；與【關係人/企業】關係：…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：以公開文件為主；新聞僅補缺。</w:t>
      </w:r>
    </w:p>
    <w:bookmarkStart w:colFirst="0" w:colLast="0" w:name="bookmark=id.ymql028d8d48" w:id="4"/>
    <w:bookmarkEnd w:id="4"/>
    <w:p w:rsidR="00000000" w:rsidDel="00000000" w:rsidP="00000000" w:rsidRDefault="00000000" w:rsidRPr="00000000" w14:paraId="00000019">
      <w:pPr>
        <w:pStyle w:val="Heading2"/>
        <w:rPr/>
      </w:pPr>
      <w:sdt>
        <w:sdtPr>
          <w:id w:val="-10402559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3) 家族持股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：是否家族企業（是/否＋一句話依據）；家族成員清單（姓名/關係/持股%）；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合計%（列計算式）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研判為家族企業（【家族名】）；家族成員：A【x.x%】、B【x.x%】…；合計＝【公式】＝【x.x%】。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：同姓＋親屬＋同一集團合併；明列納入/排除依據。</w:t>
      </w:r>
    </w:p>
    <w:bookmarkStart w:colFirst="0" w:colLast="0" w:name="bookmark=id.n5hjksfv786a" w:id="5"/>
    <w:bookmarkEnd w:id="5"/>
    <w:p w:rsidR="00000000" w:rsidDel="00000000" w:rsidP="00000000" w:rsidRDefault="00000000" w:rsidRPr="00000000" w14:paraId="0000001D">
      <w:pPr>
        <w:pStyle w:val="Heading2"/>
        <w:rPr/>
      </w:pPr>
      <w:sdt>
        <w:sdtPr>
          <w:id w:val="4503794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4) 大股東持股（家族以外）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：名單（法人/個人）＋各自持股%；同名/同法人合併規則與結果；背景/關係判讀；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重點法人補入股年份/動機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非家族大股東：X 基金【x.x%】、Y 投資【x.x%】…；X 於【YYYY】入股，主因…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：與家族持股嚴格去重。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8d42qlnnwtf" w:id="6"/>
    <w:bookmarkEnd w:id="6"/>
    <w:p w:rsidR="00000000" w:rsidDel="00000000" w:rsidP="00000000" w:rsidRDefault="00000000" w:rsidRPr="00000000" w14:paraId="00000022">
      <w:pPr>
        <w:pStyle w:val="Heading1"/>
        <w:rPr/>
      </w:pPr>
      <w:sdt>
        <w:sdtPr>
          <w:id w:val="7935874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B. 股價與市場表現</w:t>
          </w:r>
        </w:sdtContent>
      </w:sdt>
    </w:p>
    <w:bookmarkStart w:colFirst="0" w:colLast="0" w:name="bookmark=id.sein7xy133et" w:id="7"/>
    <w:bookmarkEnd w:id="7"/>
    <w:p w:rsidR="00000000" w:rsidDel="00000000" w:rsidP="00000000" w:rsidRDefault="00000000" w:rsidRPr="00000000" w14:paraId="00000023">
      <w:pPr>
        <w:pStyle w:val="Heading2"/>
        <w:rPr/>
      </w:pPr>
      <w:sdt>
        <w:sdtPr>
          <w:id w:val="76031041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5) 近 1月／1季／1年報酬率差異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1M / 1Q / 1Y 報酬率（%）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（數字即可；標示期間起迄）。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截至【更新日期】，近 1Y 報酬率為【x.x%】。</w:t>
      </w:r>
      <w:r w:rsidDel="00000000" w:rsidR="00000000" w:rsidRPr="00000000">
        <w:rPr>
          <w:rtl w:val="0"/>
        </w:rPr>
      </w:r>
    </w:p>
    <w:bookmarkStart w:colFirst="0" w:colLast="0" w:name="bookmark=id.se6iy0fppj60" w:id="8"/>
    <w:bookmarkEnd w:id="8"/>
    <w:p w:rsidR="00000000" w:rsidDel="00000000" w:rsidP="00000000" w:rsidRDefault="00000000" w:rsidRPr="00000000" w14:paraId="00000026">
      <w:pPr>
        <w:pStyle w:val="Heading2"/>
        <w:rPr/>
      </w:pPr>
      <w:sdt>
        <w:sdtPr>
          <w:id w:val="-666889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6) 與市場相對報酬率走勢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：各期「贏/輸/持平」＋差距 p.p.，一句話結論。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近 1Y【贏/輸】基準【指數名】約【x.x】p.p.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口徑（基準自動對應）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TWSE/TPEx → 加權指數 / 櫃買指數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US（NYSE/Nasdaq）→ S&amp;P 500 或 Russell 2000（依公司規模）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 → TOPIX；HK → HSI；CN → CSI 300；EU → STOXX 600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亦可在「口徑覆蓋」改寫</w:t>
      </w:r>
    </w:p>
    <w:bookmarkStart w:colFirst="0" w:colLast="0" w:name="bookmark=id.hzadai9d9cs7" w:id="9"/>
    <w:bookmarkEnd w:id="9"/>
    <w:p w:rsidR="00000000" w:rsidDel="00000000" w:rsidP="00000000" w:rsidRDefault="00000000" w:rsidRPr="00000000" w14:paraId="0000002E">
      <w:pPr>
        <w:pStyle w:val="Heading2"/>
        <w:rPr/>
      </w:pPr>
      <w:sdt>
        <w:sdtPr>
          <w:id w:val="191617291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7) 股價及成交量走勢（近 3 個月）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：高/低點、趨勢（上/下/震盪）、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異常日/區間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＋一句話。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【YYYY/MM/DD】出現【爆量/跳空】，【價位】→【價位】；建議追查原因。</w:t>
      </w:r>
      <w:r w:rsidDel="00000000" w:rsidR="00000000" w:rsidRPr="00000000">
        <w:rPr>
          <w:rtl w:val="0"/>
        </w:rPr>
      </w:r>
    </w:p>
    <w:bookmarkStart w:colFirst="0" w:colLast="0" w:name="bookmark=id.m2uxexmdrlu1" w:id="10"/>
    <w:bookmarkEnd w:id="10"/>
    <w:p w:rsidR="00000000" w:rsidDel="00000000" w:rsidP="00000000" w:rsidRDefault="00000000" w:rsidRPr="00000000" w14:paraId="00000031">
      <w:pPr>
        <w:pStyle w:val="Heading2"/>
        <w:rPr/>
      </w:pPr>
      <w:sdt>
        <w:sdtPr>
          <w:id w:val="-9742234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8) 殖利率與股利政策變化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：近年現金殖利率區間（%）／配息率（%）＋政策穩定度一句話。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：高殖利率預設 &gt;4%（可在「口徑覆蓋」調整）。</w:t>
      </w:r>
    </w:p>
    <w:bookmarkStart w:colFirst="0" w:colLast="0" w:name="bookmark=id.xoa0mig8tfvu" w:id="11"/>
    <w:bookmarkEnd w:id="11"/>
    <w:p w:rsidR="00000000" w:rsidDel="00000000" w:rsidP="00000000" w:rsidRDefault="00000000" w:rsidRPr="00000000" w14:paraId="00000034">
      <w:pPr>
        <w:pStyle w:val="Heading2"/>
        <w:rPr/>
      </w:pPr>
      <w:sdt>
        <w:sdtPr>
          <w:id w:val="-21315441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9) 評價變化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：主指標（P/E 或 P/B 或 EV/EBITDA）近年區間＋「穩定/擴張/收斂」判讀。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P/E 多在【x–y】倍，評價區間【穩定/擴張/收斂】。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u2a7zy45ltu" w:id="12"/>
    <w:bookmarkEnd w:id="12"/>
    <w:p w:rsidR="00000000" w:rsidDel="00000000" w:rsidP="00000000" w:rsidRDefault="00000000" w:rsidRPr="00000000" w14:paraId="00000038">
      <w:pPr>
        <w:pStyle w:val="Heading1"/>
        <w:rPr/>
      </w:pPr>
      <w:sdt>
        <w:sdtPr>
          <w:id w:val="-25298890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C. 營運區域與產品結構</w:t>
          </w:r>
        </w:sdtContent>
      </w:sdt>
    </w:p>
    <w:bookmarkStart w:colFirst="0" w:colLast="0" w:name="bookmark=id.m578cxhlhmf" w:id="13"/>
    <w:bookmarkEnd w:id="13"/>
    <w:p w:rsidR="00000000" w:rsidDel="00000000" w:rsidP="00000000" w:rsidRDefault="00000000" w:rsidRPr="00000000" w14:paraId="00000039">
      <w:pPr>
        <w:pStyle w:val="Heading2"/>
        <w:rPr/>
      </w:pPr>
      <w:sdt>
        <w:sdtPr>
          <w:id w:val="9282000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10) 區域佔比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：各區域營收占比＋重大發展/策略一句話（擴產/關閉/轉單/關稅）。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【區域A】占【x%】、【區域B】占【y%】；近期【區域X】因【因素】影響，策略為【措施】。</w:t>
      </w:r>
      <w:r w:rsidDel="00000000" w:rsidR="00000000" w:rsidRPr="00000000">
        <w:rPr>
          <w:rtl w:val="0"/>
        </w:rPr>
      </w:r>
    </w:p>
    <w:bookmarkStart w:colFirst="0" w:colLast="0" w:name="bookmark=id.j0uz72d7tk5h" w:id="14"/>
    <w:bookmarkEnd w:id="14"/>
    <w:p w:rsidR="00000000" w:rsidDel="00000000" w:rsidP="00000000" w:rsidRDefault="00000000" w:rsidRPr="00000000" w14:paraId="0000003C">
      <w:pPr>
        <w:pStyle w:val="Heading2"/>
        <w:rPr/>
      </w:pPr>
      <w:sdt>
        <w:sdtPr>
          <w:id w:val="173883693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11) 產品佔比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：產品別占比列表（比例即可）。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產品 A【x%】、B【y%】、C【z%】。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93xrchjcw6v" w:id="15"/>
    <w:bookmarkEnd w:id="15"/>
    <w:p w:rsidR="00000000" w:rsidDel="00000000" w:rsidP="00000000" w:rsidRDefault="00000000" w:rsidRPr="00000000" w14:paraId="00000040">
      <w:pPr>
        <w:pStyle w:val="Heading1"/>
        <w:rPr/>
      </w:pPr>
      <w:sdt>
        <w:sdtPr>
          <w:id w:val="-83266673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D. 財務與獲利能力</w:t>
          </w:r>
        </w:sdtContent>
      </w:sdt>
    </w:p>
    <w:bookmarkStart w:colFirst="0" w:colLast="0" w:name="bookmark=id.uejm3tn8kkai" w:id="16"/>
    <w:bookmarkEnd w:id="16"/>
    <w:p w:rsidR="00000000" w:rsidDel="00000000" w:rsidP="00000000" w:rsidRDefault="00000000" w:rsidRPr="00000000" w14:paraId="00000041">
      <w:pPr>
        <w:pStyle w:val="Heading2"/>
        <w:rPr/>
      </w:pPr>
      <w:sdt>
        <w:sdtPr>
          <w:id w:val="-36012018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12) 營收年增率變化、今年累計原因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：近 5 年平均 YoY%；最高/最低年＋原因；今年累計（H1/YTD）vs 去年同期 YoY％＋原因。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：半年度與去年同期同比；來源說明（公告/法說/新聞）。</w:t>
      </w:r>
    </w:p>
    <w:bookmarkStart w:colFirst="0" w:colLast="0" w:name="bookmark=id.fusfdm9a7lp" w:id="17"/>
    <w:bookmarkEnd w:id="17"/>
    <w:p w:rsidR="00000000" w:rsidDel="00000000" w:rsidP="00000000" w:rsidRDefault="00000000" w:rsidRPr="00000000" w14:paraId="00000044">
      <w:pPr>
        <w:pStyle w:val="Heading2"/>
        <w:rPr/>
      </w:pPr>
      <w:sdt>
        <w:sdtPr>
          <w:id w:val="151516544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13) 三率變化（毛/營/淨）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：近年平均、趨勢方向、轉差/轉好原因要點。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三率近【n】年【走強/走弱】；【期間】受【因素】影響。</w:t>
      </w:r>
      <w:r w:rsidDel="00000000" w:rsidR="00000000" w:rsidRPr="00000000">
        <w:rPr>
          <w:rtl w:val="0"/>
        </w:rPr>
      </w:r>
    </w:p>
    <w:bookmarkStart w:colFirst="0" w:colLast="0" w:name="bookmark=id.80yxzdvjod8q" w:id="18"/>
    <w:bookmarkEnd w:id="18"/>
    <w:p w:rsidR="00000000" w:rsidDel="00000000" w:rsidP="00000000" w:rsidRDefault="00000000" w:rsidRPr="00000000" w14:paraId="00000047">
      <w:pPr>
        <w:pStyle w:val="Heading2"/>
        <w:rPr/>
      </w:pPr>
      <w:sdt>
        <w:sdtPr>
          <w:id w:val="-53293999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14) 經營效率變化（營運週期/收現/付款/存貨）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：營運週期趨勢＋異常年份；收現天數↑/↓、付款天數↑/↓ 的結論。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自【YYYY】起週期拉長；收現↑＋付款↓ → 對現金流不利。</w:t>
      </w:r>
      <w:r w:rsidDel="00000000" w:rsidR="00000000" w:rsidRPr="00000000">
        <w:rPr>
          <w:rtl w:val="0"/>
        </w:rPr>
      </w:r>
    </w:p>
    <w:bookmarkStart w:colFirst="0" w:colLast="0" w:name="bookmark=id.kdi8rg3yvr8z" w:id="19"/>
    <w:bookmarkEnd w:id="19"/>
    <w:p w:rsidR="00000000" w:rsidDel="00000000" w:rsidP="00000000" w:rsidRDefault="00000000" w:rsidRPr="00000000" w14:paraId="0000004A">
      <w:pPr>
        <w:pStyle w:val="Heading2"/>
        <w:rPr/>
      </w:pPr>
      <w:sdt>
        <w:sdtPr>
          <w:id w:val="209042875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15) EPS 變化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：近年平均與極端年（最高/最低）；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半年度標註「非年化」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bookmarkStart w:colFirst="0" w:colLast="0" w:name="bookmark=id.im8mosz8m68n" w:id="20"/>
    <w:bookmarkEnd w:id="20"/>
    <w:p w:rsidR="00000000" w:rsidDel="00000000" w:rsidP="00000000" w:rsidRDefault="00000000" w:rsidRPr="00000000" w14:paraId="0000004C">
      <w:pPr>
        <w:pStyle w:val="Heading2"/>
        <w:rPr/>
      </w:pPr>
      <w:sdt>
        <w:sdtPr>
          <w:id w:val="175889996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16) ROE 變化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：近年平均、極端年、趨勢判讀；權益口徑一致（期末或平均）。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avxe1sixnoh" w:id="21"/>
    <w:bookmarkEnd w:id="21"/>
    <w:p w:rsidR="00000000" w:rsidDel="00000000" w:rsidP="00000000" w:rsidRDefault="00000000" w:rsidRPr="00000000" w14:paraId="0000004F">
      <w:pPr>
        <w:pStyle w:val="Heading1"/>
        <w:rPr/>
      </w:pPr>
      <w:sdt>
        <w:sdtPr>
          <w:id w:val="-65633769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E. 財務風險與槓桿</w:t>
          </w:r>
        </w:sdtContent>
      </w:sdt>
    </w:p>
    <w:bookmarkStart w:colFirst="0" w:colLast="0" w:name="bookmark=id.2ich1cx30p1x" w:id="22"/>
    <w:bookmarkEnd w:id="22"/>
    <w:p w:rsidR="00000000" w:rsidDel="00000000" w:rsidP="00000000" w:rsidRDefault="00000000" w:rsidRPr="00000000" w14:paraId="00000050">
      <w:pPr>
        <w:pStyle w:val="Heading2"/>
        <w:rPr/>
      </w:pPr>
      <w:sdt>
        <w:sdtPr>
          <w:id w:val="-211574183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17) 負債比率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：最新負債比％＋近年趨勢＋是否超過門檻。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預設門檻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：&gt;60% 必須 Highlight（可在「口徑覆蓋」調整）。</w:t>
      </w:r>
    </w:p>
    <w:bookmarkStart w:colFirst="0" w:colLast="0" w:name="bookmark=id.xvdos8ytcut" w:id="23"/>
    <w:bookmarkEnd w:id="23"/>
    <w:p w:rsidR="00000000" w:rsidDel="00000000" w:rsidP="00000000" w:rsidRDefault="00000000" w:rsidRPr="00000000" w14:paraId="00000053">
      <w:pPr>
        <w:pStyle w:val="Heading2"/>
        <w:rPr/>
      </w:pPr>
      <w:sdt>
        <w:sdtPr>
          <w:id w:val="-23078867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18) 利息保障倍數（ICR）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：最新倍數＋趨勢；連續下降需提示風險。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2knlzf5on3y" w:id="24"/>
    <w:bookmarkEnd w:id="24"/>
    <w:p w:rsidR="00000000" w:rsidDel="00000000" w:rsidP="00000000" w:rsidRDefault="00000000" w:rsidRPr="00000000" w14:paraId="00000056">
      <w:pPr>
        <w:pStyle w:val="Heading1"/>
        <w:rPr/>
      </w:pPr>
      <w:sdt>
        <w:sdtPr>
          <w:id w:val="-84727713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F. 轉投資與事業佈局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排序原則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：先「國別」，後「營業項目」；同一國內，按金額由大到小；上市櫃標的優先顯示。</w:t>
      </w:r>
    </w:p>
    <w:bookmarkStart w:colFirst="0" w:colLast="0" w:name="bookmark=id.oonmx36ihzw9" w:id="25"/>
    <w:bookmarkEnd w:id="25"/>
    <w:p w:rsidR="00000000" w:rsidDel="00000000" w:rsidP="00000000" w:rsidRDefault="00000000" w:rsidRPr="00000000" w14:paraId="00000058">
      <w:pPr>
        <w:pStyle w:val="Heading2"/>
        <w:rPr/>
      </w:pPr>
      <w:sdt>
        <w:sdtPr>
          <w:id w:val="42437601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19) 台灣投資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：標的/產業、是否上市櫃（四碼代號）、原始投資 vs 帳面金額（差額重點）、（可得）盈虧現況。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台灣—【標的/產業】（上市：【代號】），原始【金額】／帳面【金額】（【變動/減值】）。</w:t>
      </w:r>
      <w:r w:rsidDel="00000000" w:rsidR="00000000" w:rsidRPr="00000000">
        <w:rPr>
          <w:rtl w:val="0"/>
        </w:rPr>
      </w:r>
    </w:p>
    <w:bookmarkStart w:colFirst="0" w:colLast="0" w:name="bookmark=id.os8xl7onm6wr" w:id="26"/>
    <w:bookmarkEnd w:id="26"/>
    <w:p w:rsidR="00000000" w:rsidDel="00000000" w:rsidP="00000000" w:rsidRDefault="00000000" w:rsidRPr="00000000" w14:paraId="0000005B">
      <w:pPr>
        <w:pStyle w:val="Heading2"/>
        <w:rPr/>
      </w:pPr>
      <w:sdt>
        <w:sdtPr>
          <w:id w:val="-3706232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20) 海外投資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：依各國分段，格式同上；連續虧損或重大事件需加註。</w:t>
      </w:r>
    </w:p>
    <w:bookmarkStart w:colFirst="0" w:colLast="0" w:name="bookmark=id.2jlpuubnipz2" w:id="27"/>
    <w:bookmarkEnd w:id="27"/>
    <w:p w:rsidR="00000000" w:rsidDel="00000000" w:rsidP="00000000" w:rsidRDefault="00000000" w:rsidRPr="00000000" w14:paraId="0000005D">
      <w:pPr>
        <w:pStyle w:val="Heading2"/>
        <w:rPr/>
      </w:pPr>
      <w:sdt>
        <w:sdtPr>
          <w:id w:val="-137976995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21) 中國投資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：中國區投資清單（同上）＋（可得）合規/管制重點。</w:t>
      </w:r>
    </w:p>
    <w:bookmarkStart w:colFirst="0" w:colLast="0" w:name="bookmark=id.gadrqhcl7u" w:id="28"/>
    <w:bookmarkEnd w:id="28"/>
    <w:p w:rsidR="00000000" w:rsidDel="00000000" w:rsidP="00000000" w:rsidRDefault="00000000" w:rsidRPr="00000000" w14:paraId="0000005F">
      <w:pPr>
        <w:pStyle w:val="Heading2"/>
        <w:rPr/>
      </w:pPr>
      <w:sdt>
        <w:sdtPr>
          <w:id w:val="-116608957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22) 金融／基金投資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股票：前幾大標的＋持股％、標的產業、與本業關聯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基金/創投：基金名稱＋領域定位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債券/定存：金額與目的（流動性/收益）</w:t>
      </w:r>
    </w:p>
    <w:bookmarkStart w:colFirst="0" w:colLast="0" w:name="bookmark=id.8lnnu6y20tam" w:id="29"/>
    <w:bookmarkEnd w:id="29"/>
    <w:p w:rsidR="00000000" w:rsidDel="00000000" w:rsidP="00000000" w:rsidRDefault="00000000" w:rsidRPr="00000000" w14:paraId="00000064">
      <w:pPr>
        <w:pStyle w:val="Heading2"/>
        <w:rPr/>
      </w:pPr>
      <w:sdt>
        <w:sdtPr>
          <w:id w:val="33390092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23) 新事業／策略投資（公告/法說/新聞）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：項目名稱、領域、時點/金額（可得）、目的；以公告/法說為主，新聞補充。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hzyloj23gul" w:id="30"/>
    <w:bookmarkEnd w:id="30"/>
    <w:p w:rsidR="00000000" w:rsidDel="00000000" w:rsidP="00000000" w:rsidRDefault="00000000" w:rsidRPr="00000000" w14:paraId="00000067">
      <w:pPr>
        <w:pStyle w:val="Heading1"/>
        <w:rPr/>
      </w:pPr>
      <w:sdt>
        <w:sdtPr>
          <w:id w:val="-17646932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G. 關聯性與需求（含 AI 假設—需覆核）</w:t>
          </w:r>
        </w:sdtContent>
      </w:sdt>
    </w:p>
    <w:bookmarkStart w:colFirst="0" w:colLast="0" w:name="bookmark=id.31jm1beh1749" w:id="31"/>
    <w:bookmarkEnd w:id="31"/>
    <w:p w:rsidR="00000000" w:rsidDel="00000000" w:rsidP="00000000" w:rsidRDefault="00000000" w:rsidRPr="00000000" w14:paraId="00000068">
      <w:pPr>
        <w:pStyle w:val="Heading2"/>
        <w:rPr/>
      </w:pPr>
      <w:sdt>
        <w:sdtPr>
          <w:id w:val="-82266826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24) 與公司/人物之關聯 → 可能需求</w:t>
          </w:r>
        </w:sdtContent>
      </w:sdt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：關鍵人/公司＋關係（合作/競合/供應/投資…）＋可能需求假設；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標註依據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（哪份公告/哪則新聞）。</w:t>
      </w:r>
    </w:p>
    <w:bookmarkStart w:colFirst="0" w:colLast="0" w:name="bookmark=id.rwza4dds4som" w:id="32"/>
    <w:bookmarkEnd w:id="32"/>
    <w:p w:rsidR="00000000" w:rsidDel="00000000" w:rsidP="00000000" w:rsidRDefault="00000000" w:rsidRPr="00000000" w14:paraId="0000006A">
      <w:pPr>
        <w:pStyle w:val="Heading2"/>
        <w:rPr/>
      </w:pPr>
      <w:sdt>
        <w:sdtPr>
          <w:id w:val="116454923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25) 具體需求清單（課程/輔導/募資等）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：需求條列＋3–5 個具體切入點；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加註：AI 推測，需人工確認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u02pqbo0faq" w:id="33"/>
    <w:bookmarkEnd w:id="33"/>
    <w:p w:rsidR="00000000" w:rsidDel="00000000" w:rsidP="00000000" w:rsidRDefault="00000000" w:rsidRPr="00000000" w14:paraId="0000006D">
      <w:pPr>
        <w:pStyle w:val="Heading1"/>
        <w:rPr/>
      </w:pPr>
      <w:sdt>
        <w:sdtPr>
          <w:id w:val="178914529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H. 通用口徑與 QA 檢核</w:t>
          </w:r>
        </w:sdtContent>
      </w:sdt>
    </w:p>
    <w:bookmarkStart w:colFirst="0" w:colLast="0" w:name="bookmark=id.lce7p27zsggj" w:id="34"/>
    <w:bookmarkEnd w:id="34"/>
    <w:p w:rsidR="00000000" w:rsidDel="00000000" w:rsidP="00000000" w:rsidRDefault="00000000" w:rsidRPr="00000000" w14:paraId="0000006E">
      <w:pPr>
        <w:pStyle w:val="Heading2"/>
        <w:rPr/>
      </w:pPr>
      <w:sdt>
        <w:sdtPr>
          <w:id w:val="107931931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通用口徑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期間與基準：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報酬率：1M/1Q/1Y；相對表現以「基準指數」為準（可在封面口徑覆蓋改寫）。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股價走勢：固定近 3 個月，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必點名異常日或區間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半年度資料：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不得與全年直接相比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；EPS 半年數一律標「非年化」。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門檻：高殖利率預設 &gt;4%；負債比 &gt;60% Highlight；其餘門檻可在封面覆蓋。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呈現：以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條列＋短段落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；所有數字需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標單位/期間/幣別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vGENoFzhRtnMB+njUoBEGLpD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2025-09-08T07:43:48Z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