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75409C" w:rsidP="001B45D6">
            <w:pPr>
              <w:pStyle w:val="TableContents"/>
              <w:jc w:val="center"/>
            </w:pPr>
            <w:r>
              <w:t>08</w:t>
            </w:r>
            <w:r w:rsidR="00B32182">
              <w:t>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75409C" w:rsidP="001B45D6">
            <w:pPr>
              <w:pStyle w:val="TableContents"/>
            </w:pPr>
            <w:r>
              <w:t>RGL_GEN_RN054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75409C" w:rsidP="001B45D6">
            <w:pPr>
              <w:pStyle w:val="TableContents"/>
              <w:jc w:val="center"/>
            </w:pPr>
            <w:r>
              <w:t>08</w:t>
            </w:r>
            <w:r w:rsidR="00B32182">
              <w:t>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BF4AA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BF4AA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BF4AA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BF4AA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BF4AA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BF4AA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75409C">
              <w:t>054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Archivo_prueba.txt</w:t>
            </w:r>
            <w:r w:rsidR="0075409C">
              <w:t>, col10</w:t>
            </w:r>
            <w:r>
              <w:t xml:space="preserve">. 1: </w:t>
            </w:r>
            <w:r w:rsidR="0075409C">
              <w:t>Contiene ceros</w:t>
            </w:r>
            <w:r>
              <w:t xml:space="preserve"> 0: </w:t>
            </w:r>
            <w:r w:rsidR="0075409C">
              <w:t>No contiene</w:t>
            </w:r>
            <w:bookmarkStart w:id="5" w:name="_GoBack"/>
            <w:bookmarkEnd w:id="5"/>
            <w:r w:rsidR="0075409C">
              <w:t xml:space="preserve"> ceros</w:t>
            </w:r>
            <w:r>
              <w:t>.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AA0" w:rsidRDefault="00BF4AA0" w:rsidP="00272090">
      <w:r>
        <w:separator/>
      </w:r>
    </w:p>
  </w:endnote>
  <w:endnote w:type="continuationSeparator" w:id="0">
    <w:p w:rsidR="00BF4AA0" w:rsidRDefault="00BF4AA0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5409C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75409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AA0" w:rsidRDefault="00BF4AA0" w:rsidP="00272090">
      <w:r>
        <w:separator/>
      </w:r>
    </w:p>
  </w:footnote>
  <w:footnote w:type="continuationSeparator" w:id="0">
    <w:p w:rsidR="00BF4AA0" w:rsidRDefault="00BF4AA0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BF4AA0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BF4AA0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BF4AA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2231A5"/>
    <w:rsid w:val="00272090"/>
    <w:rsid w:val="002A17F1"/>
    <w:rsid w:val="00350FCE"/>
    <w:rsid w:val="003616AC"/>
    <w:rsid w:val="00383EFF"/>
    <w:rsid w:val="003C7C47"/>
    <w:rsid w:val="003F0E4C"/>
    <w:rsid w:val="0041485C"/>
    <w:rsid w:val="004D7CC0"/>
    <w:rsid w:val="005236BC"/>
    <w:rsid w:val="005F215D"/>
    <w:rsid w:val="00644C61"/>
    <w:rsid w:val="006A349F"/>
    <w:rsid w:val="006F4BF6"/>
    <w:rsid w:val="00710006"/>
    <w:rsid w:val="0074707D"/>
    <w:rsid w:val="0075409C"/>
    <w:rsid w:val="00796FC3"/>
    <w:rsid w:val="007A731C"/>
    <w:rsid w:val="00943443"/>
    <w:rsid w:val="00951D9F"/>
    <w:rsid w:val="009A389B"/>
    <w:rsid w:val="00A304B2"/>
    <w:rsid w:val="00AF1FE7"/>
    <w:rsid w:val="00B10FAE"/>
    <w:rsid w:val="00B32182"/>
    <w:rsid w:val="00B45872"/>
    <w:rsid w:val="00BA11E1"/>
    <w:rsid w:val="00BB1319"/>
    <w:rsid w:val="00BF4AA0"/>
    <w:rsid w:val="00C02838"/>
    <w:rsid w:val="00C7735C"/>
    <w:rsid w:val="00CA4F70"/>
    <w:rsid w:val="00CF7CBD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896D9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2018-06-04T16:40:00Z</dcterms:created>
  <dcterms:modified xsi:type="dcterms:W3CDTF">2018-06-08T20:22:00Z</dcterms:modified>
</cp:coreProperties>
</file>