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TerraCore System Overview</w:t>
      </w:r>
    </w:p>
    <w:p>
      <w:pPr>
        <w:jc w:val="center"/>
      </w:pPr>
      <w:r>
        <w:rPr>
          <w:i/>
          <w:sz w:val="22"/>
        </w:rPr>
        <w:t>How parcel valuation, risk scoring, and heatmaps are produced</w:t>
      </w:r>
    </w:p>
    <w:p/>
    <w:p>
      <w:r>
        <w:rPr>
          <w:b/>
          <w:sz w:val="32"/>
        </w:rPr>
        <w:t>1. What TerraCore does</w:t>
      </w:r>
    </w:p>
    <w:p>
      <w:r>
        <w:rPr>
          <w:sz w:val="22"/>
        </w:rPr>
        <w:t>TerraCore is a land and property decision-support system. It combines parcel records with nearby infrastructure and environmental data to help teams assess attractiveness, climate-related risk, and spatial hotspots on maps.</w:t>
      </w:r>
    </w:p>
    <w:p>
      <w:pPr>
        <w:pStyle w:val="ListBullet"/>
      </w:pPr>
      <w:r>
        <w:rPr>
          <w:sz w:val="22"/>
        </w:rPr>
        <w:t>Parcel details: name, boundary, owner, status, and related metadata</w:t>
      </w:r>
    </w:p>
    <w:p>
      <w:pPr>
        <w:pStyle w:val="ListBullet"/>
      </w:pPr>
      <w:r>
        <w:rPr>
          <w:sz w:val="22"/>
        </w:rPr>
        <w:t>Nearby infrastructure: schools, hospitals, airports, financial services, populated places, and projects</w:t>
      </w:r>
    </w:p>
    <w:p>
      <w:pPr>
        <w:pStyle w:val="ListBullet"/>
      </w:pPr>
      <w:r>
        <w:rPr>
          <w:sz w:val="22"/>
        </w:rPr>
        <w:t>Environmental and hazard signals: flood, drought, elevation, rainfall, slope, and related context</w:t>
      </w:r>
    </w:p>
    <w:p>
      <w:pPr>
        <w:pStyle w:val="ListBullet"/>
      </w:pPr>
      <w:r>
        <w:rPr>
          <w:sz w:val="22"/>
        </w:rPr>
        <w:t>Map layers and analytics: valuation, risk summaries, and heatmap overlays</w:t>
      </w:r>
    </w:p>
    <w:p>
      <w:r>
        <w:rPr>
          <w:sz w:val="22"/>
        </w:rPr>
        <w:t>Typical questions TerraCore supports:</w:t>
      </w:r>
    </w:p>
    <w:p>
      <w:pPr>
        <w:pStyle w:val="ListBullet"/>
      </w:pPr>
      <w:r>
        <w:rPr>
          <w:sz w:val="22"/>
        </w:rPr>
        <w:t>Which parcels look more attractive based on access to services?</w:t>
      </w:r>
    </w:p>
    <w:p>
      <w:pPr>
        <w:pStyle w:val="ListBullet"/>
      </w:pPr>
      <w:r>
        <w:rPr>
          <w:sz w:val="22"/>
        </w:rPr>
        <w:t>Which parcels have higher climate risk signals?</w:t>
      </w:r>
    </w:p>
    <w:p>
      <w:pPr>
        <w:pStyle w:val="ListBullet"/>
      </w:pPr>
      <w:r>
        <w:rPr>
          <w:sz w:val="22"/>
        </w:rPr>
        <w:t>Where are the hotspots on the map for risk or population pressure?</w:t>
      </w:r>
    </w:p>
    <w:p>
      <w:r>
        <w:rPr>
          <w:b/>
          <w:sz w:val="32"/>
        </w:rPr>
        <w:t>2. What happens when a parcel is added or updated</w:t>
      </w:r>
    </w:p>
    <w:p>
      <w:r>
        <w:rPr>
          <w:sz w:val="22"/>
        </w:rPr>
        <w:t>When a parcel is created or updated, TerraCore runs an analysis workflow in addition to saving the parcel record:</w:t>
      </w:r>
    </w:p>
    <w:p>
      <w:pPr>
        <w:pStyle w:val="ListNumber"/>
      </w:pPr>
      <w:r>
        <w:rPr>
          <w:sz w:val="22"/>
        </w:rPr>
        <w:t>Store the parcel boundary and details.</w:t>
      </w:r>
    </w:p>
    <w:p>
      <w:pPr>
        <w:pStyle w:val="ListNumber"/>
      </w:pPr>
      <w:r>
        <w:rPr>
          <w:sz w:val="22"/>
        </w:rPr>
        <w:t>Calculate area and perimeter.</w:t>
      </w:r>
    </w:p>
    <w:p>
      <w:pPr>
        <w:pStyle w:val="ListNumber"/>
      </w:pPr>
      <w:r>
        <w:rPr>
          <w:sz w:val="22"/>
        </w:rPr>
        <w:t>Enrich the parcel with environmental and risk inputs.</w:t>
      </w:r>
    </w:p>
    <w:p>
      <w:pPr>
        <w:pStyle w:val="ListNumber"/>
      </w:pPr>
      <w:r>
        <w:rPr>
          <w:sz w:val="22"/>
        </w:rPr>
        <w:t>Calculate or refresh the valuation score.</w:t>
      </w:r>
    </w:p>
    <w:p>
      <w:pPr>
        <w:pStyle w:val="ListNumber"/>
      </w:pPr>
      <w:r>
        <w:rPr>
          <w:sz w:val="22"/>
        </w:rPr>
        <w:t>Refresh analytics views used for heatmaps.</w:t>
      </w:r>
    </w:p>
    <w:p>
      <w:pPr>
        <w:pStyle w:val="ListNumber"/>
      </w:pPr>
      <w:r>
        <w:rPr>
          <w:sz w:val="22"/>
        </w:rPr>
        <w:t>Sync map layers to GeoServer so the latest data is visible on maps.</w:t>
      </w:r>
    </w:p>
    <w:p>
      <w:r>
        <w:rPr>
          <w:b/>
          <w:sz w:val="32"/>
        </w:rPr>
        <w:t>3. Parcel valuation</w:t>
      </w:r>
    </w:p>
    <w:p>
      <w:r>
        <w:rPr>
          <w:b/>
          <w:sz w:val="26"/>
        </w:rPr>
        <w:t>3.1 Core idea</w:t>
      </w:r>
    </w:p>
    <w:p>
      <w:r>
        <w:rPr>
          <w:sz w:val="22"/>
        </w:rPr>
        <w:t>A parcel’s valuation score is driven by nearby infrastructure. Two factors determine how much each item contributes:</w:t>
      </w:r>
    </w:p>
    <w:p>
      <w:pPr>
        <w:pStyle w:val="ListBullet"/>
      </w:pPr>
      <w:r>
        <w:rPr>
          <w:sz w:val="22"/>
        </w:rPr>
        <w:t>Importance of the infrastructure type (weight)</w:t>
      </w:r>
    </w:p>
    <w:p>
      <w:pPr>
        <w:pStyle w:val="ListBullet"/>
      </w:pPr>
      <w:r>
        <w:rPr>
          <w:sz w:val="22"/>
        </w:rPr>
        <w:t>Distance from the parcel (closer items contribute more)</w:t>
      </w:r>
    </w:p>
    <w:p>
      <w:r>
        <w:rPr>
          <w:b/>
          <w:sz w:val="26"/>
        </w:rPr>
        <w:t>3.2 Infrastructure weights (current)</w:t>
      </w:r>
    </w:p>
    <w:p>
      <w:r>
        <w:rPr>
          <w:sz w:val="22"/>
        </w:rPr>
        <w:t>Examples of the current weight settings:</w:t>
      </w:r>
    </w:p>
    <w:p>
      <w:pPr>
        <w:pStyle w:val="ListBullet"/>
      </w:pPr>
      <w:r>
        <w:rPr>
          <w:sz w:val="22"/>
        </w:rPr>
        <w:t>Health facility: 3.5</w:t>
      </w:r>
    </w:p>
    <w:p>
      <w:pPr>
        <w:pStyle w:val="ListBullet"/>
      </w:pPr>
      <w:r>
        <w:rPr>
          <w:sz w:val="22"/>
        </w:rPr>
        <w:t>School: 2.5</w:t>
      </w:r>
    </w:p>
    <w:p>
      <w:pPr>
        <w:pStyle w:val="ListBullet"/>
      </w:pPr>
      <w:r>
        <w:rPr>
          <w:sz w:val="22"/>
        </w:rPr>
        <w:t>Airport: 2.2</w:t>
      </w:r>
    </w:p>
    <w:p>
      <w:pPr>
        <w:pStyle w:val="ListBullet"/>
      </w:pPr>
      <w:r>
        <w:rPr>
          <w:sz w:val="22"/>
        </w:rPr>
        <w:t>Financial service: 2.0</w:t>
      </w:r>
    </w:p>
    <w:p>
      <w:pPr>
        <w:pStyle w:val="ListBullet"/>
      </w:pPr>
      <w:r>
        <w:rPr>
          <w:sz w:val="22"/>
        </w:rPr>
        <w:t>Populated place: 1.4</w:t>
      </w:r>
    </w:p>
    <w:p>
      <w:r>
        <w:rPr>
          <w:b/>
          <w:sz w:val="26"/>
        </w:rPr>
        <w:t>3.3 Distance effect</w:t>
      </w:r>
    </w:p>
    <w:p>
      <w:r>
        <w:rPr>
          <w:sz w:val="22"/>
        </w:rPr>
        <w:t>For each nearby item, TerraCore computes a distance factor between 0 and 1:</w:t>
      </w:r>
    </w:p>
    <w:p>
      <w:r>
        <w:rPr>
          <w:rFonts w:ascii="Consolas" w:hAnsi="Consolas"/>
          <w:sz w:val="21"/>
        </w:rPr>
        <w:t>distance_factor = 1 - (distance / search_radius)</w:t>
      </w:r>
    </w:p>
    <w:p>
      <w:r>
        <w:rPr>
          <w:sz w:val="22"/>
        </w:rPr>
        <w:t>The result is clamped between 0 and 1. Items very close to the parcel are near 1.0; items near the edge of the search radius are near 0.0.</w:t>
      </w:r>
    </w:p>
    <w:p>
      <w:r>
        <w:rPr>
          <w:b/>
          <w:sz w:val="26"/>
        </w:rPr>
        <w:t>3.4 Contribution and score scaling</w:t>
      </w:r>
    </w:p>
    <w:p>
      <w:r>
        <w:rPr>
          <w:sz w:val="22"/>
        </w:rPr>
        <w:t>Each nearby item contributes using:</w:t>
      </w:r>
    </w:p>
    <w:p>
      <w:r>
        <w:rPr>
          <w:rFonts w:ascii="Consolas" w:hAnsi="Consolas"/>
          <w:sz w:val="21"/>
        </w:rPr>
        <w:t>contribution = adjusted_weight * distance_factor</w:t>
      </w:r>
    </w:p>
    <w:p>
      <w:r>
        <w:rPr>
          <w:sz w:val="22"/>
        </w:rPr>
        <w:t>All contributions are summed and scaled into a 0–100-style score (capped at 100):</w:t>
      </w:r>
    </w:p>
    <w:p>
      <w:r>
        <w:rPr>
          <w:rFonts w:ascii="Consolas" w:hAnsi="Consolas"/>
          <w:sz w:val="21"/>
        </w:rPr>
        <w:t>valuation_score = min(100, total_contribution * 5)</w:t>
      </w:r>
    </w:p>
    <w:p>
      <w:r>
        <w:rPr>
          <w:b/>
          <w:sz w:val="26"/>
        </w:rPr>
        <w:t>3.5 Project status multipliers</w:t>
      </w:r>
    </w:p>
    <w:p>
      <w:r>
        <w:rPr>
          <w:sz w:val="22"/>
        </w:rPr>
        <w:t>Infrastructure projects are discounted based on status:</w:t>
      </w:r>
    </w:p>
    <w:p>
      <w:pPr>
        <w:pStyle w:val="ListBullet"/>
      </w:pPr>
      <w:r>
        <w:rPr>
          <w:sz w:val="22"/>
        </w:rPr>
        <w:t>Planned: 0.3</w:t>
      </w:r>
    </w:p>
    <w:p>
      <w:pPr>
        <w:pStyle w:val="ListBullet"/>
      </w:pPr>
      <w:r>
        <w:rPr>
          <w:sz w:val="22"/>
        </w:rPr>
        <w:t>Under construction: 0.5 to 0.7 (depends on completion %)</w:t>
      </w:r>
    </w:p>
    <w:p>
      <w:pPr>
        <w:pStyle w:val="ListBullet"/>
      </w:pPr>
      <w:r>
        <w:rPr>
          <w:sz w:val="22"/>
        </w:rPr>
        <w:t>Completed: 1.0</w:t>
      </w:r>
    </w:p>
    <w:p>
      <w:pPr>
        <w:pStyle w:val="ListBullet"/>
      </w:pPr>
      <w:r>
        <w:rPr>
          <w:sz w:val="22"/>
        </w:rPr>
        <w:t>Cancelled: 0.0</w:t>
      </w:r>
    </w:p>
    <w:p>
      <w:r>
        <w:rPr>
          <w:b/>
          <w:sz w:val="26"/>
        </w:rPr>
        <w:t>3.6 Example</w:t>
      </w:r>
    </w:p>
    <w:p>
      <w:r>
        <w:rPr>
          <w:sz w:val="22"/>
        </w:rPr>
        <w:t>Assume a search radius of 5 km and the parcel has the following nearby items:</w:t>
      </w:r>
    </w:p>
    <w:p>
      <w:pPr>
        <w:pStyle w:val="ListBullet"/>
      </w:pPr>
      <w:r>
        <w:rPr>
          <w:sz w:val="22"/>
        </w:rPr>
        <w:t>School at 1 km (weight 2.5)</w:t>
      </w:r>
    </w:p>
    <w:p>
      <w:pPr>
        <w:pStyle w:val="ListBullet"/>
      </w:pPr>
      <w:r>
        <w:rPr>
          <w:sz w:val="22"/>
        </w:rPr>
        <w:t>Health facility at 2 km (weight 3.5)</w:t>
      </w:r>
    </w:p>
    <w:p>
      <w:r>
        <w:rPr>
          <w:sz w:val="22"/>
        </w:rPr>
        <w:t>Distance factors:</w:t>
      </w:r>
    </w:p>
    <w:p>
      <w:pPr>
        <w:pStyle w:val="ListBullet"/>
      </w:pPr>
      <w:r>
        <w:rPr>
          <w:sz w:val="22"/>
        </w:rPr>
        <w:t>School: 1 - 1/5 = 0.8</w:t>
      </w:r>
    </w:p>
    <w:p>
      <w:pPr>
        <w:pStyle w:val="ListBullet"/>
      </w:pPr>
      <w:r>
        <w:rPr>
          <w:sz w:val="22"/>
        </w:rPr>
        <w:t>Health facility: 1 - 2/5 = 0.6</w:t>
      </w:r>
    </w:p>
    <w:p>
      <w:r>
        <w:rPr>
          <w:sz w:val="22"/>
        </w:rPr>
        <w:t>Contributions:</w:t>
      </w:r>
    </w:p>
    <w:p>
      <w:pPr>
        <w:pStyle w:val="ListBullet"/>
      </w:pPr>
      <w:r>
        <w:rPr>
          <w:sz w:val="22"/>
        </w:rPr>
        <w:t>School: 2.5 * 0.8 = 2.0</w:t>
      </w:r>
    </w:p>
    <w:p>
      <w:pPr>
        <w:pStyle w:val="ListBullet"/>
      </w:pPr>
      <w:r>
        <w:rPr>
          <w:sz w:val="22"/>
        </w:rPr>
        <w:t>Health: 3.5 * 0.6 = 2.1</w:t>
      </w:r>
    </w:p>
    <w:p>
      <w:r>
        <w:rPr>
          <w:sz w:val="22"/>
        </w:rPr>
        <w:t>Total contribution = 4.1</w:t>
      </w:r>
    </w:p>
    <w:p>
      <w:r>
        <w:rPr>
          <w:sz w:val="22"/>
        </w:rPr>
        <w:t>Valuation score = 4.1 * 5 = 20.5</w:t>
      </w:r>
    </w:p>
    <w:p>
      <w:r>
        <w:rPr>
          <w:sz w:val="22"/>
        </w:rPr>
        <w:t>Completed projects contribute more than planned projects because planned items are discounted by the status multiplier.</w:t>
      </w:r>
    </w:p>
    <w:p>
      <w:r>
        <w:rPr>
          <w:b/>
          <w:sz w:val="32"/>
        </w:rPr>
        <w:t>4. Risk scoring</w:t>
      </w:r>
    </w:p>
    <w:p>
      <w:r>
        <w:rPr>
          <w:b/>
          <w:sz w:val="26"/>
        </w:rPr>
        <w:t>4.1 Inputs</w:t>
      </w:r>
    </w:p>
    <w:p>
      <w:r>
        <w:rPr>
          <w:sz w:val="22"/>
        </w:rPr>
        <w:t>Risk scoring uses hazard and environmental signals such as:</w:t>
      </w:r>
    </w:p>
    <w:p>
      <w:pPr>
        <w:pStyle w:val="ListBullet"/>
      </w:pPr>
      <w:r>
        <w:rPr>
          <w:sz w:val="22"/>
        </w:rPr>
        <w:t>Flood risk</w:t>
      </w:r>
    </w:p>
    <w:p>
      <w:pPr>
        <w:pStyle w:val="ListBullet"/>
      </w:pPr>
      <w:r>
        <w:rPr>
          <w:sz w:val="22"/>
        </w:rPr>
        <w:t>Drought risk</w:t>
      </w:r>
    </w:p>
    <w:p>
      <w:pPr>
        <w:pStyle w:val="ListBullet"/>
      </w:pPr>
      <w:r>
        <w:rPr>
          <w:sz w:val="22"/>
        </w:rPr>
        <w:t>Sea-level / elevation-related risk</w:t>
      </w:r>
    </w:p>
    <w:p>
      <w:pPr>
        <w:pStyle w:val="ListBullet"/>
      </w:pPr>
      <w:r>
        <w:rPr>
          <w:sz w:val="22"/>
        </w:rPr>
        <w:t>Supporting context: rainfall, elevation, slope, and related variables</w:t>
      </w:r>
    </w:p>
    <w:p>
      <w:r>
        <w:rPr>
          <w:b/>
          <w:sz w:val="26"/>
        </w:rPr>
        <w:t>4.2 Overall risk and bands</w:t>
      </w:r>
    </w:p>
    <w:p>
      <w:r>
        <w:rPr>
          <w:sz w:val="22"/>
        </w:rPr>
        <w:t>When hazard scores are available, TerraCore computes overall risk as the average of the main hazard signals:</w:t>
      </w:r>
    </w:p>
    <w:p>
      <w:r>
        <w:rPr>
          <w:rFonts w:ascii="Consolas" w:hAnsi="Consolas"/>
          <w:sz w:val="21"/>
        </w:rPr>
        <w:t>overall_risk = average(flood, drought, sea_level)</w:t>
      </w:r>
    </w:p>
    <w:p>
      <w:r>
        <w:rPr>
          <w:sz w:val="22"/>
        </w:rPr>
        <w:t>The system assigns a band based on the score:</w:t>
      </w:r>
    </w:p>
    <w:p>
      <w:pPr>
        <w:pStyle w:val="ListBullet"/>
      </w:pPr>
      <w:r>
        <w:rPr>
          <w:sz w:val="22"/>
        </w:rPr>
        <w:t>70 or higher: High</w:t>
      </w:r>
    </w:p>
    <w:p>
      <w:pPr>
        <w:pStyle w:val="ListBullet"/>
      </w:pPr>
      <w:r>
        <w:rPr>
          <w:sz w:val="22"/>
        </w:rPr>
        <w:t>40 to under 70: Moderate</w:t>
      </w:r>
    </w:p>
    <w:p>
      <w:pPr>
        <w:pStyle w:val="ListBullet"/>
      </w:pPr>
      <w:r>
        <w:rPr>
          <w:sz w:val="22"/>
        </w:rPr>
        <w:t>Under 40: Low</w:t>
      </w:r>
    </w:p>
    <w:p>
      <w:r>
        <w:rPr>
          <w:sz w:val="22"/>
        </w:rPr>
        <w:t>Some interfaces may show additional labels (for example, Critical) depending on the assessment method version and available data.</w:t>
      </w:r>
    </w:p>
    <w:p>
      <w:r>
        <w:rPr>
          <w:b/>
          <w:sz w:val="26"/>
        </w:rPr>
        <w:t>4.3 Example</w:t>
      </w:r>
    </w:p>
    <w:p>
      <w:r>
        <w:rPr>
          <w:sz w:val="22"/>
        </w:rPr>
        <w:t>If a parcel has flood = 80, drought = 35, and sea-level = 45:</w:t>
      </w:r>
    </w:p>
    <w:p>
      <w:r>
        <w:rPr>
          <w:rFonts w:ascii="Consolas" w:hAnsi="Consolas"/>
          <w:sz w:val="21"/>
        </w:rPr>
        <w:t>overall_risk = (80 + 35 + 45) / 3 = 53.3</w:t>
      </w:r>
    </w:p>
    <w:p>
      <w:r>
        <w:rPr>
          <w:sz w:val="22"/>
        </w:rPr>
        <w:t>Risk band = Moderate.</w:t>
      </w:r>
    </w:p>
    <w:p>
      <w:r>
        <w:rPr>
          <w:b/>
          <w:sz w:val="32"/>
        </w:rPr>
        <w:t>5. Heatmaps and map layers</w:t>
      </w:r>
    </w:p>
    <w:p>
      <w:r>
        <w:rPr>
          <w:b/>
          <w:sz w:val="26"/>
        </w:rPr>
        <w:t>5.1 Population density heatmap</w:t>
      </w:r>
    </w:p>
    <w:p>
      <w:r>
        <w:rPr>
          <w:sz w:val="22"/>
        </w:rPr>
        <w:t>Layer: population_density_grid_mv</w:t>
      </w:r>
    </w:p>
    <w:p>
      <w:pPr>
        <w:pStyle w:val="ListNumber"/>
      </w:pPr>
      <w:r>
        <w:rPr>
          <w:sz w:val="22"/>
        </w:rPr>
        <w:t>Create a grid over the parcel extent.</w:t>
      </w:r>
    </w:p>
    <w:p>
      <w:pPr>
        <w:pStyle w:val="ListNumber"/>
      </w:pPr>
      <w:r>
        <w:rPr>
          <w:sz w:val="22"/>
        </w:rPr>
        <w:t>Aggregate population data into each grid cell.</w:t>
      </w:r>
    </w:p>
    <w:p>
      <w:pPr>
        <w:pStyle w:val="ListNumber"/>
      </w:pPr>
      <w:r>
        <w:rPr>
          <w:sz w:val="22"/>
        </w:rPr>
        <w:t>Compute density per square kilometer.</w:t>
      </w:r>
    </w:p>
    <w:p>
      <w:pPr>
        <w:pStyle w:val="ListNumber"/>
      </w:pPr>
      <w:r>
        <w:rPr>
          <w:sz w:val="22"/>
        </w:rPr>
        <w:t>Store results in a materialized view for fast map rendering.</w:t>
      </w:r>
    </w:p>
    <w:p>
      <w:r>
        <w:rPr>
          <w:sz w:val="22"/>
        </w:rPr>
        <w:t>This layer highlights population pressure without requiring users to inspect raw tables.</w:t>
      </w:r>
    </w:p>
    <w:p>
      <w:r>
        <w:rPr>
          <w:b/>
          <w:sz w:val="26"/>
        </w:rPr>
        <w:t>5.2 Risk summary layer</w:t>
      </w:r>
    </w:p>
    <w:p>
      <w:r>
        <w:rPr>
          <w:sz w:val="22"/>
        </w:rPr>
        <w:t>Layer: parcel_risk_summary_mv</w:t>
      </w:r>
    </w:p>
    <w:p>
      <w:r>
        <w:rPr>
          <w:sz w:val="22"/>
        </w:rPr>
        <w:t>This layer stores:</w:t>
      </w:r>
    </w:p>
    <w:p>
      <w:pPr>
        <w:pStyle w:val="ListBullet"/>
      </w:pPr>
      <w:r>
        <w:rPr>
          <w:sz w:val="22"/>
        </w:rPr>
        <w:t>Latest risk score</w:t>
      </w:r>
    </w:p>
    <w:p>
      <w:pPr>
        <w:pStyle w:val="ListBullet"/>
      </w:pPr>
      <w:r>
        <w:rPr>
          <w:sz w:val="22"/>
        </w:rPr>
        <w:t>Risk band</w:t>
      </w:r>
    </w:p>
    <w:p>
      <w:pPr>
        <w:pStyle w:val="ListBullet"/>
      </w:pPr>
      <w:r>
        <w:rPr>
          <w:sz w:val="22"/>
        </w:rPr>
        <w:t>Risk drivers and supporting context</w:t>
      </w:r>
    </w:p>
    <w:p>
      <w:r>
        <w:rPr>
          <w:sz w:val="22"/>
        </w:rPr>
        <w:t>It enables rapid identification of higher-risk parcels and zones on the map.</w:t>
      </w:r>
    </w:p>
    <w:p>
      <w:r>
        <w:rPr>
          <w:b/>
          <w:sz w:val="26"/>
        </w:rPr>
        <w:t>5.3 Color meaning (population density)</w:t>
      </w:r>
    </w:p>
    <w:p>
      <w:r>
        <w:rPr>
          <w:sz w:val="22"/>
        </w:rPr>
        <w:t>The current styling ramp progresses from:</w:t>
      </w:r>
    </w:p>
    <w:p>
      <w:pPr>
        <w:pStyle w:val="ListBullet"/>
      </w:pPr>
      <w:r>
        <w:rPr>
          <w:sz w:val="22"/>
        </w:rPr>
        <w:t>Very low density: light yellow</w:t>
      </w:r>
    </w:p>
    <w:p>
      <w:pPr>
        <w:pStyle w:val="ListBullet"/>
      </w:pPr>
      <w:r>
        <w:rPr>
          <w:sz w:val="22"/>
        </w:rPr>
        <w:t>Medium density: orange</w:t>
      </w:r>
    </w:p>
    <w:p>
      <w:pPr>
        <w:pStyle w:val="ListBullet"/>
      </w:pPr>
      <w:r>
        <w:rPr>
          <w:sz w:val="22"/>
        </w:rPr>
        <w:t>High density: red</w:t>
      </w:r>
    </w:p>
    <w:p>
      <w:pPr>
        <w:pStyle w:val="ListBullet"/>
      </w:pPr>
      <w:r>
        <w:rPr>
          <w:sz w:val="22"/>
        </w:rPr>
        <w:t>Very high density: dark red</w:t>
      </w:r>
    </w:p>
    <w:p>
      <w:pPr>
        <w:pStyle w:val="ListBullet"/>
      </w:pPr>
      <w:r>
        <w:rPr>
          <w:sz w:val="22"/>
        </w:rPr>
        <w:t>Unknown: gray</w:t>
      </w:r>
    </w:p>
    <w:p>
      <w:r>
        <w:rPr>
          <w:sz w:val="22"/>
        </w:rPr>
        <w:t>Interpretation: lighter colors indicate lower density; darker/hotter colors indicate higher density.</w:t>
      </w:r>
    </w:p>
    <w:p>
      <w:r>
        <w:rPr>
          <w:b/>
          <w:sz w:val="26"/>
        </w:rPr>
        <w:t>5.4 Refresh behavior</w:t>
      </w:r>
    </w:p>
    <w:p>
      <w:r>
        <w:rPr>
          <w:sz w:val="22"/>
        </w:rPr>
        <w:t>Heatmap layers are refreshed:</w:t>
      </w:r>
    </w:p>
    <w:p>
      <w:pPr>
        <w:pStyle w:val="ListBullet"/>
      </w:pPr>
      <w:r>
        <w:rPr>
          <w:sz w:val="22"/>
        </w:rPr>
        <w:t>After relevant parcel ingestion or updates</w:t>
      </w:r>
    </w:p>
    <w:p>
      <w:pPr>
        <w:pStyle w:val="ListBullet"/>
      </w:pPr>
      <w:r>
        <w:rPr>
          <w:sz w:val="22"/>
        </w:rPr>
        <w:t>On a scheduled refresh (hourly)</w:t>
      </w:r>
    </w:p>
    <w:p>
      <w:r>
        <w:rPr>
          <w:sz w:val="22"/>
        </w:rPr>
        <w:t>This keeps map views reasonably up to date.</w:t>
      </w:r>
    </w:p>
    <w:p>
      <w:r>
        <w:rPr>
          <w:b/>
          <w:sz w:val="32"/>
        </w:rPr>
        <w:t>6. Nearby infrastructure impact</w:t>
      </w:r>
    </w:p>
    <w:p>
      <w:r>
        <w:rPr>
          <w:sz w:val="22"/>
        </w:rPr>
        <w:t>Nearby services (hospitals, schools, airports, financial services, and other infrastructure) increase the parcel’s attractiveness score. Closer infrastructure has a stronger impact, and future projects are discounted until they are built.</w:t>
      </w:r>
    </w:p>
    <w:p>
      <w:r>
        <w:rPr>
          <w:b/>
          <w:sz w:val="32"/>
        </w:rPr>
        <w:t>7. How to interpret results</w:t>
      </w:r>
    </w:p>
    <w:p>
      <w:pPr>
        <w:pStyle w:val="ListNumber"/>
      </w:pPr>
      <w:r>
        <w:rPr>
          <w:sz w:val="22"/>
        </w:rPr>
        <w:t>Review the valuation score and the top nearby contributors.</w:t>
      </w:r>
    </w:p>
    <w:p>
      <w:pPr>
        <w:pStyle w:val="ListNumber"/>
      </w:pPr>
      <w:r>
        <w:rPr>
          <w:sz w:val="22"/>
        </w:rPr>
        <w:t>Review the risk score and risk band.</w:t>
      </w:r>
    </w:p>
    <w:p>
      <w:pPr>
        <w:pStyle w:val="ListNumber"/>
      </w:pPr>
      <w:r>
        <w:rPr>
          <w:sz w:val="22"/>
        </w:rPr>
        <w:t>Use map overlays (population density and risk context) to understand surrounding conditions.</w:t>
      </w:r>
    </w:p>
    <w:p>
      <w:pPr>
        <w:pStyle w:val="ListNumber"/>
      </w:pPr>
      <w:r>
        <w:rPr>
          <w:sz w:val="22"/>
        </w:rPr>
        <w:t>Confirm whether nearby projects are planned, under construction, or completed.</w:t>
      </w:r>
    </w:p>
    <w:p>
      <w:r>
        <w:rPr>
          <w:b/>
          <w:sz w:val="32"/>
        </w:rPr>
        <w:t>8. Caveats</w:t>
      </w:r>
    </w:p>
    <w:p>
      <w:pPr>
        <w:pStyle w:val="ListBullet"/>
      </w:pPr>
      <w:r>
        <w:rPr>
          <w:sz w:val="22"/>
        </w:rPr>
        <w:t>Scores are model-driven estimates and are not guaranteed market prices.</w:t>
      </w:r>
    </w:p>
    <w:p>
      <w:pPr>
        <w:pStyle w:val="ListBullet"/>
      </w:pPr>
      <w:r>
        <w:rPr>
          <w:sz w:val="22"/>
        </w:rPr>
        <w:t>Outputs depend on data quality and data freshness.</w:t>
      </w:r>
    </w:p>
    <w:p>
      <w:pPr>
        <w:pStyle w:val="ListBullet"/>
      </w:pPr>
      <w:r>
        <w:rPr>
          <w:sz w:val="22"/>
        </w:rPr>
        <w:t>Missing external data can trigger fallback estimation.</w:t>
      </w:r>
    </w:p>
    <w:p>
      <w:pPr>
        <w:pStyle w:val="ListBullet"/>
      </w:pPr>
      <w:r>
        <w:rPr>
          <w:sz w:val="22"/>
        </w:rPr>
        <w:t>Project benefits are probabilistic before completion.</w:t>
      </w:r>
    </w:p>
    <w:p>
      <w:r>
        <w:rPr>
          <w:sz w:val="22"/>
        </w:rPr>
        <w:t>Best use: screening and prioritization, alongside field verification and legal/financial review where required.</w:t>
      </w:r>
    </w:p>
    <w:p>
      <w:r>
        <w:rPr>
          <w:b/>
          <w:sz w:val="32"/>
        </w:rPr>
        <w:t>9. Summary</w:t>
      </w:r>
    </w:p>
    <w:p>
      <w:pPr>
        <w:pStyle w:val="ListBullet"/>
      </w:pPr>
      <w:r>
        <w:rPr>
          <w:sz w:val="22"/>
        </w:rPr>
        <w:t>Valuation: weighted nearby infrastructure + distance effect + project status multipliers.</w:t>
      </w:r>
    </w:p>
    <w:p>
      <w:pPr>
        <w:pStyle w:val="ListBullet"/>
      </w:pPr>
      <w:r>
        <w:rPr>
          <w:sz w:val="22"/>
        </w:rPr>
        <w:t>Risk: hazard signals combined into an overall score and band.</w:t>
      </w:r>
    </w:p>
    <w:p>
      <w:pPr>
        <w:pStyle w:val="ListBullet"/>
      </w:pPr>
      <w:r>
        <w:rPr>
          <w:sz w:val="22"/>
        </w:rPr>
        <w:t>Heatmaps: precomputed layers for fast visual insight (density and risk context).</w:t>
      </w:r>
    </w:p>
    <w:p>
      <w:pPr>
        <w:pStyle w:val="ListBullet"/>
      </w:pPr>
      <w:r>
        <w:rPr>
          <w:sz w:val="22"/>
        </w:rPr>
        <w:t>Outcome: faster parcel prioritization with opportunity and risk visible together.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