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B6292" w14:textId="7643CFE6" w:rsidR="00D46CA7" w:rsidRPr="00374ECE" w:rsidRDefault="00D46CA7" w:rsidP="00D46CA7">
      <w:pPr>
        <w:pStyle w:val="Title"/>
        <w:rPr>
          <w:b/>
          <w:bCs/>
          <w:sz w:val="28"/>
          <w:szCs w:val="28"/>
          <w:u w:val="single"/>
        </w:rPr>
      </w:pPr>
      <w:r w:rsidRPr="00374ECE">
        <w:rPr>
          <w:b/>
          <w:bCs/>
          <w:sz w:val="28"/>
          <w:szCs w:val="28"/>
          <w:u w:val="single"/>
        </w:rPr>
        <w:t>Q2:</w:t>
      </w:r>
    </w:p>
    <w:p w14:paraId="228BB074" w14:textId="4ED3DB9C" w:rsidR="00D46CA7" w:rsidRPr="00D46CA7" w:rsidRDefault="00D46CA7" w:rsidP="00D46C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0"/>
          <w:szCs w:val="20"/>
        </w:rPr>
        <w:t>The output for question 2a) is shown below:</w:t>
      </w:r>
    </w:p>
    <w:p w14:paraId="1F4FE577" w14:textId="309CD14E" w:rsidR="00D43C86" w:rsidRDefault="00D46CA7" w:rsidP="005926B3">
      <w:pPr>
        <w:ind w:left="2880" w:firstLine="720"/>
      </w:pPr>
      <w:r>
        <w:object w:dxaOrig="8625" w:dyaOrig="4035" w14:anchorId="2CB6CC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35pt;height:201.6pt" o:ole="">
            <v:imagedata r:id="rId6" o:title="" cropleft="20260f" cropright="23489f"/>
          </v:shape>
          <o:OLEObject Type="Embed" ProgID="WordPad.Document.1" ShapeID="_x0000_i1025" DrawAspect="Content" ObjectID="_1652645063" r:id="rId7"/>
        </w:object>
      </w:r>
    </w:p>
    <w:p w14:paraId="22642D15" w14:textId="77777777" w:rsidR="00374ECE" w:rsidRPr="00374ECE" w:rsidRDefault="00D46CA7" w:rsidP="00374ECE"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</w:rPr>
        <w:t>The output from question 2a shows that as the matrix grows, the condition</w:t>
      </w:r>
      <w:r w:rsidR="00CF2A09">
        <w:rPr>
          <w:sz w:val="20"/>
          <w:szCs w:val="20"/>
        </w:rPr>
        <w:t xml:space="preserve"> n</w:t>
      </w:r>
      <w:r>
        <w:rPr>
          <w:sz w:val="20"/>
          <w:szCs w:val="20"/>
        </w:rPr>
        <w:t>umber also</w:t>
      </w:r>
      <w:r w:rsidR="00CF2A09">
        <w:rPr>
          <w:sz w:val="20"/>
          <w:szCs w:val="20"/>
        </w:rPr>
        <w:t xml:space="preserve"> goes up and the relative error also grows up. </w:t>
      </w:r>
      <w:r w:rsidR="005926B3">
        <w:rPr>
          <w:sz w:val="20"/>
          <w:szCs w:val="20"/>
        </w:rPr>
        <w:t xml:space="preserve">The data type I use in my code is </w:t>
      </w:r>
      <w:proofErr w:type="spellStart"/>
      <w:r w:rsidR="005926B3">
        <w:rPr>
          <w:sz w:val="20"/>
          <w:szCs w:val="20"/>
        </w:rPr>
        <w:t>numpy’s</w:t>
      </w:r>
      <w:proofErr w:type="spellEnd"/>
      <w:r w:rsidR="005926B3">
        <w:rPr>
          <w:sz w:val="20"/>
          <w:szCs w:val="20"/>
        </w:rPr>
        <w:t xml:space="preserve"> float64 with a machine epsilon of 1e-16. </w:t>
      </w:r>
      <w:r w:rsidR="00CF2A09">
        <w:rPr>
          <w:sz w:val="20"/>
          <w:szCs w:val="20"/>
        </w:rPr>
        <w:t xml:space="preserve">The number of correct digits follows the theoretical bound of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cond(H)</m:t>
            </m:r>
          </m:e>
        </m:func>
      </m:oMath>
      <w:r w:rsidR="005926B3">
        <w:rPr>
          <w:sz w:val="20"/>
          <w:szCs w:val="20"/>
        </w:rPr>
        <w:t xml:space="preserve">, the for n = 13, the number of digit we loose is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cond(4.276e17)</m:t>
            </m:r>
          </m:e>
        </m:func>
        <m:r>
          <w:rPr>
            <w:rFonts w:ascii="Cambria Math" w:hAnsi="Cambria Math"/>
            <w:sz w:val="20"/>
            <w:szCs w:val="20"/>
          </w:rPr>
          <m:t>≈17</m:t>
        </m:r>
      </m:oMath>
      <w:r w:rsidR="005926B3">
        <w:rPr>
          <w:sz w:val="20"/>
          <w:szCs w:val="20"/>
        </w:rPr>
        <w:t xml:space="preserve">, which agree with the relative error we calculated (A relative error more than 1 means that no digits are correct). And the relative error for the computed solution is strictly with in the bound of </w:t>
      </w:r>
      <m:oMath>
        <m:r>
          <w:rPr>
            <w:rFonts w:ascii="Cambria Math" w:hAnsi="Cambria Math"/>
            <w:sz w:val="20"/>
            <w:szCs w:val="20"/>
          </w:rPr>
          <m:t>cond(H)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="00374ECE">
        <w:rPr>
          <w:sz w:val="20"/>
          <w:szCs w:val="20"/>
        </w:rPr>
        <w:t xml:space="preserve"> as the Heath textbook suggested.</w:t>
      </w:r>
    </w:p>
    <w:p w14:paraId="2281FDA4" w14:textId="2905E96E" w:rsidR="00374ECE" w:rsidRDefault="00374ECE" w:rsidP="00374ECE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74ECE">
        <w:rPr>
          <w:rFonts w:asciiTheme="majorHAnsi" w:hAnsiTheme="majorHAnsi" w:cstheme="majorHAnsi"/>
          <w:b/>
          <w:bCs/>
          <w:sz w:val="28"/>
          <w:szCs w:val="28"/>
          <w:u w:val="single"/>
        </w:rPr>
        <w:t>Q3:</w:t>
      </w:r>
    </w:p>
    <w:p w14:paraId="28ECFD73" w14:textId="58852B0D" w:rsidR="00FC634A" w:rsidRDefault="00FC634A" w:rsidP="00374EC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The process of </w:t>
      </w:r>
      <w:proofErr w:type="spellStart"/>
      <w:r>
        <w:rPr>
          <w:rFonts w:asciiTheme="majorHAnsi" w:hAnsiTheme="majorHAnsi" w:cstheme="majorHAnsi"/>
          <w:sz w:val="20"/>
          <w:szCs w:val="20"/>
        </w:rPr>
        <w:t>Guassian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elimination is shown below:</w:t>
      </w:r>
    </w:p>
    <w:p w14:paraId="62D8F840" w14:textId="46193FBC" w:rsidR="00374ECE" w:rsidRPr="00731F10" w:rsidRDefault="00533CAF" w:rsidP="00FC634A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1+ε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51AEFC04" w14:textId="1C448D75" w:rsidR="00731F10" w:rsidRPr="00731F10" w:rsidRDefault="00731F10" w:rsidP="00FC634A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subtract row1/</w:t>
      </w:r>
      <m:oMath>
        <m:r>
          <w:rPr>
            <w:rFonts w:ascii="Cambria Math" w:hAnsi="Cambria Math" w:cstheme="majorHAnsi"/>
            <w:sz w:val="20"/>
            <w:szCs w:val="20"/>
          </w:rPr>
          <m:t>ε</m:t>
        </m:r>
      </m:oMath>
      <w:r>
        <w:rPr>
          <w:rFonts w:asciiTheme="majorHAnsi" w:hAnsiTheme="majorHAnsi" w:cstheme="majorHAnsi"/>
          <w:sz w:val="20"/>
          <w:szCs w:val="20"/>
        </w:rPr>
        <w:t xml:space="preserve"> from row2:</w:t>
      </w:r>
    </w:p>
    <w:p w14:paraId="0205D738" w14:textId="698DEF08" w:rsidR="00FC634A" w:rsidRPr="0039776A" w:rsidRDefault="00533CAF" w:rsidP="00FC634A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ε-1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ε</m:t>
                            </m:r>
                          </m:den>
                        </m:f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1+ε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ε-1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ε</m:t>
                        </m:r>
                      </m:den>
                    </m:f>
                  </m:e>
                </m:mr>
              </m:m>
            </m:e>
          </m:d>
        </m:oMath>
      </m:oMathPara>
    </w:p>
    <w:p w14:paraId="0517F16F" w14:textId="1D9A922E" w:rsidR="0039776A" w:rsidRDefault="0039776A" w:rsidP="00FC634A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Then we have a matrix in </w:t>
      </w:r>
      <w:r w:rsidRPr="0039776A">
        <w:rPr>
          <w:rFonts w:asciiTheme="majorHAnsi" w:hAnsiTheme="majorHAnsi" w:cstheme="majorHAnsi"/>
          <w:sz w:val="20"/>
          <w:szCs w:val="20"/>
        </w:rPr>
        <w:t>echelon form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4DE6BF1C" w14:textId="77777777" w:rsidR="0039776A" w:rsidRDefault="0039776A" w:rsidP="00FC634A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13243948" w14:textId="6AD0433C" w:rsidR="0039776A" w:rsidRPr="005B6778" w:rsidRDefault="0039776A" w:rsidP="0039776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>To solve the equation, we use back substitution:</w:t>
      </w:r>
    </w:p>
    <w:p w14:paraId="52B03F6B" w14:textId="77777777" w:rsidR="005B6778" w:rsidRPr="0039776A" w:rsidRDefault="005B6778" w:rsidP="005B6778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47B5ACCD" w14:textId="07A0067C" w:rsidR="00731F10" w:rsidRPr="00731F10" w:rsidRDefault="00731F10" w:rsidP="00FC634A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Subtract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ε</m:t>
            </m:r>
          </m:num>
          <m:den>
            <m:r>
              <w:rPr>
                <w:rFonts w:ascii="Cambria Math" w:hAnsi="Cambria Math" w:cstheme="majorHAnsi"/>
              </w:rPr>
              <m:t>ε- 1</m:t>
            </m:r>
          </m:den>
        </m:f>
      </m:oMath>
      <w:r>
        <w:rPr>
          <w:rFonts w:asciiTheme="majorHAnsi" w:hAnsiTheme="majorHAnsi" w:cstheme="majorHAnsi"/>
          <w:sz w:val="20"/>
          <w:szCs w:val="20"/>
        </w:rPr>
        <w:t>row2 from row 1:</w:t>
      </w:r>
    </w:p>
    <w:p w14:paraId="63606336" w14:textId="1FB31462" w:rsidR="00506222" w:rsidRPr="00731F10" w:rsidRDefault="00533CAF" w:rsidP="00506222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ε-1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ε</m:t>
                            </m:r>
                          </m:den>
                        </m:f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ε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ε-1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ε</m:t>
                        </m:r>
                      </m:den>
                    </m:f>
                  </m:e>
                </m:mr>
              </m:m>
            </m:e>
          </m:d>
        </m:oMath>
      </m:oMathPara>
    </w:p>
    <w:p w14:paraId="3421BA43" w14:textId="24471FE6" w:rsidR="00731F10" w:rsidRPr="00731F10" w:rsidRDefault="00731F10" w:rsidP="00506222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Divide row1 by </w:t>
      </w:r>
      <m:oMath>
        <m:r>
          <w:rPr>
            <w:rFonts w:ascii="Cambria Math" w:hAnsi="Cambria Math" w:cstheme="majorHAnsi"/>
            <w:sz w:val="20"/>
            <w:szCs w:val="20"/>
          </w:rPr>
          <m:t>ε</m:t>
        </m:r>
      </m:oMath>
      <w:r>
        <w:rPr>
          <w:rFonts w:asciiTheme="majorHAnsi" w:hAnsiTheme="majorHAnsi" w:cstheme="majorHAnsi"/>
          <w:sz w:val="20"/>
          <w:szCs w:val="20"/>
        </w:rPr>
        <w:t xml:space="preserve"> and row2 by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ε</m:t>
            </m:r>
          </m:num>
          <m:den>
            <m:r>
              <w:rPr>
                <w:rFonts w:ascii="Cambria Math" w:hAnsi="Cambria Math" w:cstheme="majorHAnsi"/>
              </w:rPr>
              <m:t>ε- 1</m:t>
            </m:r>
          </m:den>
        </m:f>
      </m:oMath>
      <w:r>
        <w:rPr>
          <w:rFonts w:asciiTheme="majorHAnsi" w:hAnsiTheme="majorHAnsi" w:cstheme="majorHAnsi"/>
        </w:rPr>
        <w:t>:</w:t>
      </w:r>
    </w:p>
    <w:p w14:paraId="095E1CFA" w14:textId="7BC816A2" w:rsidR="00731F10" w:rsidRPr="00506222" w:rsidRDefault="00533CAF" w:rsidP="00731F10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142FA29" w14:textId="77777777" w:rsidR="00EB5976" w:rsidRDefault="00731F10" w:rsidP="00506222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We have x1 = 1 and x2 = 1.</w:t>
      </w:r>
    </w:p>
    <w:p w14:paraId="2998C9D4" w14:textId="08D19296" w:rsidR="00EB5976" w:rsidRDefault="00EB5976" w:rsidP="00506222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6AF12E86" w14:textId="4192C710" w:rsidR="00EB5976" w:rsidRDefault="00EB5976" w:rsidP="00506222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36EB785F" w14:textId="152C1B55" w:rsidR="00EB5976" w:rsidRPr="00EB5976" w:rsidRDefault="00EB5976" w:rsidP="00EB597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>The code for this question is in HW3.py</w:t>
      </w:r>
    </w:p>
    <w:p w14:paraId="58214E57" w14:textId="77777777" w:rsidR="00EB5976" w:rsidRPr="00EB5976" w:rsidRDefault="00EB5976" w:rsidP="00EB5976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62EF6615" w14:textId="520BCF11" w:rsidR="00EB5976" w:rsidRPr="00EB5976" w:rsidRDefault="00EB5976" w:rsidP="00EB597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>The output from the code is shown below:</w:t>
      </w:r>
    </w:p>
    <w:p w14:paraId="03F5D3F8" w14:textId="184EBEA7" w:rsidR="00EB5976" w:rsidRDefault="00EB5976" w:rsidP="00506222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6496D45F" w14:textId="09B5C661" w:rsidR="00731F10" w:rsidRPr="00533CAF" w:rsidRDefault="00533CAF" w:rsidP="00533CAF">
      <w:pPr>
        <w:ind w:left="3600" w:firstLine="720"/>
        <w:jc w:val="both"/>
        <w:rPr>
          <w:rFonts w:asciiTheme="majorHAnsi" w:hAnsiTheme="majorHAnsi" w:cstheme="majorHAnsi"/>
          <w:sz w:val="20"/>
          <w:szCs w:val="20"/>
        </w:rPr>
      </w:pPr>
      <w:r>
        <w:object w:dxaOrig="8625" w:dyaOrig="3225" w14:anchorId="7C6C7B07">
          <v:shape id="_x0000_i1036" type="#_x0000_t75" style="width:84.5pt;height:161.55pt" o:ole="">
            <v:imagedata r:id="rId8" o:title="" cropleft="26444f" cropright="26254f"/>
          </v:shape>
          <o:OLEObject Type="Embed" ProgID="WordPad.Document.1" ShapeID="_x0000_i1036" DrawAspect="Content" ObjectID="_1652645064" r:id="rId9"/>
        </w:object>
      </w:r>
    </w:p>
    <w:p w14:paraId="4F07076C" w14:textId="56CCD5AA" w:rsidR="00EB5976" w:rsidRPr="005B6778" w:rsidRDefault="00EB5976" w:rsidP="00EB5976">
      <w:pPr>
        <w:ind w:left="72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From the output of the code, we can see that as the value of epsilon decreases, the relative error produces by the code </w:t>
      </w:r>
      <w:r w:rsidR="00533CAF">
        <w:rPr>
          <w:rFonts w:asciiTheme="majorHAnsi" w:hAnsiTheme="majorHAnsi" w:cstheme="majorHAnsi"/>
          <w:sz w:val="20"/>
          <w:szCs w:val="20"/>
        </w:rPr>
        <w:t xml:space="preserve">also increases. </w:t>
      </w:r>
      <w:r w:rsidR="000D1E3D">
        <w:rPr>
          <w:rFonts w:asciiTheme="majorHAnsi" w:hAnsiTheme="majorHAnsi" w:cstheme="majorHAnsi"/>
          <w:sz w:val="20"/>
          <w:szCs w:val="20"/>
        </w:rPr>
        <w:t xml:space="preserve">These results are still within the bound by the Heath textbook. </w:t>
      </w:r>
      <w:r w:rsidR="005B6778">
        <w:rPr>
          <w:rFonts w:asciiTheme="majorHAnsi" w:hAnsiTheme="majorHAnsi" w:cstheme="majorHAnsi"/>
          <w:sz w:val="20"/>
          <w:szCs w:val="20"/>
        </w:rPr>
        <w:t xml:space="preserve">The high relative error is likely due to the rounding error during the Gaussian elimination and back substitution step since some step in the procedure required to divide a number by </w:t>
      </w:r>
      <m:oMath>
        <m:r>
          <w:rPr>
            <w:rFonts w:ascii="Cambria Math" w:hAnsi="Cambria Math" w:cstheme="majorHAnsi"/>
          </w:rPr>
          <m:t>ε</m:t>
        </m:r>
      </m:oMath>
      <w:r w:rsidR="005B6778">
        <w:rPr>
          <w:rFonts w:asciiTheme="majorHAnsi" w:hAnsiTheme="majorHAnsi" w:cstheme="majorHAnsi"/>
        </w:rPr>
        <w:t xml:space="preserve"> </w:t>
      </w:r>
      <w:r w:rsidR="005B6778">
        <w:rPr>
          <w:rFonts w:asciiTheme="majorHAnsi" w:hAnsiTheme="majorHAnsi" w:cstheme="majorHAnsi"/>
          <w:sz w:val="20"/>
          <w:szCs w:val="20"/>
        </w:rPr>
        <w:t>and add it to other numbers</w:t>
      </w:r>
      <w:r w:rsidR="00533CAF">
        <w:rPr>
          <w:rFonts w:asciiTheme="majorHAnsi" w:hAnsiTheme="majorHAnsi" w:cstheme="majorHAnsi"/>
          <w:sz w:val="20"/>
          <w:szCs w:val="20"/>
        </w:rPr>
        <w:t>, which may cause catastrophic cancellation during the process.</w:t>
      </w:r>
    </w:p>
    <w:p w14:paraId="45F73529" w14:textId="77777777" w:rsidR="00506222" w:rsidRPr="00506222" w:rsidRDefault="00506222" w:rsidP="00FC634A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359FAE7E" w14:textId="77777777" w:rsidR="00506222" w:rsidRPr="00506222" w:rsidRDefault="00506222" w:rsidP="00FC634A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0D969EC4" w14:textId="77777777" w:rsidR="00506222" w:rsidRPr="00374ECE" w:rsidRDefault="00506222" w:rsidP="00FC634A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21C0F1B8" w14:textId="77777777" w:rsidR="00FC634A" w:rsidRPr="00374ECE" w:rsidRDefault="00FC634A" w:rsidP="00FC634A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50AD4AF5" w14:textId="57D1DC86" w:rsidR="00374ECE" w:rsidRPr="00374ECE" w:rsidRDefault="00374ECE" w:rsidP="00374ECE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95E087B" w14:textId="77777777" w:rsidR="00374ECE" w:rsidRDefault="00374ECE" w:rsidP="00374ECE">
      <w:pPr>
        <w:ind w:left="360"/>
        <w:jc w:val="both"/>
      </w:pPr>
    </w:p>
    <w:sectPr w:rsidR="0037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958D7"/>
    <w:multiLevelType w:val="hybridMultilevel"/>
    <w:tmpl w:val="86CA5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52469"/>
    <w:multiLevelType w:val="hybridMultilevel"/>
    <w:tmpl w:val="187809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A7"/>
    <w:rsid w:val="000D1E3D"/>
    <w:rsid w:val="00374ECE"/>
    <w:rsid w:val="0039776A"/>
    <w:rsid w:val="00506222"/>
    <w:rsid w:val="00533CAF"/>
    <w:rsid w:val="005926B3"/>
    <w:rsid w:val="005A0FE9"/>
    <w:rsid w:val="005B6778"/>
    <w:rsid w:val="00731F10"/>
    <w:rsid w:val="00CF2A09"/>
    <w:rsid w:val="00D43C86"/>
    <w:rsid w:val="00D46CA7"/>
    <w:rsid w:val="00EB5976"/>
    <w:rsid w:val="00FC634A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5315"/>
  <w15:chartTrackingRefBased/>
  <w15:docId w15:val="{E80BEBBA-B375-4628-8EAA-5FA88DA5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6C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83A2-6DBF-48E1-B4BC-68B525CD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Su</dc:creator>
  <cp:keywords/>
  <dc:description/>
  <cp:lastModifiedBy>Sheldon Su</cp:lastModifiedBy>
  <cp:revision>2</cp:revision>
  <cp:lastPrinted>2020-06-02T15:23:00Z</cp:lastPrinted>
  <dcterms:created xsi:type="dcterms:W3CDTF">2020-06-02T13:00:00Z</dcterms:created>
  <dcterms:modified xsi:type="dcterms:W3CDTF">2020-06-03T03:18:00Z</dcterms:modified>
</cp:coreProperties>
</file>