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2"/>
          <w:szCs w:val="52"/>
        </w:rPr>
        <w:t xml:space="preserve">Asset Mesh Module</w:t>
      </w:r>
    </w:p>
    <w:p>
      <w:pPr>
        <w:spacing w:after="200"/>
        <w:jc w:val="center"/>
      </w:pPr>
      <w:r>
        <w:rPr>
          <w:rFonts w:ascii="Arial" w:cs="Arial" w:eastAsia="Arial" w:hAnsi="Arial"/>
          <w:color w:val="666666"/>
          <w:sz w:val="28"/>
          <w:szCs w:val="28"/>
        </w:rPr>
        <w:t xml:space="preserve">Stealth Peanut Platform Specification</w:t>
      </w:r>
    </w:p>
    <w:p>
      <w:pPr>
        <w:spacing w:after="400"/>
        <w:jc w:val="center"/>
      </w:pPr>
      <w:r>
        <w:rPr>
          <w:rFonts w:ascii="Arial" w:cs="Arial" w:eastAsia="Arial" w:hAnsi="Arial"/>
          <w:color w:val="888888"/>
          <w:sz w:val="24"/>
          <w:szCs w:val="24"/>
        </w:rPr>
        <w:t xml:space="preserve">Open Source Fork of Shelf.nu + MSP Extensions</w:t>
      </w:r>
    </w:p>
    <w:p>
      <w:pPr>
        <w:jc w:val="center"/>
      </w:pPr>
      <w:r>
        <w:rPr>
          <w:rFonts w:ascii="Arial" w:cs="Arial" w:eastAsia="Arial" w:hAnsi="Arial"/>
          <w:color w:val="999999"/>
          <w:sz w:val="22"/>
          <w:szCs w:val="22"/>
        </w:rPr>
        <w:t xml:space="preserve">Version 1.0  |  March 14, 2026</w:t>
      </w:r>
    </w:p>
    <w:p>
      <w:pPr>
        <w:spacing w:after="200"/>
        <w:jc w:val="center"/>
      </w:pPr>
      <w:r>
        <w:rPr>
          <w:rFonts w:ascii="Arial" w:cs="Arial" w:eastAsia="Arial" w:hAnsi="Arial"/>
          <w:color w:val="999999"/>
          <w:sz w:val="22"/>
          <w:szCs w:val="22"/>
        </w:rPr>
        <w:t xml:space="preserve">Nucleus Technologies / Stealth Peanut</w:t>
      </w:r>
    </w:p>
    <w:p>
      <w:r>
        <w:br w:type="page"/>
      </w:r>
    </w:p>
    <w:p>
      <w:pPr>
        <w:pStyle w:val="Heading1"/>
        <w:spacing w:after="150" w:before="300"/>
      </w:pPr>
      <w:r>
        <w:rPr>
          <w:rFonts w:ascii="Arial" w:cs="Arial" w:eastAsia="Arial" w:hAnsi="Arial"/>
        </w:rPr>
        <w:t xml:space="preserve">1. Overview</w:t>
      </w:r>
    </w:p>
    <w:p>
      <w:pPr>
        <w:spacing w:after="150"/>
      </w:pPr>
      <w:r>
        <w:rPr>
          <w:rFonts w:ascii="Arial" w:cs="Arial" w:eastAsia="Arial" w:hAnsi="Arial"/>
          <w:sz w:val="22"/>
          <w:szCs w:val="22"/>
        </w:rPr>
        <w:t xml:space="preserve">The Asset Mesh module is a Stealth Peanut platform module that provides unified IT asset management for MSPs and their clients. It is built as an open-source fork of Shelf.nu, extended with MSP-specific capabilities including multi-source golden record synchronization, bidirectional ConnectWise PSA integration, person-anchored asset tracking, compliance-grade audit logging, and a tiered visibility model for MSP staff vs. client end users.</w:t>
      </w:r>
    </w:p>
    <w:p>
      <w:pPr>
        <w:spacing w:after="150"/>
      </w:pPr>
      <w:r>
        <w:rPr>
          <w:rFonts w:ascii="Arial" w:cs="Arial" w:eastAsia="Arial" w:hAnsi="Arial"/>
          <w:sz w:val="22"/>
          <w:szCs w:val="22"/>
        </w:rPr>
        <w:t xml:space="preserve">This module serves as the single source of truth for IT asset inventory across the Stealth Peanut ecosystem, feeding downstream compliance platforms (ControlMap) and operational tools (ConnectWise PSA).</w:t>
      </w:r>
    </w:p>
    <w:p>
      <w:pPr>
        <w:pStyle w:val="Heading2"/>
        <w:spacing w:after="150" w:before="300"/>
      </w:pPr>
      <w:r>
        <w:rPr>
          <w:rFonts w:ascii="Arial" w:cs="Arial" w:eastAsia="Arial" w:hAnsi="Arial"/>
        </w:rPr>
        <w:t xml:space="preserve">1.1 Architecture Position</w:t>
      </w:r>
    </w:p>
    <w:p>
      <w:pPr>
        <w:spacing w:after="100"/>
      </w:pPr>
      <w:r>
        <w:rPr>
          <w:rFonts w:ascii="Arial" w:cs="Arial" w:eastAsia="Arial" w:hAnsi="Arial"/>
          <w:b/>
          <w:bCs/>
          <w:sz w:val="22"/>
          <w:szCs w:val="22"/>
        </w:rPr>
        <w:t xml:space="preserve">T0 (Stealth Peanut Core): </w:t>
      </w:r>
      <w:r>
        <w:rPr>
          <w:rFonts w:ascii="Arial" w:cs="Arial" w:eastAsia="Arial" w:hAnsi="Arial"/>
          <w:sz w:val="22"/>
          <w:szCs w:val="22"/>
        </w:rPr>
        <w:t xml:space="preserve">Authentication (Entra ID SSO), API proxy layer, integration credential vault, module licensing, tenant registry.</w:t>
      </w:r>
    </w:p>
    <w:p>
      <w:pPr>
        <w:spacing w:after="100"/>
      </w:pPr>
      <w:r>
        <w:rPr>
          <w:rFonts w:ascii="Arial" w:cs="Arial" w:eastAsia="Arial" w:hAnsi="Arial"/>
          <w:b/>
          <w:bCs/>
          <w:sz w:val="22"/>
          <w:szCs w:val="22"/>
        </w:rPr>
        <w:t xml:space="preserve">T1 (MSP Tenant): </w:t>
      </w:r>
      <w:r>
        <w:rPr>
          <w:rFonts w:ascii="Arial" w:cs="Arial" w:eastAsia="Arial" w:hAnsi="Arial"/>
          <w:sz w:val="22"/>
          <w:szCs w:val="22"/>
        </w:rPr>
        <w:t xml:space="preserve">MSP staff see all clients, all assets, all integration data, sync status, golden record details. Full operational view.</w:t>
      </w:r>
    </w:p>
    <w:p>
      <w:pPr>
        <w:spacing w:after="100"/>
      </w:pPr>
      <w:r>
        <w:rPr>
          <w:rFonts w:ascii="Arial" w:cs="Arial" w:eastAsia="Arial" w:hAnsi="Arial"/>
          <w:b/>
          <w:bCs/>
          <w:sz w:val="22"/>
          <w:szCs w:val="22"/>
        </w:rPr>
        <w:t xml:space="preserve">T2 (Client Tenant): </w:t>
      </w:r>
      <w:r>
        <w:rPr>
          <w:rFonts w:ascii="Arial" w:cs="Arial" w:eastAsia="Arial" w:hAnsi="Arial"/>
          <w:sz w:val="22"/>
          <w:szCs w:val="22"/>
        </w:rPr>
        <w:t xml:space="preserve">Client end users see their own assets, custody, QR scanning, bookings. Restricted from agent telemetry, cross-client views, integration sync internals.</w:t>
      </w:r>
    </w:p>
    <w:p>
      <w:pPr>
        <w:spacing w:after="100"/>
      </w:pPr>
      <w:r>
        <w:rPr>
          <w:rFonts w:ascii="Arial" w:cs="Arial" w:eastAsia="Arial" w:hAnsi="Arial"/>
          <w:b/>
          <w:bCs/>
          <w:sz w:val="22"/>
          <w:szCs w:val="22"/>
        </w:rPr>
        <w:t xml:space="preserve">Database: </w:t>
      </w:r>
      <w:r>
        <w:rPr>
          <w:rFonts w:ascii="Arial" w:cs="Arial" w:eastAsia="Arial" w:hAnsi="Arial"/>
          <w:sz w:val="22"/>
          <w:szCs w:val="22"/>
        </w:rPr>
        <w:t xml:space="preserve">Single Supabase instance per T1 MSP tenant. RLS policies scope T2 client visibility. No separate databases per client.</w:t>
      </w:r>
    </w:p>
    <w:p>
      <w:pPr>
        <w:pStyle w:val="Heading2"/>
        <w:spacing w:after="150" w:before="300"/>
      </w:pPr>
      <w:r>
        <w:rPr>
          <w:rFonts w:ascii="Arial" w:cs="Arial" w:eastAsia="Arial" w:hAnsi="Arial"/>
        </w:rPr>
        <w:t xml:space="preserve">1.2 Foundation</w:t>
      </w:r>
    </w:p>
    <w:p>
      <w:pPr>
        <w:spacing w:after="100"/>
      </w:pPr>
      <w:r>
        <w:rPr>
          <w:rFonts w:ascii="Arial" w:cs="Arial" w:eastAsia="Arial" w:hAnsi="Arial"/>
          <w:b/>
          <w:bCs/>
          <w:sz w:val="22"/>
          <w:szCs w:val="22"/>
        </w:rPr>
        <w:t xml:space="preserve">Base: </w:t>
      </w:r>
      <w:r>
        <w:rPr>
          <w:rFonts w:ascii="Arial" w:cs="Arial" w:eastAsia="Arial" w:hAnsi="Arial"/>
          <w:sz w:val="22"/>
          <w:szCs w:val="22"/>
        </w:rPr>
        <w:t xml:space="preserve">Shelf.nu (open-source, Supabase + pnpm + Turborepo monorepo)</w:t>
      </w:r>
    </w:p>
    <w:p>
      <w:pPr>
        <w:spacing w:after="100"/>
      </w:pPr>
      <w:r>
        <w:rPr>
          <w:rFonts w:ascii="Arial" w:cs="Arial" w:eastAsia="Arial" w:hAnsi="Arial"/>
          <w:b/>
          <w:bCs/>
          <w:sz w:val="22"/>
          <w:szCs w:val="22"/>
        </w:rPr>
        <w:t xml:space="preserve">Migration: </w:t>
      </w:r>
      <w:r>
        <w:rPr>
          <w:rFonts w:ascii="Arial" w:cs="Arial" w:eastAsia="Arial" w:hAnsi="Arial"/>
          <w:sz w:val="22"/>
          <w:szCs w:val="22"/>
        </w:rPr>
        <w:t xml:space="preserve">Prisma schema converted to raw Supabase SQL migrations. Prisma removed as runtime dependency. Types generated via supabase gen types typescript.</w:t>
      </w:r>
    </w:p>
    <w:p>
      <w:pPr>
        <w:spacing w:after="100"/>
      </w:pPr>
      <w:r>
        <w:rPr>
          <w:rFonts w:ascii="Arial" w:cs="Arial" w:eastAsia="Arial" w:hAnsi="Arial"/>
          <w:b/>
          <w:bCs/>
          <w:sz w:val="22"/>
          <w:szCs w:val="22"/>
        </w:rPr>
        <w:t xml:space="preserve">Auth: </w:t>
      </w:r>
      <w:r>
        <w:rPr>
          <w:rFonts w:ascii="Arial" w:cs="Arial" w:eastAsia="Arial" w:hAnsi="Arial"/>
          <w:sz w:val="22"/>
          <w:szCs w:val="22"/>
        </w:rPr>
        <w:t xml:space="preserve">Shelf native auth stripped and replaced with Stealth Peanut T0 Entra ID SSO. Client companies (T2) auth via their own M365 or Google Workspace tenant.</w:t>
      </w:r>
    </w:p>
    <w:p>
      <w:pPr>
        <w:spacing w:after="100"/>
      </w:pPr>
      <w:r>
        <w:rPr>
          <w:rFonts w:ascii="Arial" w:cs="Arial" w:eastAsia="Arial" w:hAnsi="Arial"/>
          <w:b/>
          <w:bCs/>
          <w:sz w:val="22"/>
          <w:szCs w:val="22"/>
        </w:rPr>
        <w:t xml:space="preserve">Billing: </w:t>
      </w:r>
      <w:r>
        <w:rPr>
          <w:rFonts w:ascii="Arial" w:cs="Arial" w:eastAsia="Arial" w:hAnsi="Arial"/>
          <w:sz w:val="22"/>
          <w:szCs w:val="22"/>
        </w:rPr>
        <w:t xml:space="preserve">Shelf Stripe tier system stripped and replaced with Stealth Peanut T0 module licensing.</w:t>
      </w:r>
    </w:p>
    <w:p>
      <w:pPr>
        <w:spacing w:after="100"/>
      </w:pPr>
      <w:r>
        <w:rPr>
          <w:rFonts w:ascii="Arial" w:cs="Arial" w:eastAsia="Arial" w:hAnsi="Arial"/>
          <w:b/>
          <w:bCs/>
          <w:sz w:val="22"/>
          <w:szCs w:val="22"/>
        </w:rPr>
        <w:t xml:space="preserve">License: </w:t>
      </w:r>
      <w:r>
        <w:rPr>
          <w:rFonts w:ascii="Arial" w:cs="Arial" w:eastAsia="Arial" w:hAnsi="Arial"/>
          <w:sz w:val="22"/>
          <w:szCs w:val="22"/>
        </w:rPr>
        <w:t xml:space="preserve">Open-source fork. Contributions back to upstream where applicable.</w:t>
      </w:r>
    </w:p>
    <w:p>
      <w:r>
        <w:br w:type="page"/>
      </w:r>
    </w:p>
    <w:p>
      <w:pPr>
        <w:pStyle w:val="Heading1"/>
        <w:spacing w:after="150" w:before="300"/>
      </w:pPr>
      <w:r>
        <w:rPr>
          <w:rFonts w:ascii="Arial" w:cs="Arial" w:eastAsia="Arial" w:hAnsi="Arial"/>
        </w:rPr>
        <w:t xml:space="preserve">2. Feature Decisions</w:t>
      </w:r>
    </w:p>
    <w:p>
      <w:pPr>
        <w:spacing w:after="150"/>
      </w:pPr>
      <w:r>
        <w:rPr>
          <w:rFonts w:ascii="Arial" w:cs="Arial" w:eastAsia="Arial" w:hAnsi="Arial"/>
          <w:sz w:val="22"/>
          <w:szCs w:val="22"/>
        </w:rPr>
        <w:t xml:space="preserve">Each feature gap between Shelf.nu and the target MSP asset management system was evaluated and assigned a phase or explicitly skipped with rationale.</w:t>
      </w:r>
    </w:p>
    <w:p>
      <w:pPr>
        <w:pStyle w:val="Heading2"/>
        <w:spacing w:after="150" w:before="300"/>
      </w:pPr>
      <w:r>
        <w:rPr>
          <w:rFonts w:ascii="Arial" w:cs="Arial" w:eastAsia="Arial" w:hAnsi="Arial"/>
        </w:rPr>
        <w:t xml:space="preserve">2.1 Accepted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1300"/>
        <w:gridCol w:w="13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Person-anchored asset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CW configuration item link. Person is first-class entity. Every asset, license radiates from the person record.</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assignment + usage tracking per user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person has which license seat. Data sourced from Liongard M365 tenant inspections.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spend analytics / QBR dashboards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per app, top spenders, wasted licenses. Rollups by vendor, department, per-user cost. QBR-ready exports.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budget visibility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spend across hardware purchases, leases, subscriptions, vendor contracts. Per-client, per-category, per-time-period rollups.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 tracking with expiration alerts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Leased equipment tracking: start/end dates, monthly cost, auto-reminders before expiration.</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spend aggregation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costs rolled up by vendor across hardware, leases, and software. Negotiation leverage and consolidation insights.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Compliance-grade activity logs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change to every asset: who, when, what changed. Filterable, exportable. Auditor-friendly.</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register → ControlMap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module is the single source of truth for asset inventory. Feeds data into ControlMap via their API for compliance frameworks.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MDM/RMM auto-import + golden 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Auto-discover and create/update assets from NinjaOne, CW, Liongard. Fuzzy matching across sources to prevent duplicates.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Auto-update person assignments from RMM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RMM shows device moved between users, auto-update person assignment. Source of truth flows from RMM.</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edit protection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field was manually edited in the module, protect it from sync overwrite. Human input wins until explicitly reset. Last-write-source flag per field.</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Discreet asset recovery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scan on found device shows anonymous return form. No company name, no contact details exposed. Notifies MSP behind the scenes.</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asset statuses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beyond Shelf's 3 statuses. MSP-defined statuses: In Repair, In Transit, Decommissioned, In Storage, Lost, Stolen, etc.</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Replacement value field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First-class field on assets for insurance and budgeting purposes. Distinct from purchase price.</w:t>
            </w:r>
          </w:p>
        </w:tc>
        <w:tc>
          <w:tcPr>
            <w:tcW w:type="dxa" w:w="13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kits by role/dept/location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kits like 'Marketing New Hire' auto-generate provisioning checklist. Role-based auto-assignment.</w:t>
            </w:r>
          </w:p>
        </w:tc>
        <w:tc>
          <w:tcPr>
            <w:tcW w:type="dxa" w:w="13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subscription tracking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pricing structures, renewal dates, license counts per software application.</w:t>
            </w:r>
          </w:p>
        </w:tc>
        <w:tc>
          <w:tcPr>
            <w:tcW w:type="dxa" w:w="13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IT detection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 unauthorized apps via SSO/IAM/IDP login monitoring at client Entra ID / Google Workspace level.</w:t>
            </w:r>
          </w:p>
        </w:tc>
        <w:tc>
          <w:tcPr>
            <w:tcW w:type="dxa" w:w="13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surveys for license usage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surveys to client employees confirming app usage. Catch unused licenses before renewal.</w:t>
            </w:r>
          </w:p>
        </w:tc>
        <w:tc>
          <w:tcPr>
            <w:tcW w:type="dxa" w:w="13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Backlog</w:t>
            </w:r>
          </w:p>
        </w:tc>
      </w:tr>
    </w:tbl>
    <w:p>
      <w:pPr>
        <w:pStyle w:val="Heading2"/>
        <w:spacing w:after="150" w:before="300"/>
      </w:pPr>
      <w:r>
        <w:rPr>
          <w:rFonts w:ascii="Arial" w:cs="Arial" w:eastAsia="Arial" w:hAnsi="Arial"/>
        </w:rPr>
        <w:t xml:space="preserve">2.2 Skipped Features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 for Skipping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Offboarding workflows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recovery checklists, license revocation automation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Group-based license auto-assignment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Auto-assign/revoke licenses by group membership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Depreciation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value over time. Replacement value covers the need instead.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due diligence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ControlMap owns vendor vetting questionnaires and approval workflows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compliance 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ControlMap owns vendor security/privacy documentation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disposal documentation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 tickets track disposal. Config item linked to ticket provides traceability.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Warranty finder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ScalePad populates warranty data into CW. Pull from CW, don't duplicate lookups.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groups with low-stock 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relevant for MSP asset management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Group-based license auto-assignment 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Automation layer that depends on multiple Phase 2 foundations</w:t>
            </w:r>
          </w:p>
        </w:tc>
      </w:tr>
    </w:tbl>
    <w:p>
      <w:r>
        <w:br w:type="page"/>
      </w:r>
    </w:p>
    <w:p>
      <w:pPr>
        <w:pStyle w:val="Heading1"/>
        <w:spacing w:after="150" w:before="300"/>
      </w:pPr>
      <w:r>
        <w:rPr>
          <w:rFonts w:ascii="Arial" w:cs="Arial" w:eastAsia="Arial" w:hAnsi="Arial"/>
        </w:rPr>
        <w:t xml:space="preserve">3. Integration Architecture</w:t>
      </w:r>
    </w:p>
    <w:p>
      <w:pPr>
        <w:spacing w:after="150"/>
      </w:pPr>
      <w:r>
        <w:rPr>
          <w:rFonts w:ascii="Arial" w:cs="Arial" w:eastAsia="Arial" w:hAnsi="Arial"/>
          <w:sz w:val="22"/>
          <w:szCs w:val="22"/>
        </w:rPr>
        <w:t xml:space="preserve">All integration credentials are stored and proxied at T0. Modules never hold credentials directly. The T0 API proxy pattern established by ChangeFlow and MeetMe sites is reused. Native IDs from source systems are preserved in the local cache for bidirectional write-back.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 Purpose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ConnectWise PSA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items (person link), warranty data (via ScalePad), ticket creation. Two-way write between asset module and CW configs.</w:t>
            </w:r>
          </w:p>
        </w:tc>
        <w:tc>
          <w:tcPr>
            <w:tcW w:type="dxa" w:w="10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NinjaOne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(source of truth)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RMM device data, agent check-in, device-to-person assignment. Primary source for golden record algorithm.</w:t>
            </w:r>
          </w:p>
        </w:tc>
        <w:tc>
          <w:tcPr>
            <w:tcW w:type="dxa" w:w="10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Liongard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M365 license assignments per user, tenant configuration data, compliance evidence.</w:t>
            </w:r>
          </w:p>
        </w:tc>
        <w:tc>
          <w:tcPr>
            <w:tcW w:type="dxa" w:w="10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asset register data for ISO 27001, SOC 2, and other compliance frameworks. This module is the authoritative source.</w:t>
            </w:r>
          </w:p>
        </w:tc>
        <w:tc>
          <w:tcPr>
            <w:tcW w:type="dxa" w:w="10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Stealth Peanut T0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API proxy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ID SSO replaces Shelf native auth. All integration credentials stored and proxied at T0. Modules never hold creds directly.</w:t>
            </w:r>
          </w:p>
        </w:tc>
        <w:tc>
          <w:tcPr>
            <w:tcW w:type="dxa" w:w="1000"/>
            <w:tcBorders>
              <w:top w:val="single" w:color="CCCCCC" w:sz="1"/>
              <w:left w:val="single" w:color="CCCCCC" w:sz="1"/>
              <w:bottom w:val="single" w:color="CCCCCC" w:sz="1"/>
              <w:right w:val="single" w:color="CCCCCC" w:sz="1"/>
            </w:tcBorders>
            <w:shd w:fill="10CF8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ID / Google Workspace (client)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sign-in log monitoring for shadow IT detection. Client IdP integration.</w:t>
            </w:r>
          </w:p>
        </w:tc>
        <w:tc>
          <w:tcPr>
            <w:tcW w:type="dxa" w:w="100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2</w:t>
            </w:r>
          </w:p>
        </w:tc>
      </w:tr>
    </w:tbl>
    <w:p>
      <w:pPr>
        <w:pStyle w:val="Heading2"/>
        <w:spacing w:after="150" w:before="300"/>
      </w:pPr>
      <w:r>
        <w:rPr>
          <w:rFonts w:ascii="Arial" w:cs="Arial" w:eastAsia="Arial" w:hAnsi="Arial"/>
        </w:rPr>
        <w:t xml:space="preserve">3.1 Golden Record Algorithm</w:t>
      </w:r>
    </w:p>
    <w:p>
      <w:pPr>
        <w:spacing w:after="150"/>
      </w:pPr>
      <w:r>
        <w:rPr>
          <w:rFonts w:ascii="Arial" w:cs="Arial" w:eastAsia="Arial" w:hAnsi="Arial"/>
          <w:sz w:val="22"/>
          <w:szCs w:val="22"/>
        </w:rPr>
        <w:t xml:space="preserve">Assets are discovered from multiple sources (NinjaOne, ConnectWise, Liongard) and must be deduplicated into a single canonical record. The golden record algorithm performs fuzzy matching across sources using device serial number, hostname, MAC address, and other identifiers to prevent duplicate asset creation.</w:t>
      </w:r>
    </w:p>
    <w:p>
      <w:pPr>
        <w:spacing w:after="150"/>
      </w:pPr>
      <w:r>
        <w:rPr>
          <w:rFonts w:ascii="Arial" w:cs="Arial" w:eastAsia="Arial" w:hAnsi="Arial"/>
          <w:sz w:val="22"/>
          <w:szCs w:val="22"/>
        </w:rPr>
        <w:t xml:space="preserve">Each field on the golden record tracks its source system and whether it has been manually overridden. The conflict resolution hierarchy is:</w:t>
      </w:r>
    </w:p>
    <w:p>
      <w:pPr>
        <w:pStyle w:val="ListParagraph"/>
        <w:numPr>
          <w:ilvl w:val="0"/>
          <w:numId w:val="2"/>
        </w:numPr>
        <w:spacing w:after="80"/>
      </w:pPr>
      <w:r>
        <w:rPr>
          <w:rFonts w:ascii="Arial" w:cs="Arial" w:eastAsia="Arial" w:hAnsi="Arial"/>
          <w:sz w:val="22"/>
          <w:szCs w:val="22"/>
        </w:rPr>
        <w:t xml:space="preserve">Manual edit in Asset Mesh (highest priority, protected from sync overwrite)</w:t>
      </w:r>
    </w:p>
    <w:p>
      <w:pPr>
        <w:pStyle w:val="ListParagraph"/>
        <w:numPr>
          <w:ilvl w:val="0"/>
          <w:numId w:val="2"/>
        </w:numPr>
        <w:spacing w:after="80"/>
      </w:pPr>
      <w:r>
        <w:rPr>
          <w:rFonts w:ascii="Arial" w:cs="Arial" w:eastAsia="Arial" w:hAnsi="Arial"/>
          <w:sz w:val="22"/>
          <w:szCs w:val="22"/>
        </w:rPr>
        <w:t xml:space="preserve">NinjaOne (RMM source of truth for device state, agent check-in, person assignment)</w:t>
      </w:r>
    </w:p>
    <w:p>
      <w:pPr>
        <w:pStyle w:val="ListParagraph"/>
        <w:numPr>
          <w:ilvl w:val="0"/>
          <w:numId w:val="2"/>
        </w:numPr>
        <w:spacing w:after="80"/>
      </w:pPr>
      <w:r>
        <w:rPr>
          <w:rFonts w:ascii="Arial" w:cs="Arial" w:eastAsia="Arial" w:hAnsi="Arial"/>
          <w:sz w:val="22"/>
          <w:szCs w:val="22"/>
        </w:rPr>
        <w:t xml:space="preserve">ConnectWise PSA (configuration items, warranty data via ScalePad)</w:t>
      </w:r>
    </w:p>
    <w:p>
      <w:pPr>
        <w:pStyle w:val="ListParagraph"/>
        <w:numPr>
          <w:ilvl w:val="0"/>
          <w:numId w:val="2"/>
        </w:numPr>
        <w:spacing w:after="80"/>
      </w:pPr>
      <w:r>
        <w:rPr>
          <w:rFonts w:ascii="Arial" w:cs="Arial" w:eastAsia="Arial" w:hAnsi="Arial"/>
          <w:sz w:val="22"/>
          <w:szCs w:val="22"/>
        </w:rPr>
        <w:t xml:space="preserve">Liongard (M365 license data, tenant configuration)</w:t>
      </w:r>
    </w:p>
    <w:p>
      <w:pPr>
        <w:pStyle w:val="Heading2"/>
        <w:spacing w:after="150" w:before="300"/>
      </w:pPr>
      <w:r>
        <w:rPr>
          <w:rFonts w:ascii="Arial" w:cs="Arial" w:eastAsia="Arial" w:hAnsi="Arial"/>
        </w:rPr>
        <w:t xml:space="preserve">3.2 Sync Behavior</w:t>
      </w:r>
    </w:p>
    <w:p>
      <w:pPr>
        <w:spacing w:after="150"/>
      </w:pPr>
      <w:r>
        <w:rPr>
          <w:rFonts w:ascii="Arial" w:cs="Arial" w:eastAsia="Arial" w:hAnsi="Arial"/>
          <w:sz w:val="22"/>
          <w:szCs w:val="22"/>
        </w:rPr>
        <w:t xml:space="preserve">Sync runs on a configurable schedule via the T0 orchestration layer (n8n). Each sync cycle pulls from source systems, runs the golden record matching algorithm, and updates the local cache. Write-backs to ConnectWise PSA go direct via T0 API proxy using stored native IDs.</w:t>
      </w:r>
    </w:p>
    <w:p>
      <w:pPr>
        <w:spacing w:after="150"/>
      </w:pPr>
      <w:r>
        <w:rPr>
          <w:rFonts w:ascii="Arial" w:cs="Arial" w:eastAsia="Arial" w:hAnsi="Arial"/>
          <w:sz w:val="22"/>
          <w:szCs w:val="22"/>
        </w:rPr>
        <w:t xml:space="preserve">A last-write-source flag is stored per field per asset. When a field value arrives from sync that differs from the current value, the system checks: if the current value was set by a human (manual edit), the sync value is ignored and logged. If the current value was set by a previous sync, the new sync value wins.</w:t>
      </w:r>
    </w:p>
    <w:p>
      <w:r>
        <w:br w:type="page"/>
      </w:r>
    </w:p>
    <w:p>
      <w:pPr>
        <w:pStyle w:val="Heading1"/>
        <w:spacing w:after="150" w:before="300"/>
      </w:pPr>
      <w:r>
        <w:rPr>
          <w:rFonts w:ascii="Arial" w:cs="Arial" w:eastAsia="Arial" w:hAnsi="Arial"/>
        </w:rPr>
        <w:t xml:space="preserve">4. Shelf.nu Existing Features Retained</w:t>
      </w:r>
    </w:p>
    <w:p>
      <w:pPr>
        <w:spacing w:after="150"/>
      </w:pPr>
      <w:r>
        <w:rPr>
          <w:rFonts w:ascii="Arial" w:cs="Arial" w:eastAsia="Arial" w:hAnsi="Arial"/>
          <w:sz w:val="22"/>
          <w:szCs w:val="22"/>
        </w:rPr>
        <w:t xml:space="preserve">The following Shelf.nu features are retained as-is or with minor adaptation for multi-tenant MSP context:</w:t>
      </w:r>
    </w:p>
    <w:p>
      <w:pPr>
        <w:pStyle w:val="ListParagraph"/>
        <w:numPr>
          <w:ilvl w:val="0"/>
          <w:numId w:val="3"/>
        </w:numPr>
        <w:spacing w:after="80"/>
      </w:pPr>
      <w:r>
        <w:rPr>
          <w:rFonts w:ascii="Arial" w:cs="Arial" w:eastAsia="Arial" w:hAnsi="Arial"/>
          <w:sz w:val="22"/>
          <w:szCs w:val="22"/>
        </w:rPr>
        <w:t xml:space="preserve">Hardware asset inventory with QR code and barcode tagging</w:t>
      </w:r>
    </w:p>
    <w:p>
      <w:pPr>
        <w:pStyle w:val="ListParagraph"/>
        <w:numPr>
          <w:ilvl w:val="0"/>
          <w:numId w:val="3"/>
        </w:numPr>
        <w:spacing w:after="80"/>
      </w:pPr>
      <w:r>
        <w:rPr>
          <w:rFonts w:ascii="Arial" w:cs="Arial" w:eastAsia="Arial" w:hAnsi="Arial"/>
          <w:sz w:val="22"/>
          <w:szCs w:val="22"/>
        </w:rPr>
        <w:t xml:space="preserve">Custody tracking (adapted to person-anchored model)</w:t>
      </w:r>
    </w:p>
    <w:p>
      <w:pPr>
        <w:pStyle w:val="ListParagraph"/>
        <w:numPr>
          <w:ilvl w:val="0"/>
          <w:numId w:val="3"/>
        </w:numPr>
        <w:spacing w:after="80"/>
      </w:pPr>
      <w:r>
        <w:rPr>
          <w:rFonts w:ascii="Arial" w:cs="Arial" w:eastAsia="Arial" w:hAnsi="Arial"/>
          <w:sz w:val="22"/>
          <w:szCs w:val="22"/>
        </w:rPr>
        <w:t xml:space="preserve">Location management with hierarchical parent/child structure</w:t>
      </w:r>
    </w:p>
    <w:p>
      <w:pPr>
        <w:pStyle w:val="ListParagraph"/>
        <w:numPr>
          <w:ilvl w:val="0"/>
          <w:numId w:val="3"/>
        </w:numPr>
        <w:spacing w:after="80"/>
      </w:pPr>
      <w:r>
        <w:rPr>
          <w:rFonts w:ascii="Arial" w:cs="Arial" w:eastAsia="Arial" w:hAnsi="Arial"/>
          <w:sz w:val="22"/>
          <w:szCs w:val="22"/>
        </w:rPr>
        <w:t xml:space="preserve">Kit bundling (laptop + charger + dock as a unit)</w:t>
      </w:r>
    </w:p>
    <w:p>
      <w:pPr>
        <w:pStyle w:val="ListParagraph"/>
        <w:numPr>
          <w:ilvl w:val="0"/>
          <w:numId w:val="3"/>
        </w:numPr>
        <w:spacing w:after="80"/>
      </w:pPr>
      <w:r>
        <w:rPr>
          <w:rFonts w:ascii="Arial" w:cs="Arial" w:eastAsia="Arial" w:hAnsi="Arial"/>
          <w:sz w:val="22"/>
          <w:szCs w:val="22"/>
        </w:rPr>
        <w:t xml:space="preserve">Booking and reservation system with check-in/check-out</w:t>
      </w:r>
    </w:p>
    <w:p>
      <w:pPr>
        <w:pStyle w:val="ListParagraph"/>
        <w:numPr>
          <w:ilvl w:val="0"/>
          <w:numId w:val="3"/>
        </w:numPr>
        <w:spacing w:after="80"/>
      </w:pPr>
      <w:r>
        <w:rPr>
          <w:rFonts w:ascii="Arial" w:cs="Arial" w:eastAsia="Arial" w:hAnsi="Arial"/>
          <w:sz w:val="22"/>
          <w:szCs w:val="22"/>
        </w:rPr>
        <w:t xml:space="preserve">Custom fields (TEXT, OPTION, BOOLEAN, DATE, MULTILINE_TEXT, AMOUNT, NUMBER)</w:t>
      </w:r>
    </w:p>
    <w:p>
      <w:pPr>
        <w:pStyle w:val="ListParagraph"/>
        <w:numPr>
          <w:ilvl w:val="0"/>
          <w:numId w:val="3"/>
        </w:numPr>
        <w:spacing w:after="80"/>
      </w:pPr>
      <w:r>
        <w:rPr>
          <w:rFonts w:ascii="Arial" w:cs="Arial" w:eastAsia="Arial" w:hAnsi="Arial"/>
          <w:sz w:val="22"/>
          <w:szCs w:val="22"/>
        </w:rPr>
        <w:t xml:space="preserve">Categories and tags</w:t>
      </w:r>
    </w:p>
    <w:p>
      <w:pPr>
        <w:pStyle w:val="ListParagraph"/>
        <w:numPr>
          <w:ilvl w:val="0"/>
          <w:numId w:val="3"/>
        </w:numPr>
        <w:spacing w:after="80"/>
      </w:pPr>
      <w:r>
        <w:rPr>
          <w:rFonts w:ascii="Arial" w:cs="Arial" w:eastAsia="Arial" w:hAnsi="Arial"/>
          <w:sz w:val="22"/>
          <w:szCs w:val="22"/>
        </w:rPr>
        <w:t xml:space="preserve">Asset reminders (warranty, maintenance, calibration alerts)</w:t>
      </w:r>
    </w:p>
    <w:p>
      <w:pPr>
        <w:pStyle w:val="ListParagraph"/>
        <w:numPr>
          <w:ilvl w:val="0"/>
          <w:numId w:val="3"/>
        </w:numPr>
        <w:spacing w:after="80"/>
      </w:pPr>
      <w:r>
        <w:rPr>
          <w:rFonts w:ascii="Arial" w:cs="Arial" w:eastAsia="Arial" w:hAnsi="Arial"/>
          <w:sz w:val="22"/>
          <w:szCs w:val="22"/>
        </w:rPr>
        <w:t xml:space="preserve">Physical asset audits with multi-auditor support</w:t>
      </w:r>
    </w:p>
    <w:p>
      <w:pPr>
        <w:pStyle w:val="ListParagraph"/>
        <w:numPr>
          <w:ilvl w:val="0"/>
          <w:numId w:val="3"/>
        </w:numPr>
        <w:spacing w:after="80"/>
      </w:pPr>
      <w:r>
        <w:rPr>
          <w:rFonts w:ascii="Arial" w:cs="Arial" w:eastAsia="Arial" w:hAnsi="Arial"/>
          <w:sz w:val="22"/>
          <w:szCs w:val="22"/>
        </w:rPr>
        <w:t xml:space="preserve">Team member management with role-based permissions (Owner/Admin/Base/Self Service)</w:t>
      </w:r>
    </w:p>
    <w:p>
      <w:pPr>
        <w:pStyle w:val="ListParagraph"/>
        <w:numPr>
          <w:ilvl w:val="0"/>
          <w:numId w:val="3"/>
        </w:numPr>
        <w:spacing w:after="80"/>
      </w:pPr>
      <w:r>
        <w:rPr>
          <w:rFonts w:ascii="Arial" w:cs="Arial" w:eastAsia="Arial" w:hAnsi="Arial"/>
          <w:sz w:val="22"/>
          <w:szCs w:val="22"/>
        </w:rPr>
        <w:t xml:space="preserve">CSV import/export for bulk operations</w:t>
      </w:r>
    </w:p>
    <w:p>
      <w:pPr>
        <w:pStyle w:val="ListParagraph"/>
        <w:numPr>
          <w:ilvl w:val="0"/>
          <w:numId w:val="3"/>
        </w:numPr>
        <w:spacing w:after="80"/>
      </w:pPr>
      <w:r>
        <w:rPr>
          <w:rFonts w:ascii="Arial" w:cs="Arial" w:eastAsia="Arial" w:hAnsi="Arial"/>
          <w:sz w:val="22"/>
          <w:szCs w:val="22"/>
        </w:rPr>
        <w:t xml:space="preserve">Working hours and booking settings per organization</w:t>
      </w:r>
    </w:p>
    <w:p>
      <w:pPr>
        <w:pStyle w:val="ListParagraph"/>
        <w:numPr>
          <w:ilvl w:val="0"/>
          <w:numId w:val="3"/>
        </w:numPr>
        <w:spacing w:after="80"/>
      </w:pPr>
      <w:r>
        <w:rPr>
          <w:rFonts w:ascii="Arial" w:cs="Arial" w:eastAsia="Arial" w:hAnsi="Arial"/>
          <w:sz w:val="22"/>
          <w:szCs w:val="22"/>
        </w:rPr>
        <w:t xml:space="preserve">Report Found flow (extended with discreet recovery anonymization)</w:t>
      </w:r>
    </w:p>
    <w:p>
      <w:r>
        <w:br w:type="page"/>
      </w:r>
    </w:p>
    <w:p>
      <w:pPr>
        <w:pStyle w:val="Heading1"/>
        <w:spacing w:after="150" w:before="300"/>
      </w:pPr>
      <w:r>
        <w:rPr>
          <w:rFonts w:ascii="Arial" w:cs="Arial" w:eastAsia="Arial" w:hAnsi="Arial"/>
        </w:rPr>
        <w:t xml:space="preserve">5. Shelf.nu Features Stripped</w:t>
      </w:r>
    </w:p>
    <w:p>
      <w:pPr>
        <w:spacing w:after="150"/>
      </w:pPr>
      <w:r>
        <w:rPr>
          <w:rFonts w:ascii="Arial" w:cs="Arial" w:eastAsia="Arial" w:hAnsi="Arial"/>
          <w:sz w:val="22"/>
          <w:szCs w:val="22"/>
        </w:rPr>
        <w:t xml:space="preserve">The following Shelf.nu features are removed as part of the fork and replaced with Stealth Peanut equivalents:</w:t>
      </w:r>
    </w:p>
    <w:p>
      <w:pPr>
        <w:pStyle w:val="ListParagraph"/>
        <w:numPr>
          <w:ilvl w:val="0"/>
          <w:numId w:val="3"/>
        </w:numPr>
        <w:spacing w:after="80"/>
      </w:pPr>
      <w:r>
        <w:rPr>
          <w:rFonts w:ascii="Arial" w:cs="Arial" w:eastAsia="Arial" w:hAnsi="Arial"/>
          <w:sz w:val="22"/>
          <w:szCs w:val="22"/>
        </w:rPr>
        <w:t xml:space="preserve">Stripe billing / tier system → Replaced by T0 module licensing</w:t>
      </w:r>
    </w:p>
    <w:p>
      <w:pPr>
        <w:pStyle w:val="ListParagraph"/>
        <w:numPr>
          <w:ilvl w:val="0"/>
          <w:numId w:val="3"/>
        </w:numPr>
        <w:spacing w:after="80"/>
      </w:pPr>
      <w:r>
        <w:rPr>
          <w:rFonts w:ascii="Arial" w:cs="Arial" w:eastAsia="Arial" w:hAnsi="Arial"/>
          <w:sz w:val="22"/>
          <w:szCs w:val="22"/>
        </w:rPr>
        <w:t xml:space="preserve">Supabase native auth → Replaced by T0 Entra ID SSO</w:t>
      </w:r>
    </w:p>
    <w:p>
      <w:pPr>
        <w:pStyle w:val="ListParagraph"/>
        <w:numPr>
          <w:ilvl w:val="0"/>
          <w:numId w:val="3"/>
        </w:numPr>
        <w:spacing w:after="80"/>
      </w:pPr>
      <w:r>
        <w:rPr>
          <w:rFonts w:ascii="Arial" w:cs="Arial" w:eastAsia="Arial" w:hAnsi="Arial"/>
          <w:sz w:val="22"/>
          <w:szCs w:val="22"/>
        </w:rPr>
        <w:t xml:space="preserve">UserBusinessIntel / onboarding survey models → Not applicable for MSP context</w:t>
      </w:r>
    </w:p>
    <w:p>
      <w:pPr>
        <w:pStyle w:val="ListParagraph"/>
        <w:numPr>
          <w:ilvl w:val="0"/>
          <w:numId w:val="3"/>
        </w:numPr>
        <w:spacing w:after="80"/>
      </w:pPr>
      <w:r>
        <w:rPr>
          <w:rFonts w:ascii="Arial" w:cs="Arial" w:eastAsia="Arial" w:hAnsi="Arial"/>
          <w:sz w:val="22"/>
          <w:szCs w:val="22"/>
        </w:rPr>
        <w:t xml:space="preserve">Announcement model → Not needed (Updates model retained if useful for changelog)</w:t>
      </w:r>
    </w:p>
    <w:p>
      <w:pPr>
        <w:pStyle w:val="ListParagraph"/>
        <w:numPr>
          <w:ilvl w:val="0"/>
          <w:numId w:val="3"/>
        </w:numPr>
        <w:spacing w:after="80"/>
      </w:pPr>
      <w:r>
        <w:rPr>
          <w:rFonts w:ascii="Arial" w:cs="Arial" w:eastAsia="Arial" w:hAnsi="Arial"/>
          <w:sz w:val="22"/>
          <w:szCs w:val="22"/>
        </w:rPr>
        <w:t xml:space="preserve">Prisma ORM → Replaced with raw Supabase SQL migrations + supabase gen types</w:t>
      </w:r>
    </w:p>
    <w:p>
      <w:pPr>
        <w:pStyle w:val="Heading1"/>
        <w:spacing w:after="150" w:before="300"/>
      </w:pPr>
      <w:r>
        <w:rPr>
          <w:rFonts w:ascii="Arial" w:cs="Arial" w:eastAsia="Arial" w:hAnsi="Arial"/>
        </w:rPr>
        <w:t xml:space="preserve">6. Schema Migration Notes</w:t>
      </w:r>
    </w:p>
    <w:p>
      <w:pPr>
        <w:spacing w:after="150"/>
      </w:pPr>
      <w:r>
        <w:rPr>
          <w:rFonts w:ascii="Arial" w:cs="Arial" w:eastAsia="Arial" w:hAnsi="Arial"/>
          <w:sz w:val="22"/>
          <w:szCs w:val="22"/>
        </w:rPr>
        <w:t xml:space="preserve">The Prisma schema (1,666 lines, 30+ models) will be converted to raw Supabase SQL migrations. Key structural changes beyond the 1:1 port:</w:t>
      </w:r>
    </w:p>
    <w:p>
      <w:pPr>
        <w:pStyle w:val="Heading2"/>
        <w:spacing w:after="150" w:before="300"/>
      </w:pPr>
      <w:r>
        <w:rPr>
          <w:rFonts w:ascii="Arial" w:cs="Arial" w:eastAsia="Arial" w:hAnsi="Arial"/>
        </w:rPr>
        <w:t xml:space="preserve">6.1 New Tables Required</w:t>
      </w:r>
    </w:p>
    <w:p>
      <w:pPr>
        <w:pStyle w:val="ListParagraph"/>
        <w:numPr>
          <w:ilvl w:val="0"/>
          <w:numId w:val="3"/>
        </w:numPr>
        <w:spacing w:after="80"/>
      </w:pPr>
      <w:r>
        <w:rPr>
          <w:rFonts w:ascii="Arial" w:cs="Arial" w:eastAsia="Arial" w:hAnsi="Arial"/>
          <w:sz w:val="22"/>
          <w:szCs w:val="22"/>
        </w:rPr>
        <w:t xml:space="preserve">person — First-class person entity: name, email, department, job title, manager, start date, end date, linked M365 identity, CW configuration item ID (native ID for bidirectional sync)</w:t>
      </w:r>
    </w:p>
    <w:p>
      <w:pPr>
        <w:pStyle w:val="ListParagraph"/>
        <w:numPr>
          <w:ilvl w:val="0"/>
          <w:numId w:val="3"/>
        </w:numPr>
        <w:spacing w:after="80"/>
      </w:pPr>
      <w:r>
        <w:rPr>
          <w:rFonts w:ascii="Arial" w:cs="Arial" w:eastAsia="Arial" w:hAnsi="Arial"/>
          <w:sz w:val="22"/>
          <w:szCs w:val="22"/>
        </w:rPr>
        <w:t xml:space="preserve">software_application — SaaS/software record: name, vendor, contract details, pricing, renewal date, license count (Phase 2 population, schema in Core)</w:t>
      </w:r>
    </w:p>
    <w:p>
      <w:pPr>
        <w:pStyle w:val="ListParagraph"/>
        <w:numPr>
          <w:ilvl w:val="0"/>
          <w:numId w:val="3"/>
        </w:numPr>
        <w:spacing w:after="80"/>
      </w:pPr>
      <w:r>
        <w:rPr>
          <w:rFonts w:ascii="Arial" w:cs="Arial" w:eastAsia="Arial" w:hAnsi="Arial"/>
          <w:sz w:val="22"/>
          <w:szCs w:val="22"/>
        </w:rPr>
        <w:t xml:space="preserve">license_assignment — Join table: person + software_application + seat type + status + source (Liongard, manual)</w:t>
      </w:r>
    </w:p>
    <w:p>
      <w:pPr>
        <w:pStyle w:val="ListParagraph"/>
        <w:numPr>
          <w:ilvl w:val="0"/>
          <w:numId w:val="3"/>
        </w:numPr>
        <w:spacing w:after="80"/>
      </w:pPr>
      <w:r>
        <w:rPr>
          <w:rFonts w:ascii="Arial" w:cs="Arial" w:eastAsia="Arial" w:hAnsi="Arial"/>
          <w:sz w:val="22"/>
          <w:szCs w:val="22"/>
        </w:rPr>
        <w:t xml:space="preserve">vendor — Vendor entity: name, contact, total spend (aggregated), ControlMap vendor ID for API push</w:t>
      </w:r>
    </w:p>
    <w:p>
      <w:pPr>
        <w:pStyle w:val="ListParagraph"/>
        <w:numPr>
          <w:ilvl w:val="0"/>
          <w:numId w:val="3"/>
        </w:numPr>
        <w:spacing w:after="80"/>
      </w:pPr>
      <w:r>
        <w:rPr>
          <w:rFonts w:ascii="Arial" w:cs="Arial" w:eastAsia="Arial" w:hAnsi="Arial"/>
          <w:sz w:val="22"/>
          <w:szCs w:val="22"/>
        </w:rPr>
        <w:t xml:space="preserve">lease — Lease record: asset link, vendor, start/end dates, monthly cost, reminder settings</w:t>
      </w:r>
    </w:p>
    <w:p>
      <w:pPr>
        <w:pStyle w:val="ListParagraph"/>
        <w:numPr>
          <w:ilvl w:val="0"/>
          <w:numId w:val="3"/>
        </w:numPr>
        <w:spacing w:after="80"/>
      </w:pPr>
      <w:r>
        <w:rPr>
          <w:rFonts w:ascii="Arial" w:cs="Arial" w:eastAsia="Arial" w:hAnsi="Arial"/>
          <w:sz w:val="22"/>
          <w:szCs w:val="22"/>
        </w:rPr>
        <w:t xml:space="preserve">asset_sync_source — Per-asset per-source tracking: source system, native ID, last sync timestamp, field-level last-write-source flags</w:t>
      </w:r>
    </w:p>
    <w:p>
      <w:pPr>
        <w:pStyle w:val="ListParagraph"/>
        <w:numPr>
          <w:ilvl w:val="0"/>
          <w:numId w:val="3"/>
        </w:numPr>
        <w:spacing w:after="80"/>
      </w:pPr>
      <w:r>
        <w:rPr>
          <w:rFonts w:ascii="Arial" w:cs="Arial" w:eastAsia="Arial" w:hAnsi="Arial"/>
          <w:sz w:val="22"/>
          <w:szCs w:val="22"/>
        </w:rPr>
        <w:t xml:space="preserve">activity_log — Compliance-grade change log: entity type, entity ID, field changed, old value, new value, changed by (user or sync), timestamp. Filterable and exportable.</w:t>
      </w:r>
    </w:p>
    <w:p>
      <w:pPr>
        <w:pStyle w:val="ListParagraph"/>
        <w:numPr>
          <w:ilvl w:val="0"/>
          <w:numId w:val="3"/>
        </w:numPr>
        <w:spacing w:after="80"/>
      </w:pPr>
      <w:r>
        <w:rPr>
          <w:rFonts w:ascii="Arial" w:cs="Arial" w:eastAsia="Arial" w:hAnsi="Arial"/>
          <w:sz w:val="22"/>
          <w:szCs w:val="22"/>
        </w:rPr>
        <w:t xml:space="preserve">asset_status_config — MSP-configurable asset statuses per organization, replacing the fixed enum</w:t>
      </w:r>
    </w:p>
    <w:p>
      <w:pPr>
        <w:pStyle w:val="Heading2"/>
        <w:spacing w:after="150" w:before="300"/>
      </w:pPr>
      <w:r>
        <w:rPr>
          <w:rFonts w:ascii="Arial" w:cs="Arial" w:eastAsia="Arial" w:hAnsi="Arial"/>
        </w:rPr>
        <w:t xml:space="preserve">6.2 Modified Existing Tables</w:t>
      </w:r>
    </w:p>
    <w:p>
      <w:pPr>
        <w:pStyle w:val="ListParagraph"/>
        <w:numPr>
          <w:ilvl w:val="0"/>
          <w:numId w:val="3"/>
        </w:numPr>
        <w:spacing w:after="80"/>
      </w:pPr>
      <w:r>
        <w:rPr>
          <w:rFonts w:ascii="Arial" w:cs="Arial" w:eastAsia="Arial" w:hAnsi="Arial"/>
          <w:sz w:val="22"/>
          <w:szCs w:val="22"/>
        </w:rPr>
        <w:t xml:space="preserve">asset — Add: replacement_value, person_id (FK to person), cw_configuration_id (native ID), ninja_device_id (native ID), status changed from enum to FK to asset_status_config</w:t>
      </w:r>
    </w:p>
    <w:p>
      <w:pPr>
        <w:pStyle w:val="ListParagraph"/>
        <w:numPr>
          <w:ilvl w:val="0"/>
          <w:numId w:val="3"/>
        </w:numPr>
        <w:spacing w:after="80"/>
      </w:pPr>
      <w:r>
        <w:rPr>
          <w:rFonts w:ascii="Arial" w:cs="Arial" w:eastAsia="Arial" w:hAnsi="Arial"/>
          <w:sz w:val="22"/>
          <w:szCs w:val="22"/>
        </w:rPr>
        <w:t xml:space="preserve">organization — Add: controlmap_org_id, T1/T2 tenant tier flag, client_company_id (for T2 scoping)</w:t>
      </w:r>
    </w:p>
    <w:p>
      <w:pPr>
        <w:pStyle w:val="ListParagraph"/>
        <w:numPr>
          <w:ilvl w:val="0"/>
          <w:numId w:val="3"/>
        </w:numPr>
        <w:spacing w:after="80"/>
      </w:pPr>
      <w:r>
        <w:rPr>
          <w:rFonts w:ascii="Arial" w:cs="Arial" w:eastAsia="Arial" w:hAnsi="Arial"/>
          <w:sz w:val="22"/>
          <w:szCs w:val="22"/>
        </w:rPr>
        <w:t xml:space="preserve">All tables — Add RLS policies scoped by tenant tier. T1 sees all within their MSP. T2 sees only their company's data.</w:t>
      </w:r>
    </w:p>
    <w:p>
      <w:r>
        <w:br w:type="page"/>
      </w:r>
    </w:p>
    <w:p>
      <w:pPr>
        <w:pStyle w:val="Heading1"/>
        <w:spacing w:after="150" w:before="300"/>
      </w:pPr>
      <w:r>
        <w:rPr>
          <w:rFonts w:ascii="Arial" w:cs="Arial" w:eastAsia="Arial" w:hAnsi="Arial"/>
        </w:rPr>
        <w:t xml:space="preserve">7. T2 Client Visibility Model</w:t>
      </w:r>
    </w:p>
    <w:p>
      <w:pPr>
        <w:spacing w:after="150"/>
      </w:pPr>
      <w:r>
        <w:rPr>
          <w:rFonts w:ascii="Arial" w:cs="Arial" w:eastAsia="Arial" w:hAnsi="Arial"/>
          <w:sz w:val="22"/>
          <w:szCs w:val="22"/>
        </w:rPr>
        <w:t xml:space="preserve">Client end users (T2) access the same database as MSP staff (T1) but with RLS policies restricting visibility. The following scoping rules apply:</w:t>
      </w:r>
    </w:p>
    <w:p>
      <w:pPr>
        <w:pStyle w:val="Heading2"/>
        <w:spacing w:after="150" w:before="300"/>
      </w:pPr>
      <w:r>
        <w:rPr>
          <w:rFonts w:ascii="Arial" w:cs="Arial" w:eastAsia="Arial" w:hAnsi="Arial"/>
        </w:rPr>
        <w:t xml:space="preserve">7.1 T2 Can See</w:t>
      </w:r>
    </w:p>
    <w:p>
      <w:pPr>
        <w:pStyle w:val="ListParagraph"/>
        <w:numPr>
          <w:ilvl w:val="0"/>
          <w:numId w:val="3"/>
        </w:numPr>
        <w:spacing w:after="80"/>
      </w:pPr>
      <w:r>
        <w:rPr>
          <w:rFonts w:ascii="Arial" w:cs="Arial" w:eastAsia="Arial" w:hAnsi="Arial"/>
          <w:sz w:val="22"/>
          <w:szCs w:val="22"/>
        </w:rPr>
        <w:t xml:space="preserve">Their company's assets (hardware inventory, status, location, custody)</w:t>
      </w:r>
    </w:p>
    <w:p>
      <w:pPr>
        <w:pStyle w:val="ListParagraph"/>
        <w:numPr>
          <w:ilvl w:val="0"/>
          <w:numId w:val="3"/>
        </w:numPr>
        <w:spacing w:after="80"/>
      </w:pPr>
      <w:r>
        <w:rPr>
          <w:rFonts w:ascii="Arial" w:cs="Arial" w:eastAsia="Arial" w:hAnsi="Arial"/>
          <w:sz w:val="22"/>
          <w:szCs w:val="22"/>
        </w:rPr>
        <w:t xml:space="preserve">Their company's people and asset assignments</w:t>
      </w:r>
    </w:p>
    <w:p>
      <w:pPr>
        <w:pStyle w:val="ListParagraph"/>
        <w:numPr>
          <w:ilvl w:val="0"/>
          <w:numId w:val="3"/>
        </w:numPr>
        <w:spacing w:after="80"/>
      </w:pPr>
      <w:r>
        <w:rPr>
          <w:rFonts w:ascii="Arial" w:cs="Arial" w:eastAsia="Arial" w:hAnsi="Arial"/>
          <w:sz w:val="22"/>
          <w:szCs w:val="22"/>
        </w:rPr>
        <w:t xml:space="preserve">QR code scanning and report-found flows</w:t>
      </w:r>
    </w:p>
    <w:p>
      <w:pPr>
        <w:pStyle w:val="ListParagraph"/>
        <w:numPr>
          <w:ilvl w:val="0"/>
          <w:numId w:val="3"/>
        </w:numPr>
        <w:spacing w:after="80"/>
      </w:pPr>
      <w:r>
        <w:rPr>
          <w:rFonts w:ascii="Arial" w:cs="Arial" w:eastAsia="Arial" w:hAnsi="Arial"/>
          <w:sz w:val="22"/>
          <w:szCs w:val="22"/>
        </w:rPr>
        <w:t xml:space="preserve">Bookings and reservations for their company's assets</w:t>
      </w:r>
    </w:p>
    <w:p>
      <w:pPr>
        <w:pStyle w:val="ListParagraph"/>
        <w:numPr>
          <w:ilvl w:val="0"/>
          <w:numId w:val="3"/>
        </w:numPr>
        <w:spacing w:after="80"/>
      </w:pPr>
      <w:r>
        <w:rPr>
          <w:rFonts w:ascii="Arial" w:cs="Arial" w:eastAsia="Arial" w:hAnsi="Arial"/>
          <w:sz w:val="22"/>
          <w:szCs w:val="22"/>
        </w:rPr>
        <w:t xml:space="preserve">Custom fields and categories relevant to their company</w:t>
      </w:r>
    </w:p>
    <w:p>
      <w:pPr>
        <w:pStyle w:val="Heading2"/>
        <w:spacing w:after="150" w:before="300"/>
      </w:pPr>
      <w:r>
        <w:rPr>
          <w:rFonts w:ascii="Arial" w:cs="Arial" w:eastAsia="Arial" w:hAnsi="Arial"/>
        </w:rPr>
        <w:t xml:space="preserve">7.2 T2 Cannot See</w:t>
      </w:r>
    </w:p>
    <w:p>
      <w:pPr>
        <w:pStyle w:val="ListParagraph"/>
        <w:numPr>
          <w:ilvl w:val="0"/>
          <w:numId w:val="3"/>
        </w:numPr>
        <w:spacing w:after="80"/>
      </w:pPr>
      <w:r>
        <w:rPr>
          <w:rFonts w:ascii="Arial" w:cs="Arial" w:eastAsia="Arial" w:hAnsi="Arial"/>
          <w:sz w:val="22"/>
          <w:szCs w:val="22"/>
        </w:rPr>
        <w:t xml:space="preserve">Other client companies' data (any table, any record)</w:t>
      </w:r>
    </w:p>
    <w:p>
      <w:pPr>
        <w:pStyle w:val="ListParagraph"/>
        <w:numPr>
          <w:ilvl w:val="0"/>
          <w:numId w:val="3"/>
        </w:numPr>
        <w:spacing w:after="80"/>
      </w:pPr>
      <w:r>
        <w:rPr>
          <w:rFonts w:ascii="Arial" w:cs="Arial" w:eastAsia="Arial" w:hAnsi="Arial"/>
          <w:sz w:val="22"/>
          <w:szCs w:val="22"/>
        </w:rPr>
        <w:t xml:space="preserve">Agent check-in telemetry and RMM sync details</w:t>
      </w:r>
    </w:p>
    <w:p>
      <w:pPr>
        <w:pStyle w:val="ListParagraph"/>
        <w:numPr>
          <w:ilvl w:val="0"/>
          <w:numId w:val="3"/>
        </w:numPr>
        <w:spacing w:after="80"/>
      </w:pPr>
      <w:r>
        <w:rPr>
          <w:rFonts w:ascii="Arial" w:cs="Arial" w:eastAsia="Arial" w:hAnsi="Arial"/>
          <w:sz w:val="22"/>
          <w:szCs w:val="22"/>
        </w:rPr>
        <w:t xml:space="preserve">Integration sync status, source system native IDs, golden record internals</w:t>
      </w:r>
    </w:p>
    <w:p>
      <w:pPr>
        <w:pStyle w:val="ListParagraph"/>
        <w:numPr>
          <w:ilvl w:val="0"/>
          <w:numId w:val="3"/>
        </w:numPr>
        <w:spacing w:after="80"/>
      </w:pPr>
      <w:r>
        <w:rPr>
          <w:rFonts w:ascii="Arial" w:cs="Arial" w:eastAsia="Arial" w:hAnsi="Arial"/>
          <w:sz w:val="22"/>
          <w:szCs w:val="22"/>
        </w:rPr>
        <w:t xml:space="preserve">Cross-client views, MSP-level dashboards, vendor spend aggregations</w:t>
      </w:r>
    </w:p>
    <w:p>
      <w:pPr>
        <w:pStyle w:val="ListParagraph"/>
        <w:numPr>
          <w:ilvl w:val="0"/>
          <w:numId w:val="3"/>
        </w:numPr>
        <w:spacing w:after="80"/>
      </w:pPr>
      <w:r>
        <w:rPr>
          <w:rFonts w:ascii="Arial" w:cs="Arial" w:eastAsia="Arial" w:hAnsi="Arial"/>
          <w:sz w:val="22"/>
          <w:szCs w:val="22"/>
        </w:rPr>
        <w:t xml:space="preserve">Activity logs for other companies (can see their own company's logs)</w:t>
      </w:r>
    </w:p>
    <w:p>
      <w:pPr>
        <w:pStyle w:val="ListParagraph"/>
        <w:numPr>
          <w:ilvl w:val="0"/>
          <w:numId w:val="3"/>
        </w:numPr>
        <w:spacing w:after="80"/>
      </w:pPr>
      <w:r>
        <w:rPr>
          <w:rFonts w:ascii="Arial" w:cs="Arial" w:eastAsia="Arial" w:hAnsi="Arial"/>
          <w:sz w:val="22"/>
          <w:szCs w:val="22"/>
        </w:rPr>
        <w:t xml:space="preserve">Asset sync source metadata and field-level override tracking</w:t>
      </w:r>
    </w:p>
    <w:p>
      <w:r>
        <w:br w:type="page"/>
      </w:r>
    </w:p>
    <w:p>
      <w:pPr>
        <w:pStyle w:val="Heading1"/>
        <w:spacing w:after="150" w:before="300"/>
      </w:pPr>
      <w:r>
        <w:rPr>
          <w:rFonts w:ascii="Arial" w:cs="Arial" w:eastAsia="Arial" w:hAnsi="Arial"/>
        </w:rPr>
        <w:t xml:space="preserve">8. Next Steps</w:t>
      </w:r>
    </w:p>
    <w:p>
      <w:pPr>
        <w:pStyle w:val="ListParagraph"/>
        <w:numPr>
          <w:ilvl w:val="0"/>
          <w:numId w:val="2"/>
        </w:numPr>
        <w:spacing w:after="100"/>
      </w:pPr>
      <w:r>
        <w:rPr>
          <w:rFonts w:ascii="Arial" w:cs="Arial" w:eastAsia="Arial" w:hAnsi="Arial"/>
          <w:sz w:val="22"/>
          <w:szCs w:val="22"/>
        </w:rPr>
        <w:t xml:space="preserve">Fork Shelf.nu repository</w:t>
      </w:r>
    </w:p>
    <w:p>
      <w:pPr>
        <w:pStyle w:val="ListParagraph"/>
        <w:numPr>
          <w:ilvl w:val="0"/>
          <w:numId w:val="2"/>
        </w:numPr>
        <w:spacing w:after="100"/>
      </w:pPr>
      <w:r>
        <w:rPr>
          <w:rFonts w:ascii="Arial" w:cs="Arial" w:eastAsia="Arial" w:hAnsi="Arial"/>
          <w:sz w:val="22"/>
          <w:szCs w:val="22"/>
        </w:rPr>
        <w:t xml:space="preserve">Convert Prisma schema to raw Supabase SQL migrations (1,666 lines, 30+ models)</w:t>
      </w:r>
    </w:p>
    <w:p>
      <w:pPr>
        <w:pStyle w:val="ListParagraph"/>
        <w:numPr>
          <w:ilvl w:val="0"/>
          <w:numId w:val="2"/>
        </w:numPr>
        <w:spacing w:after="100"/>
      </w:pPr>
      <w:r>
        <w:rPr>
          <w:rFonts w:ascii="Arial" w:cs="Arial" w:eastAsia="Arial" w:hAnsi="Arial"/>
          <w:sz w:val="22"/>
          <w:szCs w:val="22"/>
        </w:rPr>
        <w:t xml:space="preserve">Strip Stripe billing, native auth, UserBusinessIntel, Announcement models</w:t>
      </w:r>
    </w:p>
    <w:p>
      <w:pPr>
        <w:pStyle w:val="ListParagraph"/>
        <w:numPr>
          <w:ilvl w:val="0"/>
          <w:numId w:val="2"/>
        </w:numPr>
        <w:spacing w:after="100"/>
      </w:pPr>
      <w:r>
        <w:rPr>
          <w:rFonts w:ascii="Arial" w:cs="Arial" w:eastAsia="Arial" w:hAnsi="Arial"/>
          <w:sz w:val="22"/>
          <w:szCs w:val="22"/>
        </w:rPr>
        <w:t xml:space="preserve">Wire Stealth Peanut T0 auth (Entra ID SSO) into the fork</w:t>
      </w:r>
    </w:p>
    <w:p>
      <w:pPr>
        <w:pStyle w:val="ListParagraph"/>
        <w:numPr>
          <w:ilvl w:val="0"/>
          <w:numId w:val="2"/>
        </w:numPr>
        <w:spacing w:after="100"/>
      </w:pPr>
      <w:r>
        <w:rPr>
          <w:rFonts w:ascii="Arial" w:cs="Arial" w:eastAsia="Arial" w:hAnsi="Arial"/>
          <w:sz w:val="22"/>
          <w:szCs w:val="22"/>
        </w:rPr>
        <w:t xml:space="preserve">Add new tables: person, software_application, license_assignment, vendor, lease, asset_sync_source, activity_log, asset_status_config</w:t>
      </w:r>
    </w:p>
    <w:p>
      <w:pPr>
        <w:pStyle w:val="ListParagraph"/>
        <w:numPr>
          <w:ilvl w:val="0"/>
          <w:numId w:val="2"/>
        </w:numPr>
        <w:spacing w:after="100"/>
      </w:pPr>
      <w:r>
        <w:rPr>
          <w:rFonts w:ascii="Arial" w:cs="Arial" w:eastAsia="Arial" w:hAnsi="Arial"/>
          <w:sz w:val="22"/>
          <w:szCs w:val="22"/>
        </w:rPr>
        <w:t xml:space="preserve">Implement RLS policies for T1/T2 tenant scoping</w:t>
      </w:r>
    </w:p>
    <w:p>
      <w:pPr>
        <w:pStyle w:val="ListParagraph"/>
        <w:numPr>
          <w:ilvl w:val="0"/>
          <w:numId w:val="2"/>
        </w:numPr>
        <w:spacing w:after="100"/>
      </w:pPr>
      <w:r>
        <w:rPr>
          <w:rFonts w:ascii="Arial" w:cs="Arial" w:eastAsia="Arial" w:hAnsi="Arial"/>
          <w:sz w:val="22"/>
          <w:szCs w:val="22"/>
        </w:rPr>
        <w:t xml:space="preserve">Build golden record algorithm with fuzzy matching and field-level source tracking</w:t>
      </w:r>
    </w:p>
    <w:p>
      <w:pPr>
        <w:pStyle w:val="ListParagraph"/>
        <w:numPr>
          <w:ilvl w:val="0"/>
          <w:numId w:val="2"/>
        </w:numPr>
        <w:spacing w:after="100"/>
      </w:pPr>
      <w:r>
        <w:rPr>
          <w:rFonts w:ascii="Arial" w:cs="Arial" w:eastAsia="Arial" w:hAnsi="Arial"/>
          <w:sz w:val="22"/>
          <w:szCs w:val="22"/>
        </w:rPr>
        <w:t xml:space="preserve">Implement CW PSA bidirectional sync (configuration items ↔ person ↔ assets)</w:t>
      </w:r>
    </w:p>
    <w:p>
      <w:pPr>
        <w:pStyle w:val="ListParagraph"/>
        <w:numPr>
          <w:ilvl w:val="0"/>
          <w:numId w:val="2"/>
        </w:numPr>
        <w:spacing w:after="100"/>
      </w:pPr>
      <w:r>
        <w:rPr>
          <w:rFonts w:ascii="Arial" w:cs="Arial" w:eastAsia="Arial" w:hAnsi="Arial"/>
          <w:sz w:val="22"/>
          <w:szCs w:val="22"/>
        </w:rPr>
        <w:t xml:space="preserve">Implement NinjaOne inbound sync with auto-update person assignments</w:t>
      </w:r>
    </w:p>
    <w:p>
      <w:pPr>
        <w:pStyle w:val="ListParagraph"/>
        <w:numPr>
          <w:ilvl w:val="0"/>
          <w:numId w:val="2"/>
        </w:numPr>
        <w:spacing w:after="100"/>
      </w:pPr>
      <w:r>
        <w:rPr>
          <w:rFonts w:ascii="Arial" w:cs="Arial" w:eastAsia="Arial" w:hAnsi="Arial"/>
          <w:sz w:val="22"/>
          <w:szCs w:val="22"/>
        </w:rPr>
        <w:t xml:space="preserve">Implement Liongard inbound sync for license data</w:t>
      </w:r>
    </w:p>
    <w:p>
      <w:pPr>
        <w:pStyle w:val="ListParagraph"/>
        <w:numPr>
          <w:ilvl w:val="0"/>
          <w:numId w:val="2"/>
        </w:numPr>
        <w:spacing w:after="100"/>
      </w:pPr>
      <w:r>
        <w:rPr>
          <w:rFonts w:ascii="Arial" w:cs="Arial" w:eastAsia="Arial" w:hAnsi="Arial"/>
          <w:sz w:val="22"/>
          <w:szCs w:val="22"/>
        </w:rPr>
        <w:t xml:space="preserve">Build ControlMap outbound API push for asset register data</w:t>
      </w:r>
    </w:p>
    <w:p>
      <w:pPr>
        <w:pStyle w:val="ListParagraph"/>
        <w:numPr>
          <w:ilvl w:val="0"/>
          <w:numId w:val="2"/>
        </w:numPr>
        <w:spacing w:after="100"/>
      </w:pPr>
      <w:r>
        <w:rPr>
          <w:rFonts w:ascii="Arial" w:cs="Arial" w:eastAsia="Arial" w:hAnsi="Arial"/>
          <w:sz w:val="22"/>
          <w:szCs w:val="22"/>
        </w:rPr>
        <w:t xml:space="preserve">Build spend analytics dashboards (vendor aggregation, IT budget visibility, QBR exports)</w:t>
      </w:r>
    </w:p>
    <w:p>
      <w:pPr>
        <w:pStyle w:val="ListParagraph"/>
        <w:numPr>
          <w:ilvl w:val="0"/>
          <w:numId w:val="2"/>
        </w:numPr>
        <w:spacing w:after="100"/>
      </w:pPr>
      <w:r>
        <w:rPr>
          <w:rFonts w:ascii="Arial" w:cs="Arial" w:eastAsia="Arial" w:hAnsi="Arial"/>
          <w:sz w:val="22"/>
          <w:szCs w:val="22"/>
        </w:rPr>
        <w:t xml:space="preserve">Implement configurable asset statuses and discreet asset recovery flow</w:t>
      </w:r>
    </w:p>
    <w:p>
      <w:pPr>
        <w:pStyle w:val="ListParagraph"/>
        <w:numPr>
          <w:ilvl w:val="0"/>
          <w:numId w:val="2"/>
        </w:numPr>
        <w:spacing w:after="100"/>
      </w:pPr>
      <w:r>
        <w:rPr>
          <w:rFonts w:ascii="Arial" w:cs="Arial" w:eastAsia="Arial" w:hAnsi="Arial"/>
          <w:sz w:val="22"/>
          <w:szCs w:val="22"/>
        </w:rPr>
        <w:t xml:space="preserve">Security review (first pass) before client-facing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2026-03-15T00:05:57.886Z</dcterms:created>
  <dcterms:modified xsi:type="dcterms:W3CDTF">2026-03-15T00:05:57.887Z</dcterms:modified>
</cp:coreProperties>
</file>

<file path=docProps/custom.xml><?xml version="1.0" encoding="utf-8"?>
<Properties xmlns="http://schemas.openxmlformats.org/officeDocument/2006/custom-properties" xmlns:vt="http://schemas.openxmlformats.org/officeDocument/2006/docPropsVTypes"/>
</file>