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6"/>
        </w:rPr>
        <w:t>Supplementary Note</w:t>
      </w:r>
    </w:p>
    <w:p>
      <w:pPr>
        <w:jc w:val="center"/>
      </w:pPr>
      <w:r>
        <w:rPr>
          <w:rFonts w:ascii="Times New Roman" w:hAnsi="Times New Roman"/>
          <w:b/>
          <w:i w:val="0"/>
          <w:sz w:val="28"/>
        </w:rPr>
        <w:t>Selection of the Regularization Parameter λ in</w:t>
        <w:br/>
        <w:t>Kernel PCA-Based Domain Adaptation (KPCA-DA)</w:t>
      </w:r>
    </w:p>
    <w:p/>
    <w:p>
      <w:r>
        <w:rPr>
          <w:rFonts w:ascii="Times New Roman" w:hAnsi="Times New Roman"/>
          <w:b/>
          <w:i w:val="0"/>
          <w:sz w:val="26"/>
        </w:rPr>
        <w:t>S1.  Overview</w:t>
      </w:r>
    </w:p>
    <w:p>
      <w:pPr>
        <w:spacing w:after="120"/>
      </w:pPr>
      <w:r>
        <w:rPr>
          <w:rFonts w:ascii="Times New Roman" w:hAnsi="Times New Roman"/>
          <w:b w:val="0"/>
          <w:i w:val="0"/>
          <w:sz w:val="24"/>
        </w:rPr>
        <w:t>KPCA-DA adapts the target domain embedding by minimizing a composite objective that balances domain alignment with structural preservation of the target manifold. The regularization coefficient λ controls the relative contribution of the structural preservation term, making its selection critical to downstream classification performance. This note describes the role of λ, the grid-search procedure used to identify an optimal value, and the empirical results obtained on the TCGA-to-GSE45498 breast cancer gene expression benchmark.</w:t>
      </w:r>
    </w:p>
    <w:p>
      <w:r>
        <w:rPr>
          <w:rFonts w:ascii="Times New Roman" w:hAnsi="Times New Roman"/>
          <w:b/>
          <w:i w:val="0"/>
          <w:sz w:val="26"/>
        </w:rPr>
        <w:t>S2.  Optimization Objective</w:t>
      </w:r>
    </w:p>
    <w:p>
      <w:pPr>
        <w:spacing w:after="120"/>
      </w:pPr>
      <w:r>
        <w:rPr>
          <w:rFonts w:ascii="Times New Roman" w:hAnsi="Times New Roman"/>
          <w:b w:val="0"/>
          <w:i w:val="0"/>
          <w:sz w:val="24"/>
        </w:rPr>
        <w:t>At each gradient step the following loss is minimized with respect to the adapted target embedding Zₜ:</w:t>
      </w:r>
    </w:p>
    <w:p>
      <w:pPr>
        <w:spacing w:before="80" w:after="80"/>
        <w:jc w:val="center"/>
      </w:pPr>
      <w:r>
        <w:rPr>
          <w:rFonts w:ascii="Times New Roman" w:hAnsi="Times New Roman"/>
          <w:b w:val="0"/>
          <w:i/>
          <w:sz w:val="24"/>
        </w:rPr>
        <w:t>ℒ(λ)  =  ℒₘₘ⁄  +  λ · ℒᵣᵒᵍ</w:t>
      </w:r>
      <w:r>
        <w:rPr>
          <w:rFonts w:ascii="Times New Roman" w:hAnsi="Times New Roman"/>
          <w:b w:val="0"/>
          <w:i w:val="0"/>
          <w:sz w:val="22"/>
        </w:rPr>
        <w:t xml:space="preserve">    (S1)</w:t>
      </w:r>
    </w:p>
    <w:p>
      <w:pPr>
        <w:spacing w:after="120"/>
      </w:pPr>
      <w:r>
        <w:rPr>
          <w:rFonts w:ascii="Times New Roman" w:hAnsi="Times New Roman"/>
          <w:b w:val="0"/>
          <w:i w:val="0"/>
          <w:sz w:val="24"/>
        </w:rPr>
        <w:t>where ℒₘₘ⁄ is the Maximum Mean Discrepancy (MMD) term that measures distributional divergence between the source and target embeddings on the shared gene subset, and ℒᵣᵒᵍ is the structural regularization term defined as:</w:t>
      </w:r>
    </w:p>
    <w:p>
      <w:pPr>
        <w:spacing w:before="80" w:after="80"/>
        <w:jc w:val="center"/>
      </w:pPr>
      <w:r>
        <w:rPr>
          <w:rFonts w:ascii="Times New Roman" w:hAnsi="Times New Roman"/>
          <w:b w:val="0"/>
          <w:i/>
          <w:sz w:val="24"/>
        </w:rPr>
        <w:t>ℒᵣᵒᵍ  =  tr( Zₜᵀ  Kₜ  Zₜ )</w:t>
      </w:r>
      <w:r>
        <w:rPr>
          <w:rFonts w:ascii="Times New Roman" w:hAnsi="Times New Roman"/>
          <w:b w:val="0"/>
          <w:i w:val="0"/>
          <w:sz w:val="22"/>
        </w:rPr>
        <w:t xml:space="preserve">    (S2)</w:t>
      </w:r>
    </w:p>
    <w:p>
      <w:pPr>
        <w:spacing w:after="120"/>
      </w:pPr>
      <w:r>
        <w:rPr>
          <w:rFonts w:ascii="Times New Roman" w:hAnsi="Times New Roman"/>
          <w:b w:val="0"/>
          <w:i w:val="0"/>
          <w:sz w:val="24"/>
        </w:rPr>
        <w:t>Here Kₜ is the RBF kernel matrix computed from the original target feature space, and tr(·) denotes the matrix trace. This term penalizes embeddings that deviate from the intrinsic kernel geometry of the target domain, thereby preventing degenerate or over-fitted mappings.</w:t>
      </w:r>
    </w:p>
    <w:p>
      <w:pPr>
        <w:spacing w:after="120"/>
      </w:pPr>
      <w:r>
        <w:rPr>
          <w:rFonts w:ascii="Times New Roman" w:hAnsi="Times New Roman"/>
          <w:b w:val="0"/>
          <w:i w:val="0"/>
          <w:sz w:val="24"/>
        </w:rPr>
        <w:t>The coefficient λ ∈ ℝ⁺ governs the strength of this constraint:</w:t>
      </w:r>
    </w:p>
    <w:p>
      <w:pPr>
        <w:spacing w:after="120"/>
        <w:ind w:left="432"/>
      </w:pPr>
      <w:r>
        <w:rPr>
          <w:rFonts w:ascii="Times New Roman" w:hAnsi="Times New Roman"/>
          <w:b w:val="0"/>
          <w:i w:val="0"/>
          <w:sz w:val="24"/>
        </w:rPr>
        <w:t>•   Small λ  —  the optimization is dominated by domain alignment; the target embedding is free to move toward the source at the cost of potentially losing target-specific structure.</w:t>
      </w:r>
    </w:p>
    <w:p>
      <w:pPr>
        <w:spacing w:after="120"/>
        <w:ind w:left="432"/>
      </w:pPr>
      <w:r>
        <w:rPr>
          <w:rFonts w:ascii="Times New Roman" w:hAnsi="Times New Roman"/>
          <w:b w:val="0"/>
          <w:i w:val="0"/>
          <w:sz w:val="24"/>
        </w:rPr>
        <w:t>•   Large λ  —  the structural term strongly anchors the target embedding to its original kernel geometry, limiting the degree of adaptation.</w:t>
      </w:r>
    </w:p>
    <w:p>
      <w:r>
        <w:rPr>
          <w:rFonts w:ascii="Times New Roman" w:hAnsi="Times New Roman"/>
          <w:b/>
          <w:i w:val="0"/>
          <w:sz w:val="26"/>
        </w:rPr>
        <w:t>S3.  Selection Procedure</w:t>
      </w:r>
    </w:p>
    <w:p>
      <w:pPr>
        <w:spacing w:after="120"/>
      </w:pPr>
      <w:r>
        <w:rPr>
          <w:rFonts w:ascii="Times New Roman" w:hAnsi="Times New Roman"/>
          <w:b w:val="0"/>
          <w:i w:val="0"/>
          <w:sz w:val="24"/>
        </w:rPr>
        <w:t>An empirical grid search was performed over six candidate values of λ spanning five orders of magnitude: {0.0001, 0.001, 0.01, 0.1, 1.0, 10.0}. For each candidate, the full KPCA-DA optimization was run with 500 gradient steps (SGD, learning rate 0.001) and an RBF kernel (γ = 0.5 for both KPCA and MMD). Optimality was assessed by downstream classification accuracy on the target domain, using a K-Nearest-Neighbour classifier (k = 5) trained on source embeddings and evaluated on the adapted target embeddings.</w:t>
      </w:r>
    </w:p>
    <w:p>
      <w:pPr>
        <w:spacing w:after="120"/>
      </w:pPr>
      <w:r>
        <w:rPr>
          <w:rFonts w:ascii="Times New Roman" w:hAnsi="Times New Roman"/>
          <w:b w:val="0"/>
          <w:i w:val="0"/>
          <w:sz w:val="24"/>
        </w:rPr>
        <w:t>Sample-level embeddings were derived by projecting the expression matrix through the gene-space coordinates learned by KPCA-DA. Specifically, for a data matrix X ∈ ℝ^(G×N) and gene embedding Z ∈ ℝ^(G×2) restricted to the G′ common genes, the N-sample projection is:</w:t>
      </w:r>
    </w:p>
    <w:p>
      <w:pPr>
        <w:spacing w:before="80" w:after="80"/>
        <w:jc w:val="center"/>
      </w:pPr>
      <w:r>
        <w:rPr>
          <w:rFonts w:ascii="Times New Roman" w:hAnsi="Times New Roman"/>
          <w:b w:val="0"/>
          <w:i/>
          <w:sz w:val="24"/>
        </w:rPr>
        <w:t>P  =  X[G′, :]ᵀ  ·  Z[G′, :]   ∈  ℝ^(N×2)</w:t>
      </w:r>
      <w:r>
        <w:rPr>
          <w:rFonts w:ascii="Times New Roman" w:hAnsi="Times New Roman"/>
          <w:b w:val="0"/>
          <w:i w:val="0"/>
          <w:sz w:val="22"/>
        </w:rPr>
        <w:t xml:space="preserve">    (S3)</w:t>
      </w:r>
    </w:p>
    <w:p>
      <w:pPr>
        <w:spacing w:after="120"/>
      </w:pPr>
      <w:r>
        <w:rPr>
          <w:rFonts w:ascii="Times New Roman" w:hAnsi="Times New Roman"/>
          <w:b w:val="0"/>
          <w:i w:val="0"/>
          <w:sz w:val="24"/>
        </w:rPr>
        <w:t>This projection maps each sample into the same two-dimensional space as the gene embedding, enabling direct classifier training and evaluation.</w:t>
      </w:r>
    </w:p>
    <w:p>
      <w:r>
        <w:rPr>
          <w:rFonts w:ascii="Times New Roman" w:hAnsi="Times New Roman"/>
          <w:b/>
          <w:i w:val="0"/>
          <w:sz w:val="26"/>
        </w:rPr>
        <w:t>S4.  Results</w:t>
      </w:r>
    </w:p>
    <w:p>
      <w:pPr>
        <w:spacing w:after="120"/>
      </w:pPr>
      <w:r>
        <w:rPr>
          <w:rFonts w:ascii="Times New Roman" w:hAnsi="Times New Roman"/>
          <w:b w:val="0"/>
          <w:i w:val="0"/>
          <w:sz w:val="24"/>
        </w:rPr>
        <w:t>Table S1 summarises the classification accuracy on the target domain (GSE45498, n = 183 samples) for each λ value. The source domain comprised 589 labelled TCGA-BRCA samples (476 Tumour, 113 Normal) after excluding two samples with ambiguous annotation.</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tcPr>
          <w:p>
            <w:pPr>
              <w:jc w:val="center"/>
            </w:pPr>
            <w:r>
              <w:rPr>
                <w:rFonts w:ascii="Times New Roman" w:hAnsi="Times New Roman"/>
                <w:b/>
                <w:i w:val="0"/>
                <w:sz w:val="22"/>
              </w:rPr>
              <w:t>λ</w:t>
            </w:r>
          </w:p>
        </w:tc>
        <w:tc>
          <w:tcPr>
            <w:tcW w:type="dxa" w:w="3024"/>
          </w:tcPr>
          <w:p>
            <w:pPr>
              <w:jc w:val="center"/>
            </w:pPr>
            <w:r>
              <w:rPr>
                <w:rFonts w:ascii="Times New Roman" w:hAnsi="Times New Roman"/>
                <w:b/>
                <w:i w:val="0"/>
                <w:sz w:val="22"/>
              </w:rPr>
              <w:t>Regularization Loss (final)</w:t>
            </w:r>
          </w:p>
        </w:tc>
        <w:tc>
          <w:tcPr>
            <w:tcW w:type="dxa" w:w="2592"/>
          </w:tcPr>
          <w:p>
            <w:pPr>
              <w:jc w:val="center"/>
            </w:pPr>
            <w:r>
              <w:rPr>
                <w:rFonts w:ascii="Times New Roman" w:hAnsi="Times New Roman"/>
                <w:b/>
                <w:i w:val="0"/>
                <w:sz w:val="22"/>
              </w:rPr>
              <w:t>Total Loss (final)</w:t>
            </w:r>
          </w:p>
        </w:tc>
        <w:tc>
          <w:tcPr>
            <w:tcW w:type="dxa" w:w="2592"/>
          </w:tcPr>
          <w:p>
            <w:pPr>
              <w:jc w:val="center"/>
            </w:pPr>
            <w:r>
              <w:rPr>
                <w:rFonts w:ascii="Times New Roman" w:hAnsi="Times New Roman"/>
                <w:b/>
                <w:i w:val="0"/>
                <w:sz w:val="22"/>
              </w:rPr>
              <w:t>Target Accuracy</w:t>
            </w:r>
          </w:p>
        </w:tc>
      </w:tr>
      <w:tr>
        <w:tc>
          <w:tcPr>
            <w:tcW w:type="dxa" w:w="1440"/>
          </w:tcPr>
          <w:p/>
        </w:tc>
        <w:tc>
          <w:tcPr>
            <w:tcW w:type="dxa" w:w="3024"/>
          </w:tcPr>
          <w:p/>
        </w:tc>
        <w:tc>
          <w:tcPr>
            <w:tcW w:type="dxa" w:w="2592"/>
          </w:tcPr>
          <w:p/>
        </w:tc>
        <w:tc>
          <w:tcPr>
            <w:tcW w:type="dxa" w:w="2592"/>
          </w:tcPr>
          <w:p/>
        </w:tc>
      </w:tr>
      <w:tr>
        <w:tc>
          <w:tcPr>
            <w:tcW w:type="dxa" w:w="1440"/>
          </w:tcPr>
          <w:p/>
        </w:tc>
        <w:tc>
          <w:tcPr>
            <w:tcW w:type="dxa" w:w="3024"/>
          </w:tcPr>
          <w:p/>
        </w:tc>
        <w:tc>
          <w:tcPr>
            <w:tcW w:type="dxa" w:w="2592"/>
          </w:tcPr>
          <w:p/>
        </w:tc>
        <w:tc>
          <w:tcPr>
            <w:tcW w:type="dxa" w:w="2592"/>
          </w:tcPr>
          <w:p/>
        </w:tc>
      </w:tr>
      <w:tr>
        <w:tc>
          <w:tcPr>
            <w:tcW w:type="dxa" w:w="1440"/>
          </w:tcPr>
          <w:p/>
        </w:tc>
        <w:tc>
          <w:tcPr>
            <w:tcW w:type="dxa" w:w="3024"/>
          </w:tcPr>
          <w:p/>
        </w:tc>
        <w:tc>
          <w:tcPr>
            <w:tcW w:type="dxa" w:w="2592"/>
          </w:tcPr>
          <w:p/>
        </w:tc>
        <w:tc>
          <w:tcPr>
            <w:tcW w:type="dxa" w:w="2592"/>
          </w:tcPr>
          <w:p/>
        </w:tc>
      </w:tr>
      <w:tr>
        <w:tc>
          <w:tcPr>
            <w:tcW w:type="dxa" w:w="1440"/>
          </w:tcPr>
          <w:p/>
        </w:tc>
        <w:tc>
          <w:tcPr>
            <w:tcW w:type="dxa" w:w="3024"/>
          </w:tcPr>
          <w:p/>
        </w:tc>
        <w:tc>
          <w:tcPr>
            <w:tcW w:type="dxa" w:w="2592"/>
          </w:tcPr>
          <w:p/>
        </w:tc>
        <w:tc>
          <w:tcPr>
            <w:tcW w:type="dxa" w:w="2592"/>
          </w:tcPr>
          <w:p/>
        </w:tc>
      </w:tr>
      <w:tr>
        <w:tc>
          <w:tcPr>
            <w:tcW w:type="dxa" w:w="1440"/>
          </w:tcPr>
          <w:p/>
        </w:tc>
        <w:tc>
          <w:tcPr>
            <w:tcW w:type="dxa" w:w="3024"/>
          </w:tcPr>
          <w:p/>
        </w:tc>
        <w:tc>
          <w:tcPr>
            <w:tcW w:type="dxa" w:w="2592"/>
          </w:tcPr>
          <w:p/>
        </w:tc>
        <w:tc>
          <w:tcPr>
            <w:tcW w:type="dxa" w:w="2592"/>
          </w:tcPr>
          <w:p/>
        </w:tc>
      </w:tr>
      <w:tr>
        <w:tc>
          <w:tcPr>
            <w:tcW w:type="dxa" w:w="1440"/>
          </w:tcPr>
          <w:p/>
        </w:tc>
        <w:tc>
          <w:tcPr>
            <w:tcW w:type="dxa" w:w="3024"/>
          </w:tcPr>
          <w:p/>
        </w:tc>
        <w:tc>
          <w:tcPr>
            <w:tcW w:type="dxa" w:w="2592"/>
          </w:tcPr>
          <w:p/>
        </w:tc>
        <w:tc>
          <w:tcPr>
            <w:tcW w:type="dxa" w:w="2592"/>
          </w:tcPr>
          <w:p/>
        </w:tc>
      </w:tr>
      <w:tr>
        <w:tc>
          <w:tcPr>
            <w:tcW w:type="dxa" w:w="1440"/>
          </w:tcPr>
          <w:p>
            <w:pPr>
              <w:jc w:val="center"/>
            </w:pPr>
            <w:r>
              <w:rPr>
                <w:rFonts w:ascii="Times New Roman" w:hAnsi="Times New Roman"/>
                <w:b w:val="0"/>
                <w:i w:val="0"/>
                <w:sz w:val="22"/>
              </w:rPr>
              <w:t>0.0001</w:t>
            </w:r>
          </w:p>
        </w:tc>
        <w:tc>
          <w:tcPr>
            <w:tcW w:type="dxa" w:w="3024"/>
          </w:tcPr>
          <w:p>
            <w:pPr>
              <w:jc w:val="center"/>
            </w:pPr>
            <w:r>
              <w:rPr>
                <w:rFonts w:ascii="Times New Roman" w:hAnsi="Times New Roman"/>
                <w:b w:val="0"/>
                <w:i w:val="0"/>
                <w:sz w:val="22"/>
              </w:rPr>
              <w:t>1.4601</w:t>
            </w:r>
          </w:p>
        </w:tc>
        <w:tc>
          <w:tcPr>
            <w:tcW w:type="dxa" w:w="2592"/>
          </w:tcPr>
          <w:p>
            <w:pPr>
              <w:jc w:val="center"/>
            </w:pPr>
            <w:r>
              <w:rPr>
                <w:rFonts w:ascii="Times New Roman" w:hAnsi="Times New Roman"/>
                <w:b w:val="0"/>
                <w:i w:val="0"/>
                <w:sz w:val="22"/>
              </w:rPr>
              <w:t>1.0001</w:t>
            </w:r>
          </w:p>
        </w:tc>
        <w:tc>
          <w:tcPr>
            <w:tcW w:type="dxa" w:w="2592"/>
          </w:tcPr>
          <w:p>
            <w:pPr>
              <w:jc w:val="center"/>
            </w:pPr>
            <w:r>
              <w:rPr>
                <w:rFonts w:ascii="Times New Roman" w:hAnsi="Times New Roman"/>
                <w:b w:val="0"/>
                <w:i w:val="0"/>
                <w:sz w:val="22"/>
              </w:rPr>
              <w:t>77.6%</w:t>
            </w:r>
          </w:p>
        </w:tc>
      </w:tr>
      <w:tr>
        <w:tc>
          <w:tcPr>
            <w:tcW w:type="dxa" w:w="1440"/>
          </w:tcPr>
          <w:p>
            <w:pPr>
              <w:jc w:val="center"/>
            </w:pPr>
            <w:r>
              <w:rPr>
                <w:rFonts w:ascii="Times New Roman" w:hAnsi="Times New Roman"/>
                <w:b w:val="0"/>
                <w:i w:val="0"/>
                <w:sz w:val="22"/>
              </w:rPr>
              <w:t>0.001</w:t>
            </w:r>
          </w:p>
        </w:tc>
        <w:tc>
          <w:tcPr>
            <w:tcW w:type="dxa" w:w="3024"/>
          </w:tcPr>
          <w:p>
            <w:pPr>
              <w:jc w:val="center"/>
            </w:pPr>
            <w:r>
              <w:rPr>
                <w:rFonts w:ascii="Times New Roman" w:hAnsi="Times New Roman"/>
                <w:b w:val="0"/>
                <w:i w:val="0"/>
                <w:sz w:val="22"/>
              </w:rPr>
              <w:t>1.7394</w:t>
            </w:r>
          </w:p>
        </w:tc>
        <w:tc>
          <w:tcPr>
            <w:tcW w:type="dxa" w:w="2592"/>
          </w:tcPr>
          <w:p>
            <w:pPr>
              <w:jc w:val="center"/>
            </w:pPr>
            <w:r>
              <w:rPr>
                <w:rFonts w:ascii="Times New Roman" w:hAnsi="Times New Roman"/>
                <w:b w:val="0"/>
                <w:i w:val="0"/>
                <w:sz w:val="22"/>
              </w:rPr>
              <w:t>1.0017</w:t>
            </w:r>
          </w:p>
        </w:tc>
        <w:tc>
          <w:tcPr>
            <w:tcW w:type="dxa" w:w="2592"/>
          </w:tcPr>
          <w:p>
            <w:pPr>
              <w:jc w:val="center"/>
            </w:pPr>
            <w:r>
              <w:rPr>
                <w:rFonts w:ascii="Times New Roman" w:hAnsi="Times New Roman"/>
                <w:b w:val="0"/>
                <w:i w:val="0"/>
                <w:sz w:val="22"/>
              </w:rPr>
              <w:t>78.1%</w:t>
            </w:r>
          </w:p>
        </w:tc>
      </w:tr>
      <w:tr>
        <w:tc>
          <w:tcPr>
            <w:tcW w:type="dxa" w:w="1440"/>
          </w:tcPr>
          <w:p>
            <w:pPr>
              <w:jc w:val="center"/>
            </w:pPr>
            <w:r>
              <w:rPr>
                <w:rFonts w:ascii="Times New Roman" w:hAnsi="Times New Roman"/>
                <w:b w:val="0"/>
                <w:i w:val="0"/>
                <w:sz w:val="22"/>
              </w:rPr>
              <w:t>0.01 ★</w:t>
            </w:r>
          </w:p>
        </w:tc>
        <w:tc>
          <w:tcPr>
            <w:tcW w:type="dxa" w:w="3024"/>
          </w:tcPr>
          <w:p>
            <w:pPr>
              <w:jc w:val="center"/>
            </w:pPr>
            <w:r>
              <w:rPr>
                <w:rFonts w:ascii="Times New Roman" w:hAnsi="Times New Roman"/>
                <w:b w:val="0"/>
                <w:i w:val="0"/>
                <w:sz w:val="22"/>
              </w:rPr>
              <w:t>1.7657</w:t>
            </w:r>
          </w:p>
        </w:tc>
        <w:tc>
          <w:tcPr>
            <w:tcW w:type="dxa" w:w="2592"/>
          </w:tcPr>
          <w:p>
            <w:pPr>
              <w:jc w:val="center"/>
            </w:pPr>
            <w:r>
              <w:rPr>
                <w:rFonts w:ascii="Times New Roman" w:hAnsi="Times New Roman"/>
                <w:b w:val="0"/>
                <w:i w:val="0"/>
                <w:sz w:val="22"/>
              </w:rPr>
              <w:t>1.0175</w:t>
            </w:r>
          </w:p>
        </w:tc>
        <w:tc>
          <w:tcPr>
            <w:tcW w:type="dxa" w:w="2592"/>
          </w:tcPr>
          <w:p>
            <w:pPr>
              <w:jc w:val="center"/>
            </w:pPr>
            <w:r>
              <w:rPr>
                <w:rFonts w:ascii="Times New Roman" w:hAnsi="Times New Roman"/>
                <w:b w:val="0"/>
                <w:i w:val="0"/>
                <w:sz w:val="22"/>
              </w:rPr>
              <w:t>79.2%</w:t>
            </w:r>
          </w:p>
        </w:tc>
      </w:tr>
      <w:tr>
        <w:tc>
          <w:tcPr>
            <w:tcW w:type="dxa" w:w="1440"/>
          </w:tcPr>
          <w:p>
            <w:pPr>
              <w:jc w:val="center"/>
            </w:pPr>
            <w:r>
              <w:rPr>
                <w:rFonts w:ascii="Times New Roman" w:hAnsi="Times New Roman"/>
                <w:b w:val="0"/>
                <w:i w:val="0"/>
                <w:sz w:val="22"/>
              </w:rPr>
              <w:t>0.1</w:t>
            </w:r>
          </w:p>
        </w:tc>
        <w:tc>
          <w:tcPr>
            <w:tcW w:type="dxa" w:w="3024"/>
          </w:tcPr>
          <w:p>
            <w:pPr>
              <w:jc w:val="center"/>
            </w:pPr>
            <w:r>
              <w:rPr>
                <w:rFonts w:ascii="Times New Roman" w:hAnsi="Times New Roman"/>
                <w:b w:val="0"/>
                <w:i w:val="0"/>
                <w:sz w:val="22"/>
              </w:rPr>
              <w:t>1.4282</w:t>
            </w:r>
          </w:p>
        </w:tc>
        <w:tc>
          <w:tcPr>
            <w:tcW w:type="dxa" w:w="2592"/>
          </w:tcPr>
          <w:p>
            <w:pPr>
              <w:jc w:val="center"/>
            </w:pPr>
            <w:r>
              <w:rPr>
                <w:rFonts w:ascii="Times New Roman" w:hAnsi="Times New Roman"/>
                <w:b w:val="0"/>
                <w:i w:val="0"/>
                <w:sz w:val="22"/>
              </w:rPr>
              <w:t>1.1401</w:t>
            </w:r>
          </w:p>
        </w:tc>
        <w:tc>
          <w:tcPr>
            <w:tcW w:type="dxa" w:w="2592"/>
          </w:tcPr>
          <w:p>
            <w:pPr>
              <w:jc w:val="center"/>
            </w:pPr>
            <w:r>
              <w:rPr>
                <w:rFonts w:ascii="Times New Roman" w:hAnsi="Times New Roman"/>
                <w:b w:val="0"/>
                <w:i w:val="0"/>
                <w:sz w:val="22"/>
              </w:rPr>
              <w:t>78.7%</w:t>
            </w:r>
          </w:p>
        </w:tc>
      </w:tr>
      <w:tr>
        <w:tc>
          <w:tcPr>
            <w:tcW w:type="dxa" w:w="1440"/>
          </w:tcPr>
          <w:p>
            <w:pPr>
              <w:jc w:val="center"/>
            </w:pPr>
            <w:r>
              <w:rPr>
                <w:rFonts w:ascii="Times New Roman" w:hAnsi="Times New Roman"/>
                <w:b w:val="0"/>
                <w:i w:val="0"/>
                <w:sz w:val="22"/>
              </w:rPr>
              <w:t>1.0</w:t>
            </w:r>
          </w:p>
        </w:tc>
        <w:tc>
          <w:tcPr>
            <w:tcW w:type="dxa" w:w="3024"/>
          </w:tcPr>
          <w:p>
            <w:pPr>
              <w:jc w:val="center"/>
            </w:pPr>
            <w:r>
              <w:rPr>
                <w:rFonts w:ascii="Times New Roman" w:hAnsi="Times New Roman"/>
                <w:b w:val="0"/>
                <w:i w:val="0"/>
                <w:sz w:val="22"/>
              </w:rPr>
              <w:t>0.2936</w:t>
            </w:r>
          </w:p>
        </w:tc>
        <w:tc>
          <w:tcPr>
            <w:tcW w:type="dxa" w:w="2592"/>
          </w:tcPr>
          <w:p>
            <w:pPr>
              <w:jc w:val="center"/>
            </w:pPr>
            <w:r>
              <w:rPr>
                <w:rFonts w:ascii="Times New Roman" w:hAnsi="Times New Roman"/>
                <w:b w:val="0"/>
                <w:i w:val="0"/>
                <w:sz w:val="22"/>
              </w:rPr>
              <w:t>1.2475</w:t>
            </w:r>
          </w:p>
        </w:tc>
        <w:tc>
          <w:tcPr>
            <w:tcW w:type="dxa" w:w="2592"/>
          </w:tcPr>
          <w:p>
            <w:pPr>
              <w:jc w:val="center"/>
            </w:pPr>
            <w:r>
              <w:rPr>
                <w:rFonts w:ascii="Times New Roman" w:hAnsi="Times New Roman"/>
                <w:b w:val="0"/>
                <w:i w:val="0"/>
                <w:sz w:val="22"/>
              </w:rPr>
              <w:t>76.0%</w:t>
            </w:r>
          </w:p>
        </w:tc>
      </w:tr>
      <w:tr>
        <w:tc>
          <w:tcPr>
            <w:tcW w:type="dxa" w:w="1440"/>
          </w:tcPr>
          <w:p>
            <w:pPr>
              <w:jc w:val="center"/>
            </w:pPr>
            <w:r>
              <w:rPr>
                <w:rFonts w:ascii="Times New Roman" w:hAnsi="Times New Roman"/>
                <w:b w:val="0"/>
                <w:i w:val="0"/>
                <w:sz w:val="22"/>
              </w:rPr>
              <w:t>10.0</w:t>
            </w:r>
          </w:p>
        </w:tc>
        <w:tc>
          <w:tcPr>
            <w:tcW w:type="dxa" w:w="3024"/>
          </w:tcPr>
          <w:p>
            <w:pPr>
              <w:jc w:val="center"/>
            </w:pPr>
            <w:r>
              <w:rPr>
                <w:rFonts w:ascii="Times New Roman" w:hAnsi="Times New Roman"/>
                <w:b w:val="0"/>
                <w:i w:val="0"/>
                <w:sz w:val="22"/>
              </w:rPr>
              <w:t>0.0015</w:t>
            </w:r>
          </w:p>
        </w:tc>
        <w:tc>
          <w:tcPr>
            <w:tcW w:type="dxa" w:w="2592"/>
          </w:tcPr>
          <w:p>
            <w:pPr>
              <w:jc w:val="center"/>
            </w:pPr>
            <w:r>
              <w:rPr>
                <w:rFonts w:ascii="Times New Roman" w:hAnsi="Times New Roman"/>
                <w:b w:val="0"/>
                <w:i w:val="0"/>
                <w:sz w:val="22"/>
              </w:rPr>
              <w:t>1.0127</w:t>
            </w:r>
          </w:p>
        </w:tc>
        <w:tc>
          <w:tcPr>
            <w:tcW w:type="dxa" w:w="2592"/>
          </w:tcPr>
          <w:p>
            <w:pPr>
              <w:jc w:val="center"/>
            </w:pPr>
            <w:r>
              <w:rPr>
                <w:rFonts w:ascii="Times New Roman" w:hAnsi="Times New Roman"/>
                <w:b w:val="0"/>
                <w:i w:val="0"/>
                <w:sz w:val="22"/>
              </w:rPr>
              <w:t>78.1%</w:t>
            </w:r>
          </w:p>
        </w:tc>
      </w:tr>
    </w:tbl>
    <w:p>
      <w:r>
        <w:rPr>
          <w:rFonts w:ascii="Times New Roman" w:hAnsi="Times New Roman"/>
          <w:b w:val="0"/>
          <w:i/>
          <w:sz w:val="20"/>
        </w:rPr>
        <w:t>★ Selected value.</w:t>
      </w:r>
    </w:p>
    <w:p/>
    <w:p>
      <w:pPr>
        <w:spacing w:after="120"/>
      </w:pPr>
      <w:r>
        <w:rPr>
          <w:rFonts w:ascii="Times New Roman" w:hAnsi="Times New Roman"/>
          <w:b w:val="0"/>
          <w:i w:val="0"/>
          <w:sz w:val="24"/>
        </w:rPr>
        <w:t>Classification accuracy peaks at λ = 0.01 (79.2%), identifying this as the optimal trade-off between alignment flexibility and structural preservation for this dataset. Values below 0.01 under-regularize, allowing the gene embedding to drift in ways that marginally reduce target-domain discriminability. Values above 0.1 progressively over-constrain the embedding, yielding accuracy below the optimum.</w:t>
      </w:r>
    </w:p>
    <w:p>
      <w:r>
        <w:rPr>
          <w:rFonts w:ascii="Times New Roman" w:hAnsi="Times New Roman"/>
          <w:b/>
          <w:i w:val="0"/>
          <w:sz w:val="26"/>
        </w:rPr>
        <w:t>S5.  Practical Recommendation</w:t>
      </w:r>
    </w:p>
    <w:p>
      <w:pPr>
        <w:spacing w:after="120"/>
      </w:pPr>
      <w:r>
        <w:rPr>
          <w:rFonts w:ascii="Times New Roman" w:hAnsi="Times New Roman"/>
          <w:b w:val="0"/>
          <w:i w:val="0"/>
          <w:sz w:val="24"/>
        </w:rPr>
        <w:t>Based on the grid-search results, λ = 0.01 is recommended as the default regularization coefficient for KPCA-DA applied to cross-cohort gene expression data of comparable dimensionality and cohort size. For other datasets, we recommend evaluating at minimum the range [10⁻⁴, 10⁻², 10⁻¹] with 500 optimization epochs and selecting the value that maximises downstream classification accuracy on the target domain. When labelled target samples are unavailable, structural regularization loss ℒᵣᵒᵍ may serve as a proxy criterion, with lower values indicating a more compact and kernel-consistent adapted embedding.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