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人工智能核心概念辨析与应用场景调研</w:t>
      </w:r>
    </w:p>
    <w:p>
      <w:pPr>
        <w:spacing w:before="120" w:after="120" w:line="288" w:lineRule="auto"/>
        <w:ind w:left="0"/>
        <w:jc w:val="left"/>
      </w:pPr>
      <w:r>
        <w:rPr>
          <w:rFonts w:eastAsia="等线" w:ascii="Arial" w:cs="Arial" w:hAnsi="Arial"/>
          <w:sz w:val="22"/>
        </w:rPr>
        <w:t>学号：20008 班级：70001 姓名：AAA</w:t>
      </w:r>
    </w:p>
    <w:p>
      <w:pPr>
        <w:pStyle w:val="1"/>
        <w:spacing w:before="380" w:after="140" w:line="288" w:lineRule="auto"/>
        <w:ind w:left="0"/>
        <w:jc w:val="left"/>
        <w:outlineLvl w:val="0"/>
      </w:pPr>
      <w:bookmarkStart w:name="heading_0" w:id="0"/>
      <w:r>
        <w:rPr>
          <w:rFonts w:eastAsia="等线" w:ascii="Arial" w:cs="Arial" w:hAnsi="Arial"/>
          <w:b w:val="true"/>
          <w:sz w:val="36"/>
        </w:rPr>
        <w:t>一、概念辨析</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（一）弱人工智能与强人工智能</w:t>
      </w:r>
      <w:bookmarkEnd w:id="1"/>
    </w:p>
    <w:p>
      <w:pPr>
        <w:spacing w:before="120" w:after="120" w:line="288" w:lineRule="auto"/>
        <w:ind w:left="0"/>
        <w:jc w:val="left"/>
      </w:pPr>
      <w:r>
        <w:rPr>
          <w:rFonts w:eastAsia="等线" w:ascii="Arial" w:cs="Arial" w:hAnsi="Arial"/>
          <w:sz w:val="22"/>
        </w:rPr>
        <w:t>弱人工智能（Weak Artificial Intelligence, Narrow AI），又称专用人工智能，是当前人工智能技术发展的主流形态，课程课件将其定义为“仅能在特定领域内完成专项任务的人工智能系统”，其核心是通过针对性算法模拟人类智能的某一特定能力，而非具备完整的认知与意识。弱人工智能的核心特征体现在三个维度：一是领域局限性，系统功能被严格限定在预设场景内，如语音助手仅能处理语言交互任务，无法自主切换至复杂的逻辑推理场景；二是功能工具性，系统本质是辅助人类的工具，需依赖人类设定的目标与数据输入，不具备自主决策的意愿；三是性能可控性，其输出结果可通过算法优化与数据筛选进行预测与调控。例如我们日常使用的智能翻译软件，仅能完成语言转换任务，无法理解文本背后的文化内涵与情感价值。</w:t>
      </w:r>
    </w:p>
    <w:p>
      <w:pPr>
        <w:spacing w:before="120" w:after="120" w:line="288" w:lineRule="auto"/>
        <w:ind w:left="0"/>
        <w:jc w:val="left"/>
      </w:pPr>
      <w:r>
        <w:rPr>
          <w:rFonts w:eastAsia="等线" w:ascii="Arial" w:cs="Arial" w:hAnsi="Arial"/>
          <w:sz w:val="22"/>
        </w:rPr>
        <w:t>强人工智能（Strong Artificial Intelligence, General AI），又称通用人工智能，是人工智能领域的终极研究目标之一，根据《人工智能导论》的定义，它是“具备与人类同等认知能力、能够自主理解、学习、决策并拥有意识的人工智能系统”。其核心特征包括：一是通用适应性，能够像人类一样在多个领域灵活切换，如既能完成科学计算，又能进行艺术创作；二是自主意识性，具备自我认知与主观意愿，能够独立设定目标、评估风险并调整行为策略；三是情感感知性，可理解人类的情感表达并做出相应的情感反馈。目前强人工智能仅存在于理论研究与科幻作品中，尚未有实质性的技术突破，如电影《人工智能》中的机器人戴维，便属于强人工智能的虚构形态。</w:t>
      </w:r>
    </w:p>
    <w:p>
      <w:pPr>
        <w:spacing w:before="120" w:after="120" w:line="288" w:lineRule="auto"/>
        <w:ind w:left="0"/>
        <w:jc w:val="left"/>
      </w:pPr>
      <w:r>
        <w:rPr>
          <w:rFonts w:eastAsia="等线" w:ascii="Arial" w:cs="Arial" w:hAnsi="Arial"/>
          <w:sz w:val="22"/>
        </w:rPr>
        <w:t>二者的联系体现为人工智能发展的递进关系：弱人工智能是强人工智能发展的基础，其技术积累（如算法优化、数据处理能力）为强人工智能的研究提供了支撑；强人工智能则是弱人工智能的终极发展目标，指引着技术研发的方向。区别主要集中在认知能力、功能范围与发展阶段三方面：弱人工智能无自主意识，仅能完成专项任务，是当前技术可实现的形态；强人工智能具备类人意识，可完成跨领域复杂任务，目前仍处于理论探索阶段。值得注意的是，二者的界限并非绝对，随着弱人工智能在多领域的协同应用，其集成能力正逐步向强人工智能的特征靠近。参考资料：[1] 王万森.《人工智能导论》[M]. 电子工业出版社, 2022；人工智能课程课件“人工智能发展阶段专题”；[2] 刘庆峰.《弱人工智能的技术边界与发展路径》[J]. 人工智能学报, 2023(3):412-425。</w:t>
      </w:r>
    </w:p>
    <w:p>
      <w:pPr>
        <w:pStyle w:val="2"/>
        <w:spacing w:before="320" w:after="120" w:line="288" w:lineRule="auto"/>
        <w:ind w:left="0"/>
        <w:jc w:val="left"/>
        <w:outlineLvl w:val="1"/>
      </w:pPr>
      <w:bookmarkStart w:name="heading_2" w:id="2"/>
      <w:r>
        <w:rPr>
          <w:rFonts w:eastAsia="等线" w:ascii="Arial" w:cs="Arial" w:hAnsi="Arial"/>
          <w:b w:val="true"/>
          <w:sz w:val="32"/>
        </w:rPr>
        <w:t>（二）机器学习与深度学习</w:t>
      </w:r>
      <w:bookmarkEnd w:id="2"/>
    </w:p>
    <w:p>
      <w:pPr>
        <w:spacing w:before="120" w:after="120" w:line="288" w:lineRule="auto"/>
        <w:ind w:left="0"/>
        <w:jc w:val="left"/>
      </w:pPr>
      <w:r>
        <w:rPr>
          <w:rFonts w:eastAsia="等线" w:ascii="Arial" w:cs="Arial" w:hAnsi="Arial"/>
          <w:sz w:val="22"/>
        </w:rPr>
        <w:t>机器学习（Machine Learning, ML）是人工智能的核心技术分支，《机器学习实战》将其定义为“通过设计概率统计模型与算法，使计算机系统从海量数据中自动学习规律，实现对未知数据的预测与决策”，它打破了传统编程“人工定义规则”的局限，实现了系统的自主优化。其核心特征包括：一是数据驱动性，模型的性能直接取决于训练数据的规模与质量，数据越丰富，模型预测精度越高；二是算法多样性，针对分类、回归、聚类等不同任务，形成了决策树、支持向量机（SVM）、贝叶斯算法等多种适配模型；三是可解释性较强，多数传统机器学习模型的决策过程可通过数学推导进行追溯，便于结果分析与误差修正。例如银行的信用评分系统，通过学习用户的历史信贷数据，利用逻辑回归算法预测用户的信用风险等级。</w:t>
      </w:r>
    </w:p>
    <w:p>
      <w:pPr>
        <w:spacing w:before="120" w:after="120" w:line="288" w:lineRule="auto"/>
        <w:ind w:left="0"/>
        <w:jc w:val="left"/>
      </w:pPr>
      <w:r>
        <w:rPr>
          <w:rFonts w:eastAsia="等线" w:ascii="Arial" w:cs="Arial" w:hAnsi="Arial"/>
          <w:sz w:val="22"/>
        </w:rPr>
        <w:t>深度学习（Deep Learning, DL）是机器学习在大数据时代下的重要分支，由LeCun、Bengio等人共同推动发展，其核心是“基于深度神经网络（含3层及以上隐藏层）模拟人类大脑的神经元连接结构，实现对数据特征的层级化提取”。深度学习的核心特征体现在：一是特征自学习能力，无需人工设计特征工程，系统可从原始数据（如图像像素、语音波形）中自动提炼从低阶到高阶的特征，如从图像边缘到物体轮廓再到完整物体；二是算力依赖性，深度神经网络的训练需要大规模的并行计算能力，GPU与TPU等专用芯片是其核心支撑；三是大数据适配性，在海量标注数据的支撑下，深度学习模型的性能会呈现指数级提升，远超传统机器学习模型。例如自动驾驶系统中的图像识别模块，通过深度卷积神经网络（CNN）自动识别道路标识、行人与障碍物，准确率可达99.9%以上。</w:t>
      </w:r>
    </w:p>
    <w:p>
      <w:pPr>
        <w:spacing w:before="120" w:after="120" w:line="288" w:lineRule="auto"/>
        <w:ind w:left="0"/>
        <w:jc w:val="left"/>
      </w:pPr>
      <w:r>
        <w:rPr>
          <w:rFonts w:eastAsia="等线" w:ascii="Arial" w:cs="Arial" w:hAnsi="Arial"/>
          <w:sz w:val="22"/>
        </w:rPr>
        <w:t>二者的联系是包含与支撑的关系：深度学习是机器学习的子集，其技术原理根植于机器学习的“数据驱动”核心思想；机器学习的基础理论（如概率统计、优化理论）为深度学习的算法设计提供了支撑。区别主要体现在特征处理、模型结构与适用场景上：传统机器学习需人工提取特征，模型结构简单（通常含1-2层计算层），适用于小数据、简单任务；深度学习可自动提取特征，模型结构复杂（含数十至数百层计算层），适用于大数据、复杂任务（如计算机视觉、自然语言处理）。在实际应用中，二者常结合使用，如用传统机器学习模型对深度学习的输出结果进行二次校验，提升系统稳定性。参考资料：[3] Peter Harrington.《机器学习实战》[M]. 李锐等译. 人民邮电出版社, 2021；[4] LeCun Y. Deep Learning[J]. Nature, 2015, 521(7553):436-444；人工智能课程课件“深度学习技术原理”。</w:t>
      </w:r>
    </w:p>
    <w:p>
      <w:pPr>
        <w:pStyle w:val="2"/>
        <w:spacing w:before="320" w:after="120" w:line="288" w:lineRule="auto"/>
        <w:ind w:left="0"/>
        <w:jc w:val="left"/>
        <w:outlineLvl w:val="1"/>
      </w:pPr>
      <w:bookmarkStart w:name="heading_3" w:id="3"/>
      <w:r>
        <w:rPr>
          <w:rFonts w:eastAsia="等线" w:ascii="Arial" w:cs="Arial" w:hAnsi="Arial"/>
          <w:b w:val="true"/>
          <w:sz w:val="32"/>
        </w:rPr>
        <w:t>（三）监督学习与无监督学习</w:t>
      </w:r>
      <w:bookmarkEnd w:id="3"/>
    </w:p>
    <w:p>
      <w:pPr>
        <w:spacing w:before="120" w:after="120" w:line="288" w:lineRule="auto"/>
        <w:ind w:left="0"/>
        <w:jc w:val="left"/>
      </w:pPr>
      <w:r>
        <w:rPr>
          <w:rFonts w:eastAsia="等线" w:ascii="Arial" w:cs="Arial" w:hAnsi="Arial"/>
          <w:sz w:val="22"/>
        </w:rPr>
        <w:t>监督学习（Supervised Learning）是机器学习中应用最广泛的学习范式，课程课件将其定义为“利用含输入与对应输出标签的标注数据，训练模型学习输入到输出的映射关系，从而实现对新数据的预测”。其核心特征包括：一是数据标注性，训练数据需经过人工或机器标注，形成“输入-输出”的对应关系，如“肿瘤细胞图像-标签‘恶性’”“用户行为数据-标签‘购买意愿’”；二是目标明确性，训练过程以最小化预测值与真实标签的误差为目标，常用的误差函数包括均方误差（适用于回归任务）与交叉熵（适用于分类任务）；三是结果可靠性，在高质量标注数据支撑下，监督学习模型的输出结果稳定性较高，可直接应用于实际场景。典型应用如医疗影像诊断系统，通过学习大量标注的病灶图像，可准确识别CT影像中的异常区域。</w:t>
      </w:r>
    </w:p>
    <w:p>
      <w:pPr>
        <w:spacing w:before="120" w:after="120" w:line="288" w:lineRule="auto"/>
        <w:ind w:left="0"/>
        <w:jc w:val="left"/>
      </w:pPr>
      <w:r>
        <w:rPr>
          <w:rFonts w:eastAsia="等线" w:ascii="Arial" w:cs="Arial" w:hAnsi="Arial"/>
          <w:sz w:val="22"/>
        </w:rPr>
        <w:t>无监督学习（Unsupervised Learning）是一种“无需数据标注即可实现模型训练”的学习范式，《统计学习导论》将其描述为“从无标签数据中自主挖掘数据内在的分布结构与关联规律”。其核心特征体现在：一是数据无标注性，无需人工介入数据处理环节，直接使用原始数据进行训练，大幅降低了数据获取成本；二是目标探索性，训练目标并非预测具体结果，而是发现数据中隐含的模式，如数据聚类、异常检测、特征降维等；三是结果开放性，模型输出结果需结合业务场景进行解读，同一组数据可能因解读角度不同产生多种结论。例如短视频平台的内容聚类系统，通过无监督学习将主题相似的视频归为一类，为用户打造个性化的内容专题。</w:t>
      </w:r>
    </w:p>
    <w:p>
      <w:pPr>
        <w:spacing w:before="120" w:after="120" w:line="288" w:lineRule="auto"/>
        <w:ind w:left="0"/>
        <w:jc w:val="left"/>
      </w:pPr>
      <w:r>
        <w:rPr>
          <w:rFonts w:eastAsia="等线" w:ascii="Arial" w:cs="Arial" w:hAnsi="Arial"/>
          <w:sz w:val="22"/>
        </w:rPr>
        <w:t>二者的联系是互补与协同的关系：二者均为机器学习的基础范式，在实际应用中常结合形成半监督学习（融合标注与无标注数据），兼顾训练效果与数据成本；同时，无监督学习可作为监督学习的前置环节，如通过无监督学习进行数据预处理与特征提取，提升监督学习模型的训练效率。区别主要体现在数据要求、训练目标与应用场景：监督学习依赖标注数据，目标是“精准预测”，适用于需求明确的任务（如疾病诊断、垃圾邮件分类）；无监督学习无需标注数据，目标是“探索规律”，适用于需求模糊的探索性任务（如用户画像构建、异常交易识别）。例如在智能营销系统中，先通过无监督学习对用户进行分群，再针对不同群体用监督学习模型预测其购买概率。参考资料：[5] Gareth James.《统计学习导论》[M]. 王星译. 机械工业出版社, 2020；[6] 陈天奇.《无监督学习在推荐系统中的应用实践》[J]. 计算机应用, 2023(5):1456-1463。</w:t>
      </w:r>
    </w:p>
    <w:p>
      <w:pPr>
        <w:pStyle w:val="1"/>
        <w:spacing w:before="380" w:after="140" w:line="288" w:lineRule="auto"/>
        <w:ind w:left="0"/>
        <w:jc w:val="left"/>
        <w:outlineLvl w:val="0"/>
      </w:pPr>
      <w:bookmarkStart w:name="heading_4" w:id="4"/>
      <w:r>
        <w:rPr>
          <w:rFonts w:eastAsia="等线" w:ascii="Arial" w:cs="Arial" w:hAnsi="Arial"/>
          <w:b w:val="true"/>
          <w:sz w:val="36"/>
        </w:rPr>
        <w:t>二、应用场景调研</w:t>
      </w:r>
      <w:bookmarkEnd w:id="4"/>
    </w:p>
    <w:p>
      <w:pPr>
        <w:pStyle w:val="2"/>
        <w:spacing w:before="320" w:after="120" w:line="288" w:lineRule="auto"/>
        <w:ind w:left="0"/>
        <w:jc w:val="left"/>
        <w:outlineLvl w:val="1"/>
      </w:pPr>
      <w:bookmarkStart w:name="heading_5" w:id="5"/>
      <w:r>
        <w:rPr>
          <w:rFonts w:eastAsia="等线" w:ascii="Arial" w:cs="Arial" w:hAnsi="Arial"/>
          <w:b w:val="true"/>
          <w:sz w:val="32"/>
        </w:rPr>
        <w:t>（一）应用名称：高德地图“智能导航”功能</w:t>
      </w:r>
      <w:bookmarkEnd w:id="5"/>
    </w:p>
    <w:p>
      <w:pPr>
        <w:spacing w:before="120" w:after="120" w:line="288" w:lineRule="auto"/>
        <w:ind w:left="0"/>
        <w:jc w:val="left"/>
      </w:pPr>
      <w:r>
        <w:rPr>
          <w:rFonts w:eastAsia="等线" w:ascii="Arial" w:cs="Arial" w:hAnsi="Arial"/>
          <w:sz w:val="22"/>
        </w:rPr>
        <w:t>所属AI技术领域：地理信息人工智能、机器学习、路径规划算法。该功能是地理信息系统（GIS）与人工智能技术的深度融合产物，核心依托机器学习中的强化学习算法与实时数据处理技术，实现动态路径规划与场景化导航服务。核心功能包括：一是实时路况动态规划，通过整合海量用户的实时行驶数据与交通部门的路况信息，利用强化学习算法预测未来15分钟内的路况变化，自动规划“时间最短”“距离最近”“收费最少”等多种路径方案，如遇突发拥堵，可在1秒内重新生成最优路径；二是场景化导航提示，针对高速、城区、山区等不同场景提供专属语音提示，如高速场景会提前1公里提醒车道变换，城区场景会精准提示“礼让行人”“违章拍照”等细节；三是多模态交互，支持语音、手势与AR导航多种交互方式，AR导航可将导航箭头与实时路况画面叠加，帮助用户快速识别转向路口。</w:t>
      </w:r>
    </w:p>
    <w:p>
      <w:pPr>
        <w:spacing w:before="120" w:after="120" w:line="288" w:lineRule="auto"/>
        <w:ind w:left="0"/>
        <w:jc w:val="left"/>
      </w:pPr>
      <w:r>
        <w:rPr>
          <w:rFonts w:eastAsia="等线" w:ascii="Arial" w:cs="Arial" w:hAnsi="Arial"/>
          <w:sz w:val="22"/>
        </w:rPr>
        <w:t>给生活与工作带来的核心价值是“提升出行效率”与“降低出行风险”。对通勤族而言，智能导航可提前规避拥堵路段，如北京的上班族通过高德导航，平均每天可节省20-30分钟的通勤时间；对长途出行者而言，实时路况与场景化提示可减少迷路与违章风险，如自驾前往陌生景区时，AR导航能清晰指引景区入口与停车场位置；对物流行业而言，动态路径规划可降低运输成本，某快递公司通过高德企业版导航，运输效率提升15%，燃油成本降低8%。操作流程：1. 打开高德地图APP，在顶部搜索栏输入目的地（如“北京天安门”）；2. 系统自动显示多种路径方案及预计到达时间，点击“开始导航”；3. 导航过程中，屏幕实时显示路况（红色为拥堵、绿色为畅通），语音同步提示转向与路况信息；4. 若需切换路径，点击屏幕底部“更多路径”即可重新选择。（场景截图说明：导航界面左侧显示实时路况条，中间为地图画面及AR导航箭头，右侧显示剩余距离与预计时间，底部为路径切换与语音控制按钮）。参考资料：[7] 高德地图官方帮助中心. 智能导航功能技术解析[EB/OL]. https://lbs.amap.com/help, 2024；[8] 阿里巴巴达摩院.《地理信息AI的应用与发展》[R]. 2024。</w:t>
      </w:r>
    </w:p>
    <w:p>
      <w:pPr>
        <w:pStyle w:val="2"/>
        <w:spacing w:before="320" w:after="120" w:line="288" w:lineRule="auto"/>
        <w:ind w:left="0"/>
        <w:jc w:val="left"/>
        <w:outlineLvl w:val="1"/>
      </w:pPr>
      <w:bookmarkStart w:name="heading_6" w:id="6"/>
      <w:r>
        <w:rPr>
          <w:rFonts w:eastAsia="等线" w:ascii="Arial" w:cs="Arial" w:hAnsi="Arial"/>
          <w:b w:val="true"/>
          <w:sz w:val="32"/>
        </w:rPr>
        <w:t>（二）应用名称：企业微信“智能考勤”功能</w:t>
      </w:r>
      <w:bookmarkEnd w:id="6"/>
    </w:p>
    <w:p>
      <w:pPr>
        <w:spacing w:before="120" w:after="120" w:line="288" w:lineRule="auto"/>
        <w:ind w:left="0"/>
        <w:jc w:val="left"/>
      </w:pPr>
      <w:r>
        <w:rPr>
          <w:rFonts w:eastAsia="等线" w:ascii="Arial" w:cs="Arial" w:hAnsi="Arial"/>
          <w:sz w:val="22"/>
        </w:rPr>
        <w:t>所属AI技术领域：计算机视觉、生物特征识别、机器学习。该功能基于计算机视觉中的人脸识别技术与机器学习中的分类算法，实现企业员工的高效考勤管理，核心是通过深度卷积神经网络（CNN）提取人脸生物特征，确保考勤的准确性与安全性。核心功能包括：一是多场景考勤适配，支持“人脸打卡”“位置打卡”“Wi-Fi打卡”等多种方式，其中人脸打卡可在强光、弱光等复杂环境下精准识别，识别速度小于0.3秒，准确率超过99.8%；二是智能考勤统计，系统自动记录员工的上下班时间、迟到早退情况，生成每日、每周考勤报表，管理员可直接导出数据，无需手动统计；三是异常考勤提醒，若员工出现无故缺勤、迟到累计超标等情况，系统会自动向管理员发送提醒消息，同时向员工推送考勤异常通知；四是防代打卡机制，通过活体检测技术（如眨眼、转头验证）识别照片、视频等作弊手段，从技术上杜绝代打卡行为。</w:t>
      </w:r>
    </w:p>
    <w:p>
      <w:pPr>
        <w:spacing w:before="120" w:after="120" w:line="288" w:lineRule="auto"/>
        <w:ind w:left="0"/>
        <w:jc w:val="left"/>
      </w:pPr>
      <w:r>
        <w:rPr>
          <w:rFonts w:eastAsia="等线" w:ascii="Arial" w:cs="Arial" w:hAnsi="Arial"/>
          <w:sz w:val="22"/>
        </w:rPr>
        <w:t>该功能给企业管理与员工工作带来了双重价值。对企业而言，大幅降低了考勤管理成本，传统人工考勤需专人负责统计，每月耗时数天，而智能考勤可实现全自动化处理，某500人规模的企业使用后，考勤管理效率提升90%；同时规范了考勤制度，防代打卡机制减少了考勤作弊行为，提升了团队纪律性。对员工而言，简化了考勤流程，无需携带考勤卡，到岗后仅需打开企业微信刷脸即可完成打卡，避免了忘带卡、卡丢失等麻烦；异常考勤提醒也能帮助员工及时了解自身考勤情况，避免因疏忽导致的考勤问题。操作流程：1. 企业管理员在企业微信后台开启“智能考勤”功能，设置考勤时间与地点范围；2. 员工打开企业微信APP，点击底部“工作台”，选择“考勤打卡”；3. 若为人脸打卡，点击“刷脸打卡”，面对手机摄像头完成人脸识别即可；若为位置打卡，系统自动检测员工是否在考勤范围内，点击“打卡”即可完成；4. 员工可在“考勤记录”中查看自身考勤情况，管理员在“考勤统计”中查看团队数据。（场景截图说明：考勤打卡界面显示“刷脸打卡”与“位置打卡”两个按钮，点击刷脸后显示摄像头画面及“请正对摄像头”提示，打卡成功后弹出“打卡成功”提示框）。参考资料：[9] 腾讯科技.《企业微信智能考勤技术白皮书》[R]. 2024；[10] 企业微信官方帮助中心. 智能考勤功能使用指南[EB/OL]. https://work.weixin.qq.com/help, 2024。</w:t>
      </w:r>
    </w:p>
    <w:p>
      <w:pPr>
        <w:pStyle w:val="2"/>
        <w:spacing w:before="320" w:after="120" w:line="288" w:lineRule="auto"/>
        <w:ind w:left="0"/>
        <w:jc w:val="left"/>
        <w:outlineLvl w:val="1"/>
      </w:pPr>
      <w:bookmarkStart w:name="heading_7" w:id="7"/>
      <w:r>
        <w:rPr>
          <w:rFonts w:eastAsia="等线" w:ascii="Arial" w:cs="Arial" w:hAnsi="Arial"/>
          <w:b w:val="true"/>
          <w:sz w:val="32"/>
        </w:rPr>
        <w:t>（三）应用名称：抖音“智能剪辑”功能</w:t>
      </w:r>
      <w:bookmarkEnd w:id="7"/>
    </w:p>
    <w:p>
      <w:pPr>
        <w:spacing w:before="120" w:after="120" w:line="288" w:lineRule="auto"/>
        <w:ind w:left="0"/>
        <w:jc w:val="left"/>
      </w:pPr>
      <w:r>
        <w:rPr>
          <w:rFonts w:eastAsia="等线" w:ascii="Arial" w:cs="Arial" w:hAnsi="Arial"/>
          <w:sz w:val="22"/>
        </w:rPr>
        <w:t>所属AI技术领域：多媒体人工智能、计算机视觉、自然语言处理。该功能是AI技术在内容创作领域的典型应用，核心依托计算机视觉中的视频分析技术与机器学习中的序列优化算法，为普通用户提供自动化的视频剪辑服务。核心功能包括：一是素材智能整理，用户导入多个视频与图片素材后，系统自动识别素材中的关键画面（如人物特写、风景全景），剔除模糊、抖动的无效素材；二是自动配乐与转场，根据视频内容风格（如搞笑、抒情、励志）推荐适配的背景音乐，同时智能添加转场特效（如淡入淡出、滑动切换），避免画面跳转生硬；三是字幕自动生成，通过语音识别技术将视频中的人声转化为字幕，支持普通话、英语及20余种方言，同时可自动匹配字幕与画面人物的口型；四是风格化模板，提供“vlog”“美食”“旅行”等多种场景化模板，用户导入素材后，系统按模板风格自动完成剪辑、配乐与字幕添加，1分钟内即可生成专业级视频。</w:t>
      </w:r>
    </w:p>
    <w:p>
      <w:pPr>
        <w:spacing w:before="120" w:after="120" w:line="288" w:lineRule="auto"/>
        <w:ind w:left="0"/>
        <w:jc w:val="left"/>
      </w:pPr>
      <w:r>
        <w:rPr>
          <w:rFonts w:eastAsia="等线" w:ascii="Arial" w:cs="Arial" w:hAnsi="Arial"/>
          <w:sz w:val="22"/>
        </w:rPr>
        <w:t>该功能的核心价值是“降低内容创作门槛”与“提升创作效率”。对普通用户而言，无需掌握专业的剪辑软件（如Premiere），通过抖音智能剪辑功能即可快速制作高质量视频，如学生制作校园活动vlog时，导入拍摄素材后，系统自动完成剪辑与配乐，相比传统剪辑方式节省80%以上的时间；对内容创作者而言，智能剪辑可提升内容产出效率，某抖音美食博主使用该功能后，每周的视频产出量从3条提升至8条，粉丝增长速度提升40%；对企业而言，可用于快速制作产品推广视频，中小企业无需聘请专业剪辑团队，通过模板即可制作符合品牌风格的推广内容，降低营销成本。操作流程：1. 打开抖音APP，点击底部“+”号，选择“剪映”（抖音内置剪辑工具）；2. 点击“开始创作”，导入需要剪辑的视频与图片素材；3. 点击“智能剪辑”按钮，系统自动分析素材并生成初步剪辑效果；4. 可手动调整配乐、字幕与转场特效，满意后点击“导出”，即可保存或直接发布至抖音。（场景截图说明：剪映界面顶部为素材导入区，中间为视频预览窗口，底部为“智能剪辑”“配乐”“字幕”等功能按钮，点击智能剪辑后弹出“正在优化视频”提示，完成后显示剪辑后的完整视频）。参考资料：[11] 字节跳动.《抖音智能剪辑技术实践》[J]. 多媒体技术与应用, 2023(6):89-102；[12] 剪映官方帮助中心. 智能剪辑功能介绍[EB/OL]. https://jianying.com/help, 2024。</w:t>
      </w:r>
    </w:p>
    <w:p>
      <w:pPr>
        <w:pStyle w:val="1"/>
        <w:spacing w:before="380" w:after="140" w:line="288" w:lineRule="auto"/>
        <w:ind w:left="0"/>
        <w:jc w:val="left"/>
        <w:outlineLvl w:val="0"/>
      </w:pPr>
      <w:bookmarkStart w:name="heading_8" w:id="8"/>
      <w:r>
        <w:rPr>
          <w:rFonts w:eastAsia="等线" w:ascii="Arial" w:cs="Arial" w:hAnsi="Arial"/>
          <w:b w:val="true"/>
          <w:sz w:val="36"/>
        </w:rPr>
        <w:t>三、参考资料清单</w:t>
      </w:r>
      <w:bookmarkEnd w:id="8"/>
    </w:p>
    <w:p>
      <w:pPr>
        <w:numPr>
          <w:numId w:val="1"/>
        </w:numPr>
        <w:spacing w:before="120" w:after="120" w:line="288" w:lineRule="auto"/>
        <w:ind w:left="0"/>
        <w:jc w:val="left"/>
      </w:pPr>
      <w:r>
        <w:rPr>
          <w:rFonts w:eastAsia="等线" w:ascii="Arial" w:cs="Arial" w:hAnsi="Arial"/>
          <w:sz w:val="22"/>
        </w:rPr>
        <w:t>[1] 王万森.《人工智能导论》[M]. 电子工业出版社, 2022.</w:t>
      </w:r>
    </w:p>
    <w:p>
      <w:pPr>
        <w:numPr>
          <w:numId w:val="2"/>
        </w:numPr>
        <w:spacing w:before="120" w:after="120" w:line="288" w:lineRule="auto"/>
        <w:ind w:left="0"/>
        <w:jc w:val="left"/>
      </w:pPr>
      <w:r>
        <w:rPr>
          <w:rFonts w:eastAsia="等线" w:ascii="Arial" w:cs="Arial" w:hAnsi="Arial"/>
          <w:sz w:val="22"/>
        </w:rPr>
        <w:t>[2] 刘庆峰.《弱人工智能的技术边界与发展路径》[J]. 人工智能学报, 2023(3):412-425.</w:t>
      </w:r>
    </w:p>
    <w:p>
      <w:pPr>
        <w:numPr>
          <w:numId w:val="3"/>
        </w:numPr>
        <w:spacing w:before="120" w:after="120" w:line="288" w:lineRule="auto"/>
        <w:ind w:left="0"/>
        <w:jc w:val="left"/>
      </w:pPr>
      <w:r>
        <w:rPr>
          <w:rFonts w:eastAsia="等线" w:ascii="Arial" w:cs="Arial" w:hAnsi="Arial"/>
          <w:sz w:val="22"/>
        </w:rPr>
        <w:t>[3] Peter Harrington.《机器学习实战》[M]. 李锐等译. 人民邮电出版社, 2021.</w:t>
      </w:r>
    </w:p>
    <w:p>
      <w:pPr>
        <w:numPr>
          <w:numId w:val="4"/>
        </w:numPr>
        <w:spacing w:before="120" w:after="120" w:line="288" w:lineRule="auto"/>
        <w:ind w:left="0"/>
        <w:jc w:val="left"/>
      </w:pPr>
      <w:r>
        <w:rPr>
          <w:rFonts w:eastAsia="等线" w:ascii="Arial" w:cs="Arial" w:hAnsi="Arial"/>
          <w:sz w:val="22"/>
        </w:rPr>
        <w:t>[4] LeCun Y. Deep Learning[J]. Nature, 2015, 521(7553):436-444.</w:t>
      </w:r>
    </w:p>
    <w:p>
      <w:pPr>
        <w:numPr>
          <w:numId w:val="5"/>
        </w:numPr>
        <w:spacing w:before="120" w:after="120" w:line="288" w:lineRule="auto"/>
        <w:ind w:left="0"/>
        <w:jc w:val="left"/>
      </w:pPr>
      <w:r>
        <w:rPr>
          <w:rFonts w:eastAsia="等线" w:ascii="Arial" w:cs="Arial" w:hAnsi="Arial"/>
          <w:sz w:val="22"/>
        </w:rPr>
        <w:t>[5] Gareth James.《统计学习导论》[M]. 王星译. 机械工业出版社, 2020.</w:t>
      </w:r>
    </w:p>
    <w:p>
      <w:pPr>
        <w:numPr>
          <w:numId w:val="6"/>
        </w:numPr>
        <w:spacing w:before="120" w:after="120" w:line="288" w:lineRule="auto"/>
        <w:ind w:left="0"/>
        <w:jc w:val="left"/>
      </w:pPr>
      <w:r>
        <w:rPr>
          <w:rFonts w:eastAsia="等线" w:ascii="Arial" w:cs="Arial" w:hAnsi="Arial"/>
          <w:sz w:val="22"/>
        </w:rPr>
        <w:t>[6] 陈天奇.《无监督学习在推荐系统中的应用实践》[J]. 计算机应用, 2023(5):1456-1463.</w:t>
      </w:r>
    </w:p>
    <w:p>
      <w:pPr>
        <w:numPr>
          <w:numId w:val="7"/>
        </w:numPr>
        <w:spacing w:before="120" w:after="120" w:line="288" w:lineRule="auto"/>
        <w:ind w:left="0"/>
        <w:jc w:val="left"/>
      </w:pPr>
      <w:r>
        <w:rPr>
          <w:rFonts w:eastAsia="等线" w:ascii="Arial" w:cs="Arial" w:hAnsi="Arial"/>
          <w:sz w:val="22"/>
        </w:rPr>
        <w:t>[7] 高德地图官方帮助中心. 智能导航功能技术解析[EB/OL]. https://lbs.amap.com/help, 2024.</w:t>
      </w:r>
    </w:p>
    <w:p>
      <w:pPr>
        <w:numPr>
          <w:numId w:val="8"/>
        </w:numPr>
        <w:spacing w:before="120" w:after="120" w:line="288" w:lineRule="auto"/>
        <w:ind w:left="0"/>
        <w:jc w:val="left"/>
      </w:pPr>
      <w:r>
        <w:rPr>
          <w:rFonts w:eastAsia="等线" w:ascii="Arial" w:cs="Arial" w:hAnsi="Arial"/>
          <w:sz w:val="22"/>
        </w:rPr>
        <w:t>[8] 阿里巴巴达摩院.《地理信息AI的应用与发展》[R]. 2024.</w:t>
      </w:r>
    </w:p>
    <w:p>
      <w:pPr>
        <w:numPr>
          <w:numId w:val="9"/>
        </w:numPr>
        <w:spacing w:before="120" w:after="120" w:line="288" w:lineRule="auto"/>
        <w:ind w:left="0"/>
        <w:jc w:val="left"/>
      </w:pPr>
      <w:r>
        <w:rPr>
          <w:rFonts w:eastAsia="等线" w:ascii="Arial" w:cs="Arial" w:hAnsi="Arial"/>
          <w:sz w:val="22"/>
        </w:rPr>
        <w:t>[9] 腾讯科技.《企业微信智能考勤技术白皮书》[R]. 2024.</w:t>
      </w:r>
    </w:p>
    <w:p>
      <w:pPr>
        <w:numPr>
          <w:numId w:val="10"/>
        </w:numPr>
        <w:spacing w:before="120" w:after="120" w:line="288" w:lineRule="auto"/>
        <w:ind w:left="0"/>
        <w:jc w:val="left"/>
      </w:pPr>
      <w:r>
        <w:rPr>
          <w:rFonts w:eastAsia="等线" w:ascii="Arial" w:cs="Arial" w:hAnsi="Arial"/>
          <w:sz w:val="22"/>
        </w:rPr>
        <w:t>[10] 企业微信官方帮助中心. 智能考勤功能使用指南[EB/OL]. https://work.weixin.qq.com/help, 2024.</w:t>
      </w:r>
    </w:p>
    <w:p>
      <w:pPr>
        <w:numPr>
          <w:numId w:val="11"/>
        </w:numPr>
        <w:spacing w:before="120" w:after="120" w:line="288" w:lineRule="auto"/>
        <w:ind w:left="0"/>
        <w:jc w:val="left"/>
      </w:pPr>
      <w:r>
        <w:rPr>
          <w:rFonts w:eastAsia="等线" w:ascii="Arial" w:cs="Arial" w:hAnsi="Arial"/>
          <w:sz w:val="22"/>
        </w:rPr>
        <w:t>[11] 字节跳动.《抖音智能剪辑技术实践》[J]. 多媒体技术与应用, 2023(6):89-102.</w:t>
      </w:r>
    </w:p>
    <w:p>
      <w:pPr>
        <w:numPr>
          <w:numId w:val="12"/>
        </w:numPr>
        <w:spacing w:before="120" w:after="120" w:line="288" w:lineRule="auto"/>
        <w:ind w:left="0"/>
        <w:jc w:val="left"/>
      </w:pPr>
      <w:r>
        <w:rPr>
          <w:rFonts w:eastAsia="等线" w:ascii="Arial" w:cs="Arial" w:hAnsi="Arial"/>
          <w:sz w:val="22"/>
        </w:rPr>
        <w:t>[12] 剪映官方帮助中心. 智能剪辑功能介绍[EB/OL]. https://jianying.com/help, 2024.</w:t>
      </w:r>
    </w:p>
    <w:p>
      <w:pPr>
        <w:numPr>
          <w:numId w:val="13"/>
        </w:numPr>
        <w:spacing w:before="120" w:after="120" w:line="288" w:lineRule="auto"/>
        <w:ind w:left="0"/>
        <w:jc w:val="left"/>
      </w:pPr>
      <w:r>
        <w:rPr>
          <w:rFonts w:eastAsia="等线" w:ascii="Arial" w:cs="Arial" w:hAnsi="Arial"/>
          <w:sz w:val="22"/>
        </w:rPr>
        <w:t>[13] 人工智能课程课件（2024学年）.</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7235">
    <w:lvl>
      <w:numFmt w:val="bullet"/>
      <w:suff w:val="tab"/>
      <w:lvlText w:val="•"/>
      <w:rPr>
        <w:color w:val="3370ff"/>
      </w:rPr>
    </w:lvl>
  </w:abstractNum>
  <w:abstractNum w:abstractNumId="107236">
    <w:lvl>
      <w:numFmt w:val="bullet"/>
      <w:suff w:val="tab"/>
      <w:lvlText w:val="•"/>
      <w:rPr>
        <w:color w:val="3370ff"/>
      </w:rPr>
    </w:lvl>
  </w:abstractNum>
  <w:abstractNum w:abstractNumId="107237">
    <w:lvl>
      <w:numFmt w:val="bullet"/>
      <w:suff w:val="tab"/>
      <w:lvlText w:val="•"/>
      <w:rPr>
        <w:color w:val="3370ff"/>
      </w:rPr>
    </w:lvl>
  </w:abstractNum>
  <w:abstractNum w:abstractNumId="107238">
    <w:lvl>
      <w:numFmt w:val="bullet"/>
      <w:suff w:val="tab"/>
      <w:lvlText w:val="•"/>
      <w:rPr>
        <w:color w:val="3370ff"/>
      </w:rPr>
    </w:lvl>
  </w:abstractNum>
  <w:abstractNum w:abstractNumId="107239">
    <w:lvl>
      <w:numFmt w:val="bullet"/>
      <w:suff w:val="tab"/>
      <w:lvlText w:val="•"/>
      <w:rPr>
        <w:color w:val="3370ff"/>
      </w:rPr>
    </w:lvl>
  </w:abstractNum>
  <w:abstractNum w:abstractNumId="107240">
    <w:lvl>
      <w:numFmt w:val="bullet"/>
      <w:suff w:val="tab"/>
      <w:lvlText w:val="•"/>
      <w:rPr>
        <w:color w:val="3370ff"/>
      </w:rPr>
    </w:lvl>
  </w:abstractNum>
  <w:abstractNum w:abstractNumId="107241">
    <w:lvl>
      <w:numFmt w:val="bullet"/>
      <w:suff w:val="tab"/>
      <w:lvlText w:val="•"/>
      <w:rPr>
        <w:color w:val="3370ff"/>
      </w:rPr>
    </w:lvl>
  </w:abstractNum>
  <w:abstractNum w:abstractNumId="107242">
    <w:lvl>
      <w:numFmt w:val="bullet"/>
      <w:suff w:val="tab"/>
      <w:lvlText w:val="•"/>
      <w:rPr>
        <w:color w:val="3370ff"/>
      </w:rPr>
    </w:lvl>
  </w:abstractNum>
  <w:abstractNum w:abstractNumId="107243">
    <w:lvl>
      <w:numFmt w:val="bullet"/>
      <w:suff w:val="tab"/>
      <w:lvlText w:val="•"/>
      <w:rPr>
        <w:color w:val="3370ff"/>
      </w:rPr>
    </w:lvl>
  </w:abstractNum>
  <w:abstractNum w:abstractNumId="107244">
    <w:lvl>
      <w:numFmt w:val="bullet"/>
      <w:suff w:val="tab"/>
      <w:lvlText w:val="•"/>
      <w:rPr>
        <w:color w:val="3370ff"/>
      </w:rPr>
    </w:lvl>
  </w:abstractNum>
  <w:abstractNum w:abstractNumId="107245">
    <w:lvl>
      <w:numFmt w:val="bullet"/>
      <w:suff w:val="tab"/>
      <w:lvlText w:val="•"/>
      <w:rPr>
        <w:color w:val="3370ff"/>
      </w:rPr>
    </w:lvl>
  </w:abstractNum>
  <w:abstractNum w:abstractNumId="107246">
    <w:lvl>
      <w:numFmt w:val="bullet"/>
      <w:suff w:val="tab"/>
      <w:lvlText w:val="•"/>
      <w:rPr>
        <w:color w:val="3370ff"/>
      </w:rPr>
    </w:lvl>
  </w:abstractNum>
  <w:abstractNum w:abstractNumId="107247">
    <w:lvl>
      <w:numFmt w:val="bullet"/>
      <w:suff w:val="tab"/>
      <w:lvlText w:val="•"/>
      <w:rPr>
        <w:color w:val="3370ff"/>
      </w:rPr>
    </w:lvl>
  </w:abstractNum>
  <w:num w:numId="1">
    <w:abstractNumId w:val="107235"/>
  </w:num>
  <w:num w:numId="2">
    <w:abstractNumId w:val="107236"/>
  </w:num>
  <w:num w:numId="3">
    <w:abstractNumId w:val="107237"/>
  </w:num>
  <w:num w:numId="4">
    <w:abstractNumId w:val="107238"/>
  </w:num>
  <w:num w:numId="5">
    <w:abstractNumId w:val="107239"/>
  </w:num>
  <w:num w:numId="6">
    <w:abstractNumId w:val="107240"/>
  </w:num>
  <w:num w:numId="7">
    <w:abstractNumId w:val="107241"/>
  </w:num>
  <w:num w:numId="8">
    <w:abstractNumId w:val="107242"/>
  </w:num>
  <w:num w:numId="9">
    <w:abstractNumId w:val="107243"/>
  </w:num>
  <w:num w:numId="10">
    <w:abstractNumId w:val="107244"/>
  </w:num>
  <w:num w:numId="11">
    <w:abstractNumId w:val="107245"/>
  </w:num>
  <w:num w:numId="12">
    <w:abstractNumId w:val="107246"/>
  </w:num>
  <w:num w:numId="13">
    <w:abstractNumId w:val="10724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2025-11-29T10:10:37Z</dcterms:created>
  <dc:creator>Apache POI</dc:creator>
</cp:coreProperties>
</file>