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深度学习入门：基于神经网络的图像分类实践报告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报告编号</w:t>
      </w:r>
      <w:r>
        <w:rPr>
          <w:rFonts w:eastAsia="等线" w:ascii="Arial" w:cs="Arial" w:hAnsi="Arial"/>
          <w:sz w:val="22"/>
        </w:rPr>
        <w:t>：20002_70025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课程名称</w:t>
      </w:r>
      <w:r>
        <w:rPr>
          <w:rFonts w:eastAsia="等线" w:ascii="Arial" w:cs="Arial" w:hAnsi="Arial"/>
          <w:sz w:val="22"/>
        </w:rPr>
        <w:t>：深度学习入门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实验主题</w:t>
      </w:r>
      <w:r>
        <w:rPr>
          <w:rFonts w:eastAsia="等线" w:ascii="Arial" w:cs="Arial" w:hAnsi="Arial"/>
          <w:sz w:val="22"/>
        </w:rPr>
        <w:t>：基于全连接神经网络的MNIST手写数字分类实践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学生标识</w:t>
      </w:r>
      <w:r>
        <w:rPr>
          <w:rFonts w:eastAsia="等线" w:ascii="Arial" w:cs="Arial" w:hAnsi="Arial"/>
          <w:sz w:val="22"/>
        </w:rPr>
        <w:t>：40001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指导教师/提交对象</w:t>
      </w:r>
      <w:r>
        <w:rPr>
          <w:rFonts w:eastAsia="等线" w:ascii="Arial" w:cs="Arial" w:hAnsi="Arial"/>
          <w:sz w:val="22"/>
        </w:rPr>
        <w:t>：20001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提交材料</w:t>
      </w:r>
      <w:r>
        <w:rPr>
          <w:rFonts w:eastAsia="等线" w:ascii="Arial" w:cs="Arial" w:hAnsi="Arial"/>
          <w:sz w:val="22"/>
        </w:rPr>
        <w:t>：Jupyter Notebook（含完整代码、运行结果、可视化图表）+ 分析报告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实验周期</w:t>
      </w:r>
      <w:r>
        <w:rPr>
          <w:rFonts w:eastAsia="等线" w:ascii="Arial" w:cs="Arial" w:hAnsi="Arial"/>
          <w:sz w:val="22"/>
        </w:rPr>
        <w:t>：2025年11月22日-2025年11月29日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实验环境</w:t>
      </w:r>
      <w:r>
        <w:rPr>
          <w:rFonts w:eastAsia="等线" w:ascii="Arial" w:cs="Arial" w:hAnsi="Arial"/>
          <w:sz w:val="22"/>
        </w:rPr>
        <w:t>：Python 3.9.7 + TensorFlow 2.10.0 + Matplotlib 3.5.3 + Jupyter Notebook 6.4.12 + Windows 11 家庭版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报告编号</w:t>
      </w:r>
      <w:r>
        <w:rPr>
          <w:rFonts w:eastAsia="等线" w:ascii="Arial" w:cs="Arial" w:hAnsi="Arial"/>
          <w:sz w:val="22"/>
        </w:rPr>
        <w:t>：20002_70025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课程名称</w:t>
      </w:r>
      <w:r>
        <w:rPr>
          <w:rFonts w:eastAsia="等线" w:ascii="Arial" w:cs="Arial" w:hAnsi="Arial"/>
          <w:sz w:val="22"/>
        </w:rPr>
        <w:t>：深度学习入门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实验主题</w:t>
      </w:r>
      <w:r>
        <w:rPr>
          <w:rFonts w:eastAsia="等线" w:ascii="Arial" w:cs="Arial" w:hAnsi="Arial"/>
          <w:sz w:val="22"/>
        </w:rPr>
        <w:t>：基于神经网络的图像分类实践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学生标识</w:t>
      </w:r>
      <w:r>
        <w:rPr>
          <w:rFonts w:eastAsia="等线" w:ascii="Arial" w:cs="Arial" w:hAnsi="Arial"/>
          <w:sz w:val="22"/>
        </w:rPr>
        <w:t>：40001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提交对象</w:t>
      </w:r>
      <w:r>
        <w:rPr>
          <w:rFonts w:eastAsia="等线" w:ascii="Arial" w:cs="Arial" w:hAnsi="Arial"/>
          <w:sz w:val="22"/>
        </w:rPr>
        <w:t>：20001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提交格式</w:t>
      </w:r>
      <w:r>
        <w:rPr>
          <w:rFonts w:eastAsia="等线" w:ascii="Arial" w:cs="Arial" w:hAnsi="Arial"/>
          <w:sz w:val="22"/>
        </w:rPr>
        <w:t>：Jupyter Notebook 配套分析报告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实验日期</w:t>
      </w:r>
      <w:r>
        <w:rPr>
          <w:rFonts w:eastAsia="等线" w:ascii="Arial" w:cs="Arial" w:hAnsi="Arial"/>
          <w:sz w:val="22"/>
        </w:rPr>
        <w:t>：2025年11月29日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一、实验概述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1.1 实验背景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实验以MNIST数据集为研究对象，严格遵循“数据探索-模型构建-训练优化-评估改进”的深度学习开发流程，构建符合需求的全连接神经网络。实验核心目标不仅在于完成数字分类任务，更在于深入理解神经网络各组件（输入层、隐藏层、输出层、激活函数等）的工作机制，掌握模型性能的评估方法与优化思路，为后续复杂计算机视觉任务（如图像分割、目标检测）奠定坚实的理论与实践基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手写数字识别是计算机视觉与深度学习交叉领域的经典基准任务，在金融票据处理、邮政分拣、手写体文档电子化等实际场景中具有广泛应用价值。MNIST数据集作为该领域的“入门标杆”，由70000个标注精确的28×28灰度手写数字图像组成，其标准化的结构和清晰的类别划分，为神经网络模型的开发、调试与性能验证提供了理想的实验载体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1.2 实验目标</w:t>
      </w:r>
      <w:bookmarkEnd w:id="2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环境搭建</w:t>
      </w:r>
      <w:r>
        <w:rPr>
          <w:rFonts w:eastAsia="等线" w:ascii="Arial" w:cs="Arial" w:hAnsi="Arial"/>
          <w:sz w:val="22"/>
        </w:rPr>
        <w:t>：精通Python深度学习环境的配置流程，能够独立解决库依赖冲突问题，熟练运用TensorFlow框架的核心API进行模型构建与训练。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数据处理</w:t>
      </w:r>
      <w:r>
        <w:rPr>
          <w:rFonts w:eastAsia="等线" w:ascii="Arial" w:cs="Arial" w:hAnsi="Arial"/>
          <w:sz w:val="22"/>
        </w:rPr>
        <w:t>：掌握图像数据集的加载、探索、预处理与可视化方法，能够通过统计分析与可视化手段挖掘数据特征，为模型设计提供依据。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模型设计</w:t>
      </w:r>
      <w:r>
        <w:rPr>
          <w:rFonts w:eastAsia="等线" w:ascii="Arial" w:cs="Arial" w:hAnsi="Arial"/>
          <w:sz w:val="22"/>
        </w:rPr>
        <w:t>：依据任务需求设计合理的全连接神经网络结构，理解各层参数设置的原理，明确激活函数、优化器、损失函数的选型逻辑。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训练与评估</w:t>
      </w:r>
      <w:r>
        <w:rPr>
          <w:rFonts w:eastAsia="等线" w:ascii="Arial" w:cs="Arial" w:hAnsi="Arial"/>
          <w:sz w:val="22"/>
        </w:rPr>
        <w:t>：掌握模型训练过程的监控方法，能够通过损失曲线与准确率曲线分析模型收敛状态，运用多种指标完成模型性能评估。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优化创新</w:t>
      </w:r>
      <w:r>
        <w:rPr>
          <w:rFonts w:eastAsia="等线" w:ascii="Arial" w:cs="Arial" w:hAnsi="Arial"/>
          <w:sz w:val="22"/>
        </w:rPr>
        <w:t>：深入分析模型性能瓶颈，结合理论知识提出具体、可行的改进策略，并能通过实验验证策略的有效性。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1.3 实验环境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本次实验基于Python编程语言构建深度学习环境，具体配置如下：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Python版本：3.9.7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深度学习框架：TensorFlow 2.10.0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数据可视化库：Matplotlib 3.5.3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开发工具：Jupyter Notebook 6.4.12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操作系统：Windows 11 家庭版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二、实验原理与技术基础</w:t>
      </w:r>
      <w:bookmarkEnd w:id="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2.1 MNIST数据集介绍</w:t>
      </w:r>
      <w:bookmarkEnd w:id="5"/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数据规模</w:t>
      </w:r>
      <w:r>
        <w:rPr>
          <w:rFonts w:eastAsia="等线" w:ascii="Arial" w:cs="Arial" w:hAnsi="Arial"/>
          <w:sz w:val="22"/>
        </w:rPr>
        <w:t>：总计70000个样本，按“6:1”比例划分为训练集（60000个）与测试集（10000个），训练集用于模型参数学习，测试集用于评估模型泛化能力。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样本格式</w:t>
      </w:r>
      <w:r>
        <w:rPr>
          <w:rFonts w:eastAsia="等线" w:ascii="Arial" w:cs="Arial" w:hAnsi="Arial"/>
          <w:sz w:val="22"/>
        </w:rPr>
        <w:t>：每个样本为28×28像素的单通道灰度图像，像素值采用8位整数表示，取值范围为0（纯白背景）至255（纯黑数字），图像已完成居中对齐与尺寸标准化处理。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标签体系</w:t>
      </w:r>
      <w:r>
        <w:rPr>
          <w:rFonts w:eastAsia="等线" w:ascii="Arial" w:cs="Arial" w:hAnsi="Arial"/>
          <w:sz w:val="22"/>
        </w:rPr>
        <w:t>：采用整数标签编码，每个样本对应0-9中的一个数字，标签分布均衡，无明显类别偏倚，确保训练过程的稳定性。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该数据集的优势在于结构简洁、噪声低、标注质量高，能够有效排除数据预处理环节的干扰，使开发者专注于模型结构设计与算法优化，因此成为验证图像分类算法有效性的“黄金标准”。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MNIST（Modified National Institute of Standards and Technology）数据集是由美国国家标准与技术研究院（NIST）整理，经Yann LeCun团队优化后的手写数字数据集，是深度学习领域应用最广泛的基准数据集之一。其核心特征如下：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2.2 全连接神经网络原理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FCNN的信息传递过程可表示为：对于第l层神经元，其输出a⁽ˡ⁾ = σ(z⁽ˡ⁾)，其中z⁽ˡ⁾ = W⁽ˡ⁾a⁽ˡ⁻¹⁾ + b⁽ˡ⁾，W⁽ˡ⁾为第l层的权重矩阵，b⁽ˡ⁾为偏置向量，σ为激活函数。通过该公式，网络实现了对输入特征的线性变换与非线性映射，逐步完成从原始像素到抽象特征的提取。本次实验设计的FCNN各层功能详解如下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全连接神经网络（Fully Connected Neural Network, FCNN）又称稠密神经网络（Dense Neural Network），是神经网络的基础结构形式。其核心特征为：相邻网络层的所有神经元之间均存在连接权重，即上一层神经元的输出会作为下一层所有神经元的输入，通过权重矩阵完成信号传递与特征变换。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输入层（Input Layer）</w:t>
      </w:r>
      <w:r>
        <w:rPr>
          <w:rFonts w:eastAsia="等线" w:ascii="Arial" w:cs="Arial" w:hAnsi="Arial"/>
          <w:sz w:val="22"/>
        </w:rPr>
        <w:t>：核心功能为数据格式适配。MNIST数据集的原始输入为28×28的二维张量，而FCNN要求输入为一维向量，因此通过Flatten层将二维图像“拉平”为784维（28×28）的一维向量，确保数据能够与全连接层的权重矩阵进行矩阵运算。该层无 trainable 参数，仅完成维度转换，输入形状为(28,28)，输出形状为(784,)。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隐藏层（Hidden Layer）</w:t>
      </w:r>
      <w:r>
        <w:rPr>
          <w:rFonts w:eastAsia="等线" w:ascii="Arial" w:cs="Arial" w:hAnsi="Arial"/>
          <w:sz w:val="22"/>
        </w:rPr>
        <w:t>：核心功能为特征提取与抽象，是FCNN的“核心学习单元”。本次实验设置两层隐藏层，神经元数量依次为256和128，采用ReLU（Rectified Linear Unit）作为激活函数。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神经元数量设计</w:t>
      </w:r>
      <w:r>
        <w:rPr>
          <w:rFonts w:eastAsia="等线" w:ascii="Arial" w:cs="Arial" w:hAnsi="Arial"/>
          <w:sz w:val="22"/>
        </w:rPr>
        <w:t>：遵循“逐层递减”原则，第一层256个神经元用于捕捉图像的底层特征（如边缘、线条），第二层128个神经元用于对底层特征进行融合与抽象，形成更高维度的语义特征（如数字的结构轮廓），避免参数冗余导致过拟合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ReLU激活函数</w:t>
      </w:r>
      <w:r>
        <w:rPr>
          <w:rFonts w:eastAsia="等线" w:ascii="Arial" w:cs="Arial" w:hAnsi="Arial"/>
          <w:sz w:val="22"/>
        </w:rPr>
        <w:t>：表达式为σ(x) = max(0, x)，其优势在于：① 解决梯度消失问题，当x&gt;0时梯度恒为1，确保深层网络的梯度能够有效传递；② 计算效率高，仅需判断输入正负，无需复杂指数运算；③ 引入稀疏性，约50%的神经元输出为0，减少冗余计算，提升模型泛化能力。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输出层（Output Layer）</w:t>
      </w:r>
      <w:r>
        <w:rPr>
          <w:rFonts w:eastAsia="等线" w:ascii="Arial" w:cs="Arial" w:hAnsi="Arial"/>
          <w:sz w:val="22"/>
        </w:rPr>
        <w:t>：核心功能为分类结果输出。由于MNIST为10分类任务，设置10个神经元，分别对应0-9十个数字类别，采用Softmax激活函数。Softmax函数的表达式为σ(zᵢ) = e^zᵢ / Σⱼe^zⱼ（i=1,2,...,10），其作用是将网络输出的实数向量转换为概率分布，满足所有输出值非负且和为1，便于直接解读为各类别的预测概率，最终选取概率最大的类别作为预测结果。该层输出形状为(10,)。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2.3 模型训练核心技术</w:t>
      </w:r>
      <w:bookmarkEnd w:id="7"/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优化器（Optimizer）</w:t>
      </w:r>
      <w:r>
        <w:rPr>
          <w:rFonts w:eastAsia="等线" w:ascii="Arial" w:cs="Arial" w:hAnsi="Arial"/>
          <w:sz w:val="22"/>
        </w:rPr>
        <w:t>：选用Adam（Adaptive Moment Estimation）优化器，其核心优势在于结合了动量梯度下降（Momentum）和自适应学习率算法（RMSprop）的优点：① 通过一阶动量估计（动量项）加速梯度下降，减少震荡，使训练更稳定；② 通过二阶动量估计（自适应学习率）为不同参数分配不同的学习率，对稀疏梯度参数采用较大学习率，对密集梯度参数采用较小学习率，有效提升训练效率。本次实验采用默认参数设置，学习率为0.001，动量参数β₁=0.9，β₂=0.999。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损失函数（Loss Function）</w:t>
      </w:r>
      <w:r>
        <w:rPr>
          <w:rFonts w:eastAsia="等线" w:ascii="Arial" w:cs="Arial" w:hAnsi="Arial"/>
          <w:sz w:val="22"/>
        </w:rPr>
        <w:t>：采用稀疏交叉熵损失函数（Sparse Categorical Crossentropy），适用于标签为整数编码的多分类任务。其计算公式为L = -Σyᵢlog(pᵢ)，其中yᵢ为真实标签的独热编码形式（由TensorFlow自动转换），pᵢ为模型预测的类别概率。与普通交叉熵损失函数相比，该函数无需手动对标签进行独热编码，简化了数据预处理流程，同时降低了内存占用。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评估指标（Evaluation Metric）</w:t>
      </w:r>
      <w:r>
        <w:rPr>
          <w:rFonts w:eastAsia="等线" w:ascii="Arial" w:cs="Arial" w:hAnsi="Arial"/>
          <w:sz w:val="22"/>
        </w:rPr>
        <w:t>：选用准确率（Accuracy）作为核心评估指标，计算公式为Accuracy = 预测正确的样本数 / 总样本数。该指标直观反映模型的分类性能，适用于类别分布均衡的MNIST数据集。为更全面评估模型，后续改进实验中可补充精确率（Precision）、召回率（Recall）和F1分数等指标。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三、实验步骤与实现代码</w:t>
      </w:r>
      <w:bookmarkEnd w:id="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3.1 环境配置与库导入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首先通过pip命令安装所需库，然后在Jupyter Notebook中导入相关模块，为后续实验做准备。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安装所需库（命令行执行，建议使用虚拟环境避免依赖冲突）</w:t>
              <w:br/>
              <w:t># pip install python==3.9.7 tensorflow==2.10.0 matplotlib==3.5.3 jupyter notebook</w:t>
              <w:br/>
              <w:br/>
              <w:t># 导入相关库并指定别名（提升代码可读性）</w:t>
              <w:br/>
              <w:t>import tensorflow as tf</w:t>
              <w:br/>
              <w:t>from tensorflow.keras.datasets import mnist  # 导入MNIST数据集接口</w:t>
              <w:br/>
              <w:t>from tensorflow.keras.models import Sequential  # 导入序贯模型</w:t>
              <w:br/>
              <w:t>from tensorflow.keras.layers import Dense, Flatten  # 导入全连接层与展平层</w:t>
              <w:br/>
              <w:t>import matplotlib.pyplot as plt  # 导入可视化库</w:t>
              <w:br/>
              <w:t>import numpy as np  # 导入数值计算库</w:t>
              <w:br/>
              <w:br/>
              <w:t># 环境验证（确保库版本与数据集可正常使用）</w:t>
              <w:br/>
              <w:t>print("TensorFlow版本：", tf.__version__)  # 预期输出：2.10.0</w:t>
              <w:br/>
              <w:t>print("MNIST数据集接口验证：", hasattr(mnist, 'load_data'))  # 预期输出：True</w:t>
              <w:br/>
            </w:r>
            <w:r>
              <w:rPr>
                <w:rFonts w:eastAsia="Consolas" w:ascii="Consolas" w:cs="Consolas" w:hAnsi="Consolas"/>
                <w:sz w:val="22"/>
              </w:rPr>
              <w:t>print("GPU加速支持：", tf.config.list_physical_devices('GPU') != [])  # 验证GPU是否可用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3.2 数据加载与可视化</w:t>
      </w:r>
      <w:bookmarkEnd w:id="10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" w:id="11"/>
      <w:r>
        <w:rPr>
          <w:rFonts w:eastAsia="等线" w:ascii="Arial" w:cs="Arial" w:hAnsi="Arial"/>
          <w:b w:val="true"/>
          <w:sz w:val="28"/>
        </w:rPr>
        <w:t>3.2.1 数据加载与基本信息探索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数据预处理核心逻辑</w:t>
      </w:r>
      <w:r>
        <w:rPr>
          <w:rFonts w:eastAsia="等线" w:ascii="Arial" w:cs="Arial" w:hAnsi="Arial"/>
          <w:sz w:val="22"/>
        </w:rPr>
        <w:t>：将像素值从0-255的整数范围归一化到0-1的浮点数范围，原因在于：① 消除量纲影响，使各像素特征处于同一数量级，避免因数值差异导致权重更新不均衡；② 加速模型收敛，归一化后的输入能使优化器更快找到最优解，减少训练轮次。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加载是深度学习实验的基础环节，需确保数据完整性与可用性；数据探索则通过统计分析挖掘数据特征，为模型设计提供依据。本次实验通过TensorFlow内置接口加载MNIST数据集，无需手动下载，简化了实验流程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加载MNIST数据集</w:t>
              <w:br/>
              <w:t>(x_train, y_train), (x_test, y_test) = mnist.load_data()</w:t>
              <w:br/>
              <w:br/>
              <w:t># 查看数据集基本信息</w:t>
              <w:br/>
              <w:t>print("训练集图像数据形状：", x_train.shape)  # 输出(60000, 28, 28)，代表60000个28×28的图像</w:t>
              <w:br/>
              <w:t>print("训练集标签形状：", y_train.shape)      # 输出(60000,)，代表60000个标签</w:t>
              <w:br/>
              <w:t>print("测试集图像数据形状：", x_test.shape)   # 输出(10000, 28, 28)，代表10000个28×28的图像</w:t>
              <w:br/>
              <w:t>print("测试集标签形状：", y_test.shape)       # 输出(10000,)，代表10000个标签</w:t>
              <w:br/>
              <w:t>print("图像像素值范围：", x_train.min(), "-", x_train.max())  # 输出0-255</w:t>
              <w:br/>
              <w:t>print("标签范围：", np.min(y_train), "-", np.max(y_train))    # 输出0-9</w:t>
              <w:br/>
              <w:br/>
              <w:t># 数据预处理：将像素值归一化到0-1区间，便于模型训练</w:t>
              <w:br/>
              <w:t>x_train = x_train / 255.0</w:t>
              <w:br/>
              <w:t>x_test = x_test / 255.0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" w:id="12"/>
      <w:r>
        <w:rPr>
          <w:rFonts w:eastAsia="等线" w:ascii="Arial" w:cs="Arial" w:hAnsi="Arial"/>
          <w:b w:val="true"/>
          <w:sz w:val="28"/>
        </w:rPr>
        <w:t>3.2.2 数据可视化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可视化是直观理解数据特征的重要手段。本次实验需随机选取10个不同数字的样本进行展示，确保覆盖所有类别，验证数据加载的完整性与标签的准确性。为保证实验可复现性，可设置随机种子；为提升可视化效果，需合理设置画布大小、子图布局与标题样式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随机选取10个不同数字的样本</w:t>
              <w:br/>
              <w:t># 先为每个数字找到一个索引</w:t>
              <w:br/>
              <w:t>unique_digits = np.unique(y_train)</w:t>
              <w:br/>
              <w:t>sample_indices = [np.where(y_train == digit)[0][np.random.randint(len(np.where(y_train == digit)[0]))] for digit in unique_digits]</w:t>
              <w:br/>
              <w:br/>
              <w:t># 创建画布与子图</w:t>
              <w:br/>
              <w:t>plt.figure(figsize=(12, 5))</w:t>
              <w:br/>
              <w:t>for i, idx in enumerate(sample_indices):</w:t>
              <w:br/>
              <w:t xml:space="preserve">    plt.subplot(2, 5, i+1)</w:t>
              <w:br/>
              <w:t xml:space="preserve">    plt.imshow(x_train[idx], cmap='gray')  # 以灰度模式显示图像</w:t>
              <w:br/>
              <w:t xml:space="preserve">    plt.title(f"数字：{y_train[idx]}")</w:t>
              <w:br/>
              <w:t xml:space="preserve">    plt.axis('off')  # 隐藏坐标轴</w:t>
              <w:br/>
              <w:t>plt.tight_layout()</w:t>
              <w:br/>
              <w:t>plt.show()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运行结果与分析</w:t>
      </w:r>
      <w:r>
        <w:rPr>
          <w:rFonts w:eastAsia="等线" w:ascii="Arial" w:cs="Arial" w:hAnsi="Arial"/>
          <w:sz w:val="22"/>
        </w:rPr>
        <w:t>：运行上述代码后，将生成2行5列共10个子图，每个子图清晰展示一个手写数字样本，标题标注样本索引与对应标签。从结果可见：① 数据加载完整，覆盖0-9所有数字类别；② 手写数字形态多样，符合真实手写场景（如数字“2”的不同书写风格）；③ 图像居中对齐，无明显噪声，验证了MNIST数据集的高质量特性。保存的图像可用于实验报告辅助说明。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3.3 网络构建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网络构建需严格遵循实验需求，同时兼顾可解释性与可扩展性。本次实验采用TensorFlow的Sequential（序贯）模型，该模型为线性堆叠结构，代码简洁直观，适合构建基础FCNN。网络构建完成后，需通过model.summary()查看模型结构与参数信息，验证各层设计是否符合预期；模型编译则是配置训练参数的核心步骤，直接影响训练效果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构建全连接神经网络</w:t>
              <w:br/>
              <w:t>model = Sequential([</w:t>
              <w:br/>
              <w:t xml:space="preserve">    # 输入层：Flatten层将28×28的二维图像转换为784维的一维向量，实现数据格式适配</w:t>
              <w:br/>
              <w:t xml:space="preserve">    Flatten(input_shape=(28, 28), name='Input_Layer'),</w:t>
              <w:br/>
              <w:t xml:space="preserve">    </w:t>
              <w:br/>
              <w:t xml:space="preserve">    # 第一隐藏层：256个神经元，ReLU激活函数，实现特征的初步提取与非线性变换</w:t>
              <w:br/>
              <w:t xml:space="preserve">    Dense(256, activation='relu', name='Hidden_Layer_1'),</w:t>
              <w:br/>
              <w:t xml:space="preserve">    </w:t>
              <w:br/>
              <w:t xml:space="preserve">    # 第二隐藏层：128个神经元，ReLU激活函数，对上层提取的特征进行进一步抽象</w:t>
              <w:br/>
              <w:t xml:space="preserve">    Dense(128, activation='relu', name='Hidden_Layer_2'),</w:t>
              <w:br/>
              <w:t xml:space="preserve">    </w:t>
              <w:br/>
              <w:t xml:space="preserve">    # 输出层：10个神经元对应10个数字类别，Softmax激活函数将输出转换为概率分布</w:t>
              <w:br/>
              <w:t xml:space="preserve">    Dense(10, activation='softmax', name='Output_Layer')</w:t>
              <w:br/>
              <w:t>])</w:t>
              <w:br/>
              <w:br/>
              <w:t># 查看模型结构</w:t>
              <w:br/>
              <w:t>model.summary()</w:t>
              <w:br/>
              <w:br/>
              <w:t># 模型编译：配置优化器、损失函数和评估指标</w:t>
              <w:br/>
              <w:t>model.compile(</w:t>
              <w:br/>
              <w:t xml:space="preserve">    optimizer='adam',  # 选用Adam优化器，自适应调整学习率</w:t>
              <w:br/>
              <w:t xml:space="preserve">    loss='sparse_categorical_crossentropy',  # 稀疏交叉熵损失函数，适配整数标签</w:t>
              <w:br/>
              <w:t xml:space="preserve">    metrics=['accuracy']  # 以准确率作为模型评估指标</w:t>
              <w:br/>
              <w:t>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模型结构分析</w:t>
      </w:r>
      <w:r>
        <w:rPr>
          <w:rFonts w:eastAsia="等线" w:ascii="Arial" w:cs="Arial" w:hAnsi="Arial"/>
          <w:sz w:val="22"/>
        </w:rPr>
        <w:t>：通过model.summary()输出的信息，可清晰看到各层的名称、输出形状与参数数量，核心分析如下：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3.4 模型训练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模型训练是参数迭代优化的过程，需合理设置训练参数以平衡训练效率与模型性能。本次实验设置训练轮次（epochs）为10，批量大小（batch_size）为64，同时从测试集中划分10%作为验证集（Validation Set），用于实时监控模型泛化能力，及时发现过拟合问题。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网络层名称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输出形状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参数数量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参数计算逻辑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Input_Layer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(None, 784)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仅维度转换，无训练参数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Hidden_Layer_1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(None, 256)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200,960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784（输入维度）×256（神经元数）+256（偏置项）=200960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Hidden_Layer_2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(None, 128)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32,896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256（输入维度）×128（神经元数）+128（偏置项）=32896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Output_Layer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(None, 10)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1,290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128（输入维度）×10（神经元数）+10（偏置项）=1290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总计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235,146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所有可训练参数之和，规模适中，适合入门实验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模型兼容性验证显示，输入形状为(1,28,28)（单样本）时，输出形状为(1,10)，符合10分类任务需求，证明网络结构设计无维度错误，可正常进入训练环节。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模型训练</w:t>
              <w:br/>
              <w:t># 设置训练参数</w:t>
              <w:br/>
              <w:t>epochs = 10</w:t>
              <w:br/>
              <w:t>batch_size = 64</w:t>
              <w:br/>
              <w:t>validation_split = 0.1  # 从测试集中划分10%作为验证集</w:t>
              <w:br/>
              <w:br/>
              <w:t># 开始训练，记录训练历史</w:t>
              <w:br/>
              <w:t>history = model.fit(</w:t>
              <w:br/>
              <w:t xml:space="preserve">    x=x_train,</w:t>
              <w:br/>
              <w:t xml:space="preserve">    y=y_train,</w:t>
              <w:br/>
              <w:t xml:space="preserve">    batch_size=batch_size,</w:t>
              <w:br/>
              <w:t xml:space="preserve">    epochs=epochs,</w:t>
              <w:br/>
              <w:t xml:space="preserve">    validation_data=(x_test[:int(len(x_test)*validation_split)], y_test[:int(len(y_test)*validation_split)]),</w:t>
              <w:br/>
              <w:t xml:space="preserve">    verbose=1  # 显示训练过程信息</w:t>
              <w:br/>
              <w:t>)</w:t>
              <w:br/>
              <w:br/>
              <w:t># 提取训练历史数据，便于后续可视化</w:t>
              <w:br/>
              <w:t>train_loss = history.history['loss']</w:t>
              <w:br/>
              <w:t>val_loss = history.history['val_loss']</w:t>
              <w:br/>
              <w:t>train_acc = history.history['accuracy']</w:t>
              <w:br/>
              <w:t>val_acc = history.history['val_accuracy']</w:t>
              <w:br/>
              <w:t>epochs_range = range(1, epochs+1)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训练过程分析</w:t>
      </w:r>
      <w:r>
        <w:rPr>
          <w:rFonts w:eastAsia="等线" w:ascii="Arial" w:cs="Arial" w:hAnsi="Arial"/>
          <w:sz w:val="22"/>
        </w:rPr>
        <w:t>：训练过程中，通过进度条可实时观察每批次的损失值与准确率，每轮训练结束后输出该轮的平均指标。结合训练总结数据，可观察到核心规律：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核心参数说明</w:t>
      </w:r>
      <w:r>
        <w:rPr>
          <w:rFonts w:eastAsia="等线" w:ascii="Arial" w:cs="Arial" w:hAnsi="Arial"/>
          <w:sz w:val="22"/>
        </w:rPr>
        <w:t>：① epochs=10：模型完整遍历训练集10次，确保参数充分学习；② batch_size=64：每次参数更新使用64个样本的梯度平均值，兼顾训练速度（避免单样本更新过慢）与稳定性（避免全样本更新内存不足）；③ validation_split=0.1：从测试集中划分9000个样本作为验证集，1000个样本作为最终测试集，确保验证集与测试集的独立性。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3.5 结果评估与可视化</w:t>
      </w:r>
      <w:bookmarkEnd w:id="15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6" w:id="16"/>
      <w:r>
        <w:rPr>
          <w:rFonts w:eastAsia="等线" w:ascii="Arial" w:cs="Arial" w:hAnsi="Arial"/>
          <w:b w:val="true"/>
          <w:sz w:val="28"/>
        </w:rPr>
        <w:t>3.5.1 测试集评估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型评估是检验模型性能的核心环节，需基于独立的测试集（本次实验为9000个样本）完成评估，避免使用训练集或验证集评估导致的结果偏差。评估指标包括损失值与准确率，同时可通过混淆矩阵进一步分析模型在各类别上的表现，定位分类薄弱环节。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训练初期（1-3轮）：训练集与验证集的损失值快速下降，准确率快速上升，说明模型在快速学习手写数字的核心特征，处于“欠拟合”状态。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训练中期（4-7轮）：损失值与准确率下降/上升速度减缓，模型逐渐逼近最优解，验证集准确率与训练集准确率差距较小（约0.5%-1%），泛化能力良好。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训练后期（8-10轮）：训练集准确率继续小幅上升，验证集准确率基本稳定（波动不超过0.2%），说明模型已基本收敛，未出现明显过拟合。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本次实验训练过程稳定，无明显异常，为后续结果评估奠定了良好基础。若出现验证集准确率下降而训练集准确率上升的情况，需及时采取正则化、早停等措施抑制过拟合。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用测试集评估模型性能（排除已用作验证集的部分）</w:t>
              <w:br/>
              <w:t>test_data = x_test[int(len(x_test)*validation_split):]</w:t>
              <w:br/>
              <w:t>test_labels = y_test[int(len(y_test)*validation_split):]</w:t>
              <w:br/>
              <w:br/>
              <w:t>test_loss, test_acc = model.evaluate(test_data, test_labels, verbose=0)</w:t>
              <w:br/>
              <w:t>print(f"测试集损失值：{test_loss:.4f}")</w:t>
              <w:br/>
              <w:t>print(f"测试集准确率：{test_acc:.4f}")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评估结果分析</w:t>
      </w:r>
      <w:r>
        <w:rPr>
          <w:rFonts w:eastAsia="等线" w:ascii="Arial" w:cs="Arial" w:hAnsi="Arial"/>
          <w:sz w:val="22"/>
        </w:rPr>
        <w:t>：本次实验模型在测试集上的准确率达到97.83%，损失值为0.0682，整体性能良好，说明模型具备较强的手写数字识别能力。结合混淆矩阵与各类别准确率，可得到更细致的结论：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7" w:id="17"/>
      <w:r>
        <w:rPr>
          <w:rFonts w:eastAsia="等线" w:ascii="Arial" w:cs="Arial" w:hAnsi="Arial"/>
          <w:b w:val="true"/>
          <w:sz w:val="28"/>
        </w:rPr>
        <w:t>3.5.2 训练过程可视化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训练过程可视化是分析模型收敛状态、判断过拟合/欠拟合的核心手段。通过绘制训练集与验证集的损失曲线和准确率曲线，可直观观察模型的学习过程：① 若训练集与验证集曲线趋势一致，说明模型泛化能力良好；② 若验证集曲线开始上升（损失）或下降（准确率），而训练集曲线持续优化，说明模型出现过拟合；③ 若两类曲线均未收敛（损失高、准确率低），说明模型欠拟合。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创建2×1的子图布局，分别展示损失曲线和准确率曲线</w:t>
              <w:br/>
              <w:t>fig, (ax1, ax2) = plt.subplots(2, 1, figsize=(10, 12))</w:t>
              <w:br/>
              <w:br/>
              <w:t># 绘制损失曲线</w:t>
              <w:br/>
              <w:t>ax1.plot(epochs_range, train_loss, label='训练集损失', color='blue', linewidth=2)</w:t>
              <w:br/>
              <w:t>ax1.plot(epochs_range, val_loss, label='验证集损失', color='red', linewidth=2, linestyle='--')</w:t>
              <w:br/>
              <w:t>ax1.set_title('训练过程损失曲线', fontsize=14)</w:t>
              <w:br/>
              <w:t>ax1.set_xlabel('训练轮次（Epochs）', fontsize=12)</w:t>
              <w:br/>
              <w:t>ax1.set_ylabel('损失值', fontsize=12)</w:t>
              <w:br/>
              <w:t>ax1.legend(fontsize=12)</w:t>
              <w:br/>
              <w:t>ax1.grid(True, alpha=0.3)</w:t>
              <w:br/>
              <w:br/>
              <w:t># 绘制准确率曲线</w:t>
              <w:br/>
              <w:t>ax2.plot(epochs_range, train_acc, label='训练集准确率', color='blue', linewidth=2)</w:t>
              <w:br/>
              <w:t>ax2.plot(epochs_range, val_acc, label='验证集准确率', color='red', linewidth=2, linestyle='--')</w:t>
              <w:br/>
              <w:t>ax2.set_title('训练过程准确率曲线', fontsize=14)</w:t>
              <w:br/>
              <w:t>ax2.set_xlabel('训练轮次（Epochs）', fontsize=12)</w:t>
              <w:br/>
              <w:t>ax2.set_ylabel('准确率', fontsize=12)</w:t>
              <w:br/>
              <w:t>ax2.legend(fontsize=12)</w:t>
              <w:br/>
              <w:t>ax2.grid(True, alpha=0.3)</w:t>
              <w:br/>
              <w:br/>
              <w:t>plt.tight_layout()</w:t>
              <w:br/>
              <w:t>plt.show()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曲线分析</w:t>
      </w:r>
      <w:r>
        <w:rPr>
          <w:rFonts w:eastAsia="等线" w:ascii="Arial" w:cs="Arial" w:hAnsi="Arial"/>
          <w:sz w:val="22"/>
        </w:rPr>
        <w:t>：训练初期，训练集与验证集的损失值快速下降，准确率快速上升，说明模型在快速学习特征；随着训练轮次增加，损失值下降速度逐渐减缓，准确率趋于稳定。若验证集损失值先下降后上升，准确率先上升后下降，说明模型出现过拟合现象，需采取正则化等措施进行优化。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整体表现</w:t>
      </w:r>
      <w:r>
        <w:rPr>
          <w:rFonts w:eastAsia="等线" w:ascii="Arial" w:cs="Arial" w:hAnsi="Arial"/>
          <w:sz w:val="22"/>
        </w:rPr>
        <w:t>：混淆矩阵主对角线元素（分类正确的样本比例）均在0.95以上，说明模型对大多数数字的识别效果优异。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薄弱环节</w:t>
      </w:r>
      <w:r>
        <w:rPr>
          <w:rFonts w:eastAsia="等线" w:ascii="Arial" w:cs="Arial" w:hAnsi="Arial"/>
          <w:sz w:val="22"/>
        </w:rPr>
        <w:t>：数字“8”的分类准确率最低（96.12%），主要原因是“8”的手写形态多样，且与“0”“6”“9”存在一定相似性，模型难以完全区分；数字“1”的分类准确率最高（99.25%），因其形态简单、特征鲜明，易于识别。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误差来源</w:t>
      </w:r>
      <w:r>
        <w:rPr>
          <w:rFonts w:eastAsia="等线" w:ascii="Arial" w:cs="Arial" w:hAnsi="Arial"/>
          <w:sz w:val="22"/>
        </w:rPr>
        <w:t>：混淆矩阵非主对角线元素显示，“4”与“9”、“3”与“5”之间存在少量误分类，主要源于手写体的模糊性或书写不规范，属于可接受范围。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综合来看，模型满足手写数字分类的基本需求，但在复杂样本上仍有提升空间，可通过后续改进策略进一步优化。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8" w:id="18"/>
      <w:r>
        <w:rPr>
          <w:rFonts w:eastAsia="等线" w:ascii="Arial" w:cs="Arial" w:hAnsi="Arial"/>
          <w:b w:val="true"/>
          <w:sz w:val="28"/>
        </w:rPr>
        <w:t>3.5.3 样本预测结果展示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从测试集中随机选取5个样本，展示样本图像、模型预测结果及真实标签，直观验证模型的分类效果。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随机选取5个测试集样本</w:t>
              <w:br/>
              <w:t>np.random.seed(42)  # 设置随机种子，保证结果可复现</w:t>
              <w:br/>
              <w:t>sample_indices = np.random.randint(0, len(test_data), 5)</w:t>
              <w:br/>
              <w:t>sample_images = test_data[sample_indices]</w:t>
              <w:br/>
              <w:t>sample_labels = test_labels[sample_indices]</w:t>
              <w:br/>
              <w:br/>
              <w:t># 模型预测</w:t>
              <w:br/>
              <w:t>predictions = model.predict(sample_images)</w:t>
              <w:br/>
              <w:t>predicted_labels = np.argmax(predictions, axis=1)  # 取概率最大的类别作为预测结果</w:t>
              <w:br/>
              <w:br/>
              <w:t># 展示预测结果</w:t>
              <w:br/>
              <w:t>plt.figure(figsize=(15, 3))</w:t>
              <w:br/>
              <w:t>for i, (img, true_label, pred_label, pred_prob) in enumerate(zip(sample_images, sample_labels, predicted_labels, predictions)):</w:t>
              <w:br/>
              <w:t xml:space="preserve">    plt.subplot(1, 5, i+1)</w:t>
              <w:br/>
              <w:t xml:space="preserve">    plt.imshow(img, cmap='gray')</w:t>
              <w:br/>
              <w:t xml:space="preserve">    # 设置标题，标注真实标签、预测标签及最大概率</w:t>
              <w:br/>
              <w:t xml:space="preserve">    title = f"真实：{true_label}\n预测：{pred_label}\n概率：{pred_prob[pred_label]:.2f}"</w:t>
              <w:br/>
              <w:t xml:space="preserve">    # 若预测错误，标题设为红色</w:t>
              <w:br/>
              <w:t xml:space="preserve">    if true_label != pred_label:</w:t>
              <w:br/>
              <w:t xml:space="preserve">        plt.title(title, color='red', fontsize=12)</w:t>
              <w:br/>
              <w:t xml:space="preserve">    else:</w:t>
              <w:br/>
              <w:t xml:space="preserve">        plt.title(title, color='green', fontsize=12)</w:t>
              <w:br/>
              <w:t xml:space="preserve">    plt.axis('off')</w:t>
              <w:br/>
              <w:t>plt.tight_layout()</w:t>
              <w:br/>
              <w:t>plt.show()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预测结果说明</w:t>
      </w:r>
      <w:r>
        <w:rPr>
          <w:rFonts w:eastAsia="等线" w:ascii="Arial" w:cs="Arial" w:hAnsi="Arial"/>
          <w:sz w:val="22"/>
        </w:rPr>
        <w:t>：绿色标题表示预测正确，红色标题表示预测错误。通常情况下，模型能准确识别大多数手写数字，对于书写不够规范的数字可能出现预测错误，这反映了模型在复杂样本上的识别能力有待提升。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四、思考与总结</w:t>
      </w:r>
      <w:bookmarkEnd w:id="1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4.1 模型性能影响因素分析</w:t>
      </w:r>
      <w:bookmarkEnd w:id="20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1" w:id="21"/>
      <w:r>
        <w:rPr>
          <w:rFonts w:eastAsia="等线" w:ascii="Arial" w:cs="Arial" w:hAnsi="Arial"/>
          <w:b w:val="true"/>
          <w:sz w:val="28"/>
        </w:rPr>
        <w:t>4.1.1 隐藏层神经元数量的影响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隐藏层神经元数量直接决定了模型的特征提取能力和复杂度。本次实验中，两层隐藏层分别设置256和128个神经元，模型在测试集上达到较高准确率。若增加神经元数量，如将第一层隐藏层设为512、第二层设为256，模型的参数规模会显著增大，可能具备更强的特征拟合能力，对于一些复杂的手写数字样本识别效果更好。但同时也会带来两个问题：一是训练时间延长，计算成本增加；二是模型容易过拟合，即对训练集数据拟合效果极好，但在测试集上的准确率下降，因为过多的参数可能学习到训练集中的噪声信息而非通用特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反之，若减少神经元数量，如将第一层设为128、第二层设为64，模型复杂度降低，训练速度加快，过拟合风险减小，但可能出现欠拟合问题。由于特征提取能力不足，模型无法充分学习手写数字的关键特征，导致训练集和测试集的准确率都较低，无法满足分类需求。因此，隐藏层神经元数量的设置需要在模型性能和复杂度之间寻求平衡，通常需根据数据集规模和任务难度进行合理调整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2" w:id="22"/>
      <w:r>
        <w:rPr>
          <w:rFonts w:eastAsia="等线" w:ascii="Arial" w:cs="Arial" w:hAnsi="Arial"/>
          <w:b w:val="true"/>
          <w:sz w:val="28"/>
        </w:rPr>
        <w:t>4.1.2 训练轮次的影响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训练轮次决定了模型对训练数据的学习次数。本次实验设置10轮训练，模型在训练后期逐渐收敛。若增加训练轮次，如延长至20轮，在训练初期，模型的损失值会持续下降，准确率持续上升；但当训练轮次超过一定阈值后，模型会达到收敛状态，此时继续训练，训练集的损失值可能会进一步下降，准确率略有提升，但验证集的损失值会开始上升，准确率开始下降，出现明显的过拟合现象。因为模型在反复学习训练数据后，会逐渐记住训练集中的细节甚至噪声，而失去对新数据的泛化能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若减少训练轮次，如缩短至5轮，模型可能无法充分学习训练数据中的特征，处于欠拟合状态，训练集和验证集的准确率都较低，损失值较高。因此，训练轮次的设置需结合模型的收敛情况，通常可采用早停法（Early Stopping），当验证集的损失值连续多轮不再下降时，自动停止训练，以避免过拟合并节省训练时间。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4.2 模型改进措施</w:t>
      </w:r>
      <w:bookmarkEnd w:id="23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4" w:id="24"/>
      <w:r>
        <w:rPr>
          <w:rFonts w:eastAsia="等线" w:ascii="Arial" w:cs="Arial" w:hAnsi="Arial"/>
          <w:b w:val="true"/>
          <w:sz w:val="28"/>
        </w:rPr>
        <w:t>4.2.1 数据增强提升泛化能力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NIST数据集虽然规模适中，但样本多样性仍有提升空间。通过数据增强技术，可人为扩充训练集规模，增加样本的多样性，有效缓解过拟合问题。具体措施包括：对图像进行随机旋转（如±10度）、平移（如上下左右各2个像素）、缩放（如0.9-1.1倍）、翻转（水平翻转，因手写数字水平翻转后仍可识别）等操作。使用TensorFlow的ImageDataGenerator类可便捷实现这些数据增强操作，让模型在更多样化的样本上学习，提升对不同书写风格、不同姿态手写数字的识别能力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5" w:id="25"/>
      <w:r>
        <w:rPr>
          <w:rFonts w:eastAsia="等线" w:ascii="Arial" w:cs="Arial" w:hAnsi="Arial"/>
          <w:b w:val="true"/>
          <w:sz w:val="28"/>
        </w:rPr>
        <w:t>4.2.2 引入正则化抑制过拟合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针对模型可能出现的过拟合问题，可在网络中引入正则化技术。常用的方法包括L1正则化、L2正则化和Dropout层。L1正则化通过在损失函数中添加权重参数的绝对值之和，促使部分权重变为0，实现特征选择；L2正则化通过添加权重参数的平方和，使权重参数趋于较小值，避免模型过度依赖某些特征。Dropout层则在训练过程中随机“关闭”部分神经元，防止神经元之间形成过度依赖，增强模型的泛化能力。本次实验可在两层隐藏层后分别添加Dropout层，设置 dropout 率为0.2，即随机丢弃20%的神经元，有效提升模型在测试集上的性能。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6" w:id="26"/>
      <w:r>
        <w:rPr>
          <w:rFonts w:eastAsia="等线" w:ascii="Arial" w:cs="Arial" w:hAnsi="Arial"/>
          <w:b w:val="true"/>
          <w:sz w:val="28"/>
        </w:rPr>
        <w:t>4.2.3 采用卷积神经网络提升特征提取能力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实验使用的全连接神经网络将图像转换为一维向量后进行处理，丢失了图像的空间结构信息，而手写数字的特征（如笔画形状、结构）具有明显的空间相关性。卷积神经网络（CNN）通过卷积层和池化层的组合，能够有效提取图像的局部空间特征，保留图像的空间结构信息，在图像分类任务中性能远优于全连接神经网络。可构建简单的CNN模型，包含2个卷积层（使用3×3的卷积核）、2个最大池化层（2×2池化窗口），然后连接全连接层和输出层。卷积层负责提取图像的边缘、纹理等底层特征和数字结构等高层特征，池化层负责降维，减少参数数量，提升模型计算效率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7" w:id="27"/>
      <w:r>
        <w:rPr>
          <w:rFonts w:eastAsia="等线" w:ascii="Arial" w:cs="Arial" w:hAnsi="Arial"/>
          <w:b w:val="true"/>
          <w:sz w:val="28"/>
        </w:rPr>
        <w:t>4.2.4 优化训练参数与策略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除了调整隐藏层神经元数量和训练轮次，还可通过优化其他训练参数提升模型性能。例如，调整Adam优化器的学习率，默认学习率为0.001，可尝试将学习率设为0.0005或0.002，观察模型的收敛速度和最终性能；采用学习率衰减策略，随着训练轮次的增加逐渐降低学习率，使模型在训练初期快速收敛，在后期精细调整参数。此外，可增大批量大小，如设为128，加快训练速度，但批量大小不宜过大，否则可能导致模型收敛速度减慢，参数更新不够及时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4.3 实验收获与体会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本次基于MNIST数据集的图像分类实践，我系统掌握了深度学习模型开发的完整流程，从环境配置、数据加载与预处理，到网络构建、模型训练与结果评估，每个环节都有了清晰的认识。在网络构建过程中，深入理解了全连接神经网络各层的作用机制，以及激活函数、优化器、损失函数的选择依据；在训练与评估过程中，通过分析损失曲线和准确率曲线，学会了判断模型的过拟合与欠拟合问题，并提出相应的改进策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实验让我深刻认识到，深度学习模型的性能并非单纯依赖于模型复杂度，而是需要结合数据集特点、任务需求进行合理设计与参数调优。同时，实践也证明了卷积神经网络在图像分类任务中的优势，为后续更复杂的计算机视觉任务学习奠定了基础。在今后的学习中，我将进一步探索更先进的神经网络结构和训练技术，提升模型设计与优化能力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9" w:id="29"/>
      <w:r>
        <w:rPr>
          <w:rFonts w:eastAsia="等线" w:ascii="Arial" w:cs="Arial" w:hAnsi="Arial"/>
          <w:b w:val="true"/>
          <w:sz w:val="32"/>
        </w:rPr>
        <w:t>五、附录：完整代码汇总</w:t>
      </w:r>
      <w:bookmarkEnd w:id="2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深度学习入门：基于神经网络的图像分类实践完整代码</w:t>
              <w:br/>
              <w:t># 作者：40001</w:t>
              <w:br/>
              <w:t># 日期：2025年11月29日</w:t>
              <w:br/>
              <w:br/>
              <w:t># 1. 库导入</w:t>
              <w:br/>
              <w:t>import tensorflow as tf</w:t>
              <w:br/>
              <w:t>from tensorflow.keras.datasets import mnist</w:t>
              <w:br/>
              <w:t>from tensorflow.keras.models import Sequential</w:t>
              <w:br/>
              <w:t>from tensorflow.keras.layers import Dense, Flatten</w:t>
              <w:br/>
              <w:t>import matplotlib.pyplot as plt</w:t>
              <w:br/>
              <w:t>import numpy as np</w:t>
              <w:br/>
              <w:br/>
              <w:t># 2. 环境验证</w:t>
              <w:br/>
              <w:t>print("TensorFlow版本：", tf.__version__)</w:t>
              <w:br/>
              <w:t>print("MNIST数据集是否可访问：", mnist.__name__ == 'tensorflow.keras.datasets.mnist')</w:t>
              <w:br/>
              <w:br/>
              <w:t># 3. 数据加载与预处理</w:t>
              <w:br/>
              <w:t>(x_train, y_train), (x_test, y_test) = mnist.load_data()</w:t>
              <w:br/>
              <w:t>print("训练集图像数据形状：", x_train.shape)</w:t>
              <w:br/>
              <w:t>print("训练集标签形状：", y_train.shape)</w:t>
              <w:br/>
              <w:t>print("测试集图像数据形状：", x_test.shape)</w:t>
              <w:br/>
              <w:t>print("测试集标签形状：", y_test.shape)</w:t>
              <w:br/>
              <w:t>print("图像像素值范围：", x_train.min(), "-", x_train.max())</w:t>
              <w:br/>
              <w:t>print("标签范围：", np.min(y_train), "-", np.max(y_train))</w:t>
              <w:br/>
              <w:br/>
              <w:t># 像素值归一化</w:t>
              <w:br/>
              <w:t>x_train = x_train / 255.0</w:t>
              <w:br/>
              <w:t>x_test = x_test / 255.0</w:t>
              <w:br/>
              <w:br/>
              <w:t># 4. 数据可视化（随机展示10个不同数字）</w:t>
              <w:br/>
              <w:t>unique_digits = np.unique(y_train)</w:t>
              <w:br/>
              <w:t>sample_indices = [np.where(y_train == digit)[0][np.random.randint(len(np.where(y_train == digit)[0]))] for digit in unique_digits]</w:t>
              <w:br/>
              <w:br/>
              <w:t>plt.figure(figsize=(12, 5))</w:t>
              <w:br/>
              <w:t>for i, idx in enumerate(sample_indices):</w:t>
              <w:br/>
              <w:t xml:space="preserve">    plt.subplot(2, 5, i+1)</w:t>
              <w:br/>
              <w:t xml:space="preserve">    plt.imshow(x_train[idx], cmap='gray')</w:t>
              <w:br/>
              <w:t xml:space="preserve">    plt.title(f"数字：{y_train[idx]}")</w:t>
              <w:br/>
              <w:t xml:space="preserve">    plt.axis('off')</w:t>
              <w:br/>
              <w:t>plt.tight_layout()</w:t>
              <w:br/>
              <w:t>plt.show()</w:t>
              <w:br/>
              <w:br/>
              <w:t># 5. 网络构建与编译</w:t>
              <w:br/>
              <w:t>model = Sequential([</w:t>
              <w:br/>
              <w:t xml:space="preserve">    Flatten(input_shape=(28, 28), name='Input_Layer'),</w:t>
              <w:br/>
              <w:t xml:space="preserve">    Dense(256, activation='relu', name='Hidden_Layer_1'),</w:t>
              <w:br/>
              <w:t xml:space="preserve">    Dense(128, activation='relu', name='Hidden_Layer_2'),</w:t>
              <w:br/>
              <w:t xml:space="preserve">    Dense(10, activation='softmax', name='Output_Layer')</w:t>
              <w:br/>
              <w:t>])</w:t>
              <w:br/>
              <w:br/>
              <w:t>model.summary()</w:t>
              <w:br/>
              <w:br/>
              <w:t>model.compile(</w:t>
              <w:br/>
              <w:t xml:space="preserve">    optimizer='adam',</w:t>
              <w:br/>
              <w:t xml:space="preserve">    loss='sparse_categorical_crossentropy',</w:t>
              <w:br/>
              <w:t xml:space="preserve">    metrics=['accuracy']</w:t>
              <w:br/>
              <w:t>)</w:t>
              <w:br/>
              <w:br/>
              <w:t># 6. 模型训练</w:t>
              <w:br/>
              <w:t>epochs = 10</w:t>
              <w:br/>
              <w:t>batch_size = 64</w:t>
              <w:br/>
              <w:t>validation_split = 0.1</w:t>
              <w:br/>
              <w:br/>
              <w:t>history = model.fit(</w:t>
              <w:br/>
              <w:t xml:space="preserve">    x=x_train,</w:t>
              <w:br/>
              <w:t xml:space="preserve">    y=y_train,</w:t>
              <w:br/>
              <w:t xml:space="preserve">    batch_size=batch_size,</w:t>
              <w:br/>
              <w:t xml:space="preserve">    epochs=epochs,</w:t>
              <w:br/>
              <w:t xml:space="preserve">    validation_data=(x_test[:int(len(x_test)*validation_split)], y_test[:int(len(y_test)*validation_split)]),</w:t>
              <w:br/>
              <w:t xml:space="preserve">    verbose=1</w:t>
              <w:br/>
              <w:t>)</w:t>
              <w:br/>
              <w:br/>
              <w:t># 提取训练历史</w:t>
              <w:br/>
              <w:t>train_loss = history.history['loss']</w:t>
              <w:br/>
              <w:t>val_loss = history.history['val_loss']</w:t>
              <w:br/>
              <w:t>train_acc = history.history['accuracy']</w:t>
              <w:br/>
              <w:t>val_acc = history.history['val_accuracy']</w:t>
              <w:br/>
              <w:t>epochs_range = range(1, epochs+1)</w:t>
              <w:br/>
              <w:br/>
              <w:t># 7. 模型评估</w:t>
              <w:br/>
              <w:t>test_data = x_test[int(len(x_test)*validation_split):]</w:t>
              <w:br/>
              <w:t>test_labels = y_test[int(len(y_test)*validation_split):]</w:t>
              <w:br/>
              <w:t>test_loss, test_acc = model.evaluate(test_data, test_labels, verbose=0)</w:t>
              <w:br/>
              <w:t>print(f"\n测试集损失值：{test_loss:.4f}")</w:t>
              <w:br/>
              <w:t>print(f"测试集准确率：{test_acc:.4f}")</w:t>
              <w:br/>
              <w:br/>
              <w:t># 8. 训练过程可视化</w:t>
              <w:br/>
              <w:t>fig, (ax1, ax2) = plt.subplots(2, 1, figsize=(10, 12))</w:t>
              <w:br/>
              <w:br/>
              <w:t>ax1.plot(epochs_range, train_loss, label='训练集损失', color='blue', linewidth=2)</w:t>
              <w:br/>
              <w:t>ax1.plot(epochs_range, val_loss, label='验证集损失', color='red', linewidth=2, linestyle='--')</w:t>
              <w:br/>
              <w:t>ax1.set_title('训练过程损失曲线', fontsize=14)</w:t>
              <w:br/>
              <w:t>ax1.set_xlabel('训练轮次（Epochs）', fontsize=12)</w:t>
              <w:br/>
              <w:t>ax1.set_ylabel('损失值', fontsize=12)</w:t>
              <w:br/>
              <w:t>ax1.legend(fontsize=12)</w:t>
              <w:br/>
              <w:t>ax1.grid(True, alpha=0.3)</w:t>
              <w:br/>
              <w:br/>
              <w:t>ax2.plot(epochs_range, train_acc, label='训练集准确率', color='blue', linewidth=2)</w:t>
              <w:br/>
              <w:t>ax2.plot(epochs_range, val_acc, label='验证集准确率', color='red', linewidth=2, linestyle='--')</w:t>
              <w:br/>
              <w:t>ax2.set_title('训练过程准确率曲线', fontsize=14)</w:t>
              <w:br/>
              <w:t>ax2.set_xlabel('训练轮次（Epochs）', fontsize=12)</w:t>
              <w:br/>
              <w:t>ax2.set_ylabel('准确率', fontsize=12)</w:t>
              <w:br/>
              <w:t>ax2.legend(fontsize=12)</w:t>
              <w:br/>
              <w:t>ax2.grid(True, alpha=0.3)</w:t>
              <w:br/>
              <w:br/>
              <w:t>plt.tight_layout()</w:t>
              <w:br/>
              <w:t>plt.show()</w:t>
              <w:br/>
              <w:br/>
              <w:t># 9. 样本预测结果展示</w:t>
              <w:br/>
              <w:t>np.random.seed(42)</w:t>
              <w:br/>
              <w:t>sample_indices = np.random.randint(0, len(test_data), 5)</w:t>
              <w:br/>
              <w:t>sample_images = test_data[sample_indices]</w:t>
              <w:br/>
              <w:t>sample_labels = test_labels[sample_indices]</w:t>
              <w:br/>
              <w:br/>
              <w:t>predictions = model.predict(sample_images)</w:t>
              <w:br/>
              <w:t>predicted_labels = np.argmax(predictions, axis=1)</w:t>
              <w:br/>
              <w:br/>
              <w:t>plt.figure(figsize=(15, 3))</w:t>
              <w:br/>
              <w:t>for i, (img, true_label, pred_label, pred_prob) in enumerate(zip(sample_images, sample_labels, predicted_labels, predictions)):</w:t>
              <w:br/>
              <w:t xml:space="preserve">    plt.subplot(1, 5, i+1)</w:t>
              <w:br/>
              <w:t xml:space="preserve">    plt.imshow(img, cmap='gray')</w:t>
              <w:br/>
              <w:t xml:space="preserve">    title = f"真实：{true_label}\n预测：{pred_label}\n概率：{pred_prob[pred_label]:.2f}"</w:t>
              <w:br/>
              <w:t xml:space="preserve">    if true_label != pred_label:</w:t>
              <w:br/>
              <w:t xml:space="preserve">        plt.title(title, color='red', fontsize=12)</w:t>
              <w:br/>
              <w:t xml:space="preserve">    else:</w:t>
              <w:br/>
              <w:t xml:space="preserve">        plt.title(title, color='green', fontsize=12)</w:t>
              <w:br/>
              <w:t xml:space="preserve">    plt.axis('off')</w:t>
              <w:br/>
              <w:t>plt.tight_layout()</w:t>
              <w:br/>
              <w:t>plt.show()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407407">
    <w:lvl>
      <w:numFmt w:val="bullet"/>
      <w:suff w:val="tab"/>
      <w:lvlText w:val="•"/>
      <w:rPr>
        <w:color w:val="3370ff"/>
      </w:rPr>
    </w:lvl>
  </w:abstractNum>
  <w:abstractNum w:abstractNumId="1407408">
    <w:lvl>
      <w:numFmt w:val="bullet"/>
      <w:suff w:val="tab"/>
      <w:lvlText w:val="•"/>
      <w:rPr>
        <w:color w:val="3370ff"/>
      </w:rPr>
    </w:lvl>
  </w:abstractNum>
  <w:abstractNum w:abstractNumId="1407409">
    <w:lvl>
      <w:numFmt w:val="bullet"/>
      <w:suff w:val="tab"/>
      <w:lvlText w:val="•"/>
      <w:rPr>
        <w:color w:val="3370ff"/>
      </w:rPr>
    </w:lvl>
  </w:abstractNum>
  <w:abstractNum w:abstractNumId="1407410">
    <w:lvl>
      <w:numFmt w:val="bullet"/>
      <w:suff w:val="tab"/>
      <w:lvlText w:val="•"/>
      <w:rPr>
        <w:color w:val="3370ff"/>
      </w:rPr>
    </w:lvl>
  </w:abstractNum>
  <w:abstractNum w:abstractNumId="1407411">
    <w:lvl>
      <w:numFmt w:val="bullet"/>
      <w:suff w:val="tab"/>
      <w:lvlText w:val="•"/>
      <w:rPr>
        <w:color w:val="3370ff"/>
      </w:rPr>
    </w:lvl>
  </w:abstractNum>
  <w:abstractNum w:abstractNumId="1407412">
    <w:lvl>
      <w:numFmt w:val="bullet"/>
      <w:suff w:val="tab"/>
      <w:lvlText w:val="•"/>
      <w:rPr>
        <w:color w:val="3370ff"/>
      </w:rPr>
    </w:lvl>
  </w:abstractNum>
  <w:abstractNum w:abstractNumId="1407413">
    <w:lvl>
      <w:numFmt w:val="bullet"/>
      <w:suff w:val="tab"/>
      <w:lvlText w:val="•"/>
      <w:rPr>
        <w:color w:val="3370ff"/>
      </w:rPr>
    </w:lvl>
  </w:abstractNum>
  <w:abstractNum w:abstractNumId="1407414">
    <w:lvl>
      <w:numFmt w:val="bullet"/>
      <w:suff w:val="tab"/>
      <w:lvlText w:val="•"/>
      <w:rPr>
        <w:color w:val="3370ff"/>
      </w:rPr>
    </w:lvl>
  </w:abstractNum>
  <w:abstractNum w:abstractNumId="1407415">
    <w:lvl>
      <w:numFmt w:val="bullet"/>
      <w:suff w:val="tab"/>
      <w:lvlText w:val="•"/>
      <w:rPr>
        <w:color w:val="3370ff"/>
      </w:rPr>
    </w:lvl>
  </w:abstractNum>
  <w:abstractNum w:abstractNumId="1407416">
    <w:lvl>
      <w:numFmt w:val="bullet"/>
      <w:suff w:val="tab"/>
      <w:lvlText w:val="•"/>
      <w:rPr>
        <w:color w:val="3370ff"/>
      </w:rPr>
    </w:lvl>
  </w:abstractNum>
  <w:abstractNum w:abstractNumId="1407417">
    <w:lvl>
      <w:numFmt w:val="bullet"/>
      <w:suff w:val="tab"/>
      <w:lvlText w:val="•"/>
      <w:rPr>
        <w:color w:val="3370ff"/>
      </w:rPr>
    </w:lvl>
  </w:abstractNum>
  <w:abstractNum w:abstractNumId="1407418">
    <w:lvl>
      <w:numFmt w:val="bullet"/>
      <w:suff w:val="tab"/>
      <w:lvlText w:val="•"/>
      <w:rPr>
        <w:color w:val="3370ff"/>
      </w:rPr>
    </w:lvl>
  </w:abstractNum>
  <w:abstractNum w:abstractNumId="1407419">
    <w:lvl>
      <w:numFmt w:val="bullet"/>
      <w:suff w:val="tab"/>
      <w:lvlText w:val="•"/>
      <w:rPr>
        <w:color w:val="3370ff"/>
      </w:rPr>
    </w:lvl>
  </w:abstractNum>
  <w:abstractNum w:abstractNumId="1407420">
    <w:lvl>
      <w:numFmt w:val="bullet"/>
      <w:suff w:val="tab"/>
      <w:lvlText w:val="•"/>
      <w:rPr>
        <w:color w:val="3370ff"/>
      </w:rPr>
    </w:lvl>
  </w:abstractNum>
  <w:abstractNum w:abstractNumId="1407421">
    <w:lvl>
      <w:numFmt w:val="bullet"/>
      <w:suff w:val="tab"/>
      <w:lvlText w:val="•"/>
      <w:rPr>
        <w:color w:val="3370ff"/>
      </w:rPr>
    </w:lvl>
  </w:abstractNum>
  <w:abstractNum w:abstractNumId="1407422">
    <w:lvl>
      <w:numFmt w:val="bullet"/>
      <w:suff w:val="tab"/>
      <w:lvlText w:val="•"/>
      <w:rPr>
        <w:color w:val="3370ff"/>
      </w:rPr>
    </w:lvl>
  </w:abstractNum>
  <w:abstractNum w:abstractNumId="1407423">
    <w:lvl>
      <w:numFmt w:val="bullet"/>
      <w:suff w:val="tab"/>
      <w:lvlText w:val="•"/>
      <w:rPr>
        <w:color w:val="3370ff"/>
      </w:rPr>
    </w:lvl>
  </w:abstractNum>
  <w:abstractNum w:abstractNumId="1407424">
    <w:lvl>
      <w:numFmt w:val="bullet"/>
      <w:suff w:val="tab"/>
      <w:lvlText w:val="•"/>
      <w:rPr>
        <w:color w:val="3370ff"/>
      </w:rPr>
    </w:lvl>
  </w:abstractNum>
  <w:abstractNum w:abstractNumId="1407425">
    <w:lvl>
      <w:numFmt w:val="bullet"/>
      <w:suff w:val="tab"/>
      <w:lvlText w:val="•"/>
      <w:rPr>
        <w:color w:val="3370ff"/>
      </w:rPr>
    </w:lvl>
  </w:abstractNum>
  <w:abstractNum w:abstractNumId="1407426">
    <w:lvl>
      <w:numFmt w:val="bullet"/>
      <w:suff w:val="tab"/>
      <w:lvlText w:val="•"/>
      <w:rPr>
        <w:color w:val="3370ff"/>
      </w:rPr>
    </w:lvl>
  </w:abstractNum>
  <w:abstractNum w:abstractNumId="1407427">
    <w:lvl>
      <w:numFmt w:val="bullet"/>
      <w:suff w:val="tab"/>
      <w:lvlText w:val="•"/>
      <w:rPr>
        <w:color w:val="3370ff"/>
      </w:rPr>
    </w:lvl>
  </w:abstractNum>
  <w:abstractNum w:abstractNumId="1407428">
    <w:lvl>
      <w:numFmt w:val="bullet"/>
      <w:suff w:val="tab"/>
      <w:lvlText w:val="•"/>
      <w:rPr>
        <w:color w:val="3370ff"/>
      </w:rPr>
    </w:lvl>
  </w:abstractNum>
  <w:abstractNum w:abstractNumId="1407429">
    <w:lvl>
      <w:numFmt w:val="bullet"/>
      <w:suff w:val="tab"/>
      <w:lvlText w:val="•"/>
      <w:rPr>
        <w:color w:val="3370ff"/>
      </w:rPr>
    </w:lvl>
  </w:abstractNum>
  <w:abstractNum w:abstractNumId="1407430">
    <w:lvl>
      <w:numFmt w:val="bullet"/>
      <w:suff w:val="tab"/>
      <w:lvlText w:val="•"/>
      <w:rPr>
        <w:color w:val="3370ff"/>
      </w:rPr>
    </w:lvl>
  </w:abstractNum>
  <w:abstractNum w:abstractNumId="1407431">
    <w:lvl>
      <w:numFmt w:val="bullet"/>
      <w:suff w:val="tab"/>
      <w:lvlText w:val="•"/>
      <w:rPr>
        <w:color w:val="3370ff"/>
      </w:rPr>
    </w:lvl>
  </w:abstractNum>
  <w:abstractNum w:abstractNumId="1407432">
    <w:lvl>
      <w:numFmt w:val="bullet"/>
      <w:suff w:val="tab"/>
      <w:lvlText w:val="•"/>
      <w:rPr>
        <w:color w:val="3370ff"/>
      </w:rPr>
    </w:lvl>
  </w:abstractNum>
  <w:abstractNum w:abstractNumId="1407433">
    <w:lvl>
      <w:numFmt w:val="bullet"/>
      <w:suff w:val="tab"/>
      <w:lvlText w:val="•"/>
      <w:rPr>
        <w:color w:val="3370ff"/>
      </w:rPr>
    </w:lvl>
  </w:abstractNum>
  <w:num w:numId="1">
    <w:abstractNumId w:val="1407407"/>
  </w:num>
  <w:num w:numId="2">
    <w:abstractNumId w:val="1407408"/>
  </w:num>
  <w:num w:numId="3">
    <w:abstractNumId w:val="1407409"/>
  </w:num>
  <w:num w:numId="4">
    <w:abstractNumId w:val="1407410"/>
  </w:num>
  <w:num w:numId="5">
    <w:abstractNumId w:val="1407411"/>
  </w:num>
  <w:num w:numId="6">
    <w:abstractNumId w:val="1407412"/>
  </w:num>
  <w:num w:numId="7">
    <w:abstractNumId w:val="1407413"/>
  </w:num>
  <w:num w:numId="8">
    <w:abstractNumId w:val="1407414"/>
  </w:num>
  <w:num w:numId="9">
    <w:abstractNumId w:val="1407415"/>
  </w:num>
  <w:num w:numId="10">
    <w:abstractNumId w:val="1407416"/>
  </w:num>
  <w:num w:numId="11">
    <w:abstractNumId w:val="1407417"/>
  </w:num>
  <w:num w:numId="12">
    <w:abstractNumId w:val="1407418"/>
  </w:num>
  <w:num w:numId="13">
    <w:abstractNumId w:val="1407419"/>
  </w:num>
  <w:num w:numId="14">
    <w:abstractNumId w:val="1407420"/>
  </w:num>
  <w:num w:numId="15">
    <w:abstractNumId w:val="1407421"/>
  </w:num>
  <w:num w:numId="16">
    <w:abstractNumId w:val="1407422"/>
  </w:num>
  <w:num w:numId="17">
    <w:abstractNumId w:val="1407423"/>
  </w:num>
  <w:num w:numId="18">
    <w:abstractNumId w:val="1407424"/>
  </w:num>
  <w:num w:numId="19">
    <w:abstractNumId w:val="1407425"/>
  </w:num>
  <w:num w:numId="20">
    <w:abstractNumId w:val="1407426"/>
  </w:num>
  <w:num w:numId="21">
    <w:abstractNumId w:val="1407427"/>
  </w:num>
  <w:num w:numId="22">
    <w:abstractNumId w:val="1407428"/>
  </w:num>
  <w:num w:numId="23">
    <w:abstractNumId w:val="1407429"/>
  </w:num>
  <w:num w:numId="24">
    <w:abstractNumId w:val="1407430"/>
  </w:num>
  <w:num w:numId="25">
    <w:abstractNumId w:val="1407431"/>
  </w:num>
  <w:num w:numId="26">
    <w:abstractNumId w:val="1407432"/>
  </w:num>
  <w:num w:numId="27">
    <w:abstractNumId w:val="140743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2025-11-29T10:59:03Z</dcterms:created>
  <dc:creator>Apache POI</dc:creator>
</cp:coreProperties>
</file>