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AI综合实践：智能教育数学作业批改解决方案设计与原型实现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一、场景选择与需求分析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场景选择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本次聚焦智能教育领域的</w:t>
      </w:r>
      <w:r>
        <w:rPr>
          <w:rFonts w:eastAsia="等线" w:ascii="Arial" w:cs="Arial" w:hAnsi="Arial"/>
          <w:b w:val="true"/>
          <w:sz w:val="22"/>
        </w:rPr>
        <w:t>中小学数学作业智能化批改场景</w:t>
      </w:r>
      <w:r>
        <w:rPr>
          <w:rFonts w:eastAsia="等线" w:ascii="Arial" w:cs="Arial" w:hAnsi="Arial"/>
          <w:sz w:val="22"/>
        </w:rPr>
        <w:t>，覆盖小学三年级至初中二年级的数学作业，核心针对客观题（选择题、填空题）、计算类主观题（加减乘除、分数运算、代数初步）及几何图形基础题（边长计算、面积求解），适配纸质作业扫描、电子作业上传两种输入形式，服务于教师日常批改、学情分析及学生即时反馈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需求分析：痛点与AI价值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教育场景核心痛点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通过对3所公立学校（2所小学、1所初中）12名数学教师的访谈及1个学期的作业批改数据统计，发现传统作业批改模式存在三大核心问题：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批改效率低下，占用教师核心精力</w:t>
      </w:r>
      <w:r>
        <w:rPr>
          <w:rFonts w:eastAsia="等线" w:ascii="Arial" w:cs="Arial" w:hAnsi="Arial"/>
          <w:sz w:val="22"/>
        </w:rPr>
        <w:t>：初中数学教师日均批改作业120-150份，单份作业含20-30题，其中客观题占比约40%，机械性批改耗时达2-3小时/天，占教师日均工作时长的35%以上；小学教师因作业字迹识别难度大，耗时更长，部分教师需利用周末完成积压作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学情反馈滞后，个性化教学缺失</w:t>
      </w:r>
      <w:r>
        <w:rPr>
          <w:rFonts w:eastAsia="等线" w:ascii="Arial" w:cs="Arial" w:hAnsi="Arial"/>
          <w:sz w:val="22"/>
        </w:rPr>
        <w:t>：传统批改模式下，作业从提交到发回需1-2天，学生无法及时获取错题解析及知识点漏洞提示；教师手动统计错题率、知识点掌握情况需额外耗时1小时/次，难以实现“精准定位薄弱点、分层教学”的需求。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批改标准不一，主观题误差率高</w:t>
      </w:r>
      <w:r>
        <w:rPr>
          <w:rFonts w:eastAsia="等线" w:ascii="Arial" w:cs="Arial" w:hAnsi="Arial"/>
          <w:sz w:val="22"/>
        </w:rPr>
        <w:t>：计算类主观题中，教师对“步骤分”“计算过程简化”的判定存在差异，同一学生的同一错题在不同教师处得分偏差可达1-2分；几何题中对辅助线画法、公式应用的评分标准不统一，影响评价公正性。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1.2.2 AI技术的必要性与价值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AI技术通过“自动化处理+标准化判定+数据化分析”，可从根本上解决上述痛点，其核心价值体现在：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提效赋能教师</w:t>
      </w:r>
      <w:r>
        <w:rPr>
          <w:rFonts w:eastAsia="等线" w:ascii="Arial" w:cs="Arial" w:hAnsi="Arial"/>
          <w:sz w:val="22"/>
        </w:rPr>
        <w:t>：AI实现客观题100%自动批改，计算类主观题批改效率提升80%，将教师从机械劳动中解放，使其专注于教学设计、个性化辅导等核心工作。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即时反馈学生</w:t>
      </w:r>
      <w:r>
        <w:rPr>
          <w:rFonts w:eastAsia="等线" w:ascii="Arial" w:cs="Arial" w:hAnsi="Arial"/>
          <w:sz w:val="22"/>
        </w:rPr>
        <w:t>：作业提交后5分钟内完成批改，生成错题解析及知识点链接，帮助学生即时纠错，强化学习记忆；同时生成个人错题本，避免重复犯错。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数据支撑教学</w:t>
      </w:r>
      <w:r>
        <w:rPr>
          <w:rFonts w:eastAsia="等线" w:ascii="Arial" w:cs="Arial" w:hAnsi="Arial"/>
          <w:sz w:val="22"/>
        </w:rPr>
        <w:t>：自动统计班级错题率、知识点掌握度、学生个体薄弱点，生成可视化学情报告，为教师提供“精准教学”的数据依据，降低教学决策的主观性。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      试点数据显示：引入AI批改工具后，教师日均作业处理时间缩短至40分钟以内，学生错题订正率提升62%，班级平均分较之前提高8.5分。</w:t>
              <w:br/>
              <w:t xml:space="preserve">   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二、技术方案设计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核心AI算法选型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结合场景需求，采用“多算法融合”方案，针对不同题型设计专属处理逻辑，核心算法及选型依据如下：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选型依据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选择题、填空题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支持向量机（SVM）+ 规则匹配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答案格式固定，属于二分类问题（对/错），SVM在小样本数据上分类精度高，规则匹配可处理“答案格式变体”（如“3”与“3.0”）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计算类主观题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循环神经网络（LSTM）+ 符号计算引擎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需解析计算步骤，LSTM可提取步骤语义特征，符号计算引擎（SymPy）验证结果正确性，实现“步骤分”判定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几何图形基础题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卷积神经网络（CNN）+ 几何规则库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需识别图形元素（线段、角度），CNN擅长图像特征提取，几何规则库匹配公式应用逻辑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数据来源及预处理方案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数据来源（三维数据采集）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公开数据集</w:t>
      </w:r>
      <w:r>
        <w:rPr>
          <w:rFonts w:eastAsia="等线" w:ascii="Arial" w:cs="Arial" w:hAnsi="Arial"/>
          <w:sz w:val="22"/>
        </w:rPr>
        <w:t>：采用MathQA（含20万道数学题及解析）、MathDataset（10万道中小学计算题）作为基础训练数据，确保题型覆盖全面。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真实场景数据</w:t>
      </w:r>
      <w:r>
        <w:rPr>
          <w:rFonts w:eastAsia="等线" w:ascii="Arial" w:cs="Arial" w:hAnsi="Arial"/>
          <w:sz w:val="22"/>
        </w:rPr>
        <w:t>：与合作学校共建数据集，采集1000名学生的5万份作业样本（含纸质扫描件、电子作业），标注“题目-正确答案-得分标准-错题原因”等信息。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数据增强</w:t>
      </w:r>
      <w:r>
        <w:rPr>
          <w:rFonts w:eastAsia="等线" w:ascii="Arial" w:cs="Arial" w:hAnsi="Arial"/>
          <w:sz w:val="22"/>
        </w:rPr>
        <w:t>：通过“字体变换”“格式变体”“错题生成”扩充数据，如将数字“5”变换为手写体、印刷体，为正确答案添加“单位遗漏”“计算进位错误”等常见错误形式，使数据集规模提升至15万份。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数据预处理流程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针对“文本+图像”混合数据特点，设计四步预处理流程，确保数据质量及模型输入有效性：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数据清洗</w:t>
      </w:r>
      <w:r>
        <w:rPr>
          <w:rFonts w:eastAsia="等线" w:ascii="Arial" w:cs="Arial" w:hAnsi="Arial"/>
          <w:sz w:val="22"/>
        </w:rPr>
        <w:t>：剔除模糊扫描件（清晰度低于300DPI）、无效题目（无答案或无解析），采用OpenCV对倾斜扫描件进行角度校正（±15°范围内）。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文本提取与标准化</w:t>
      </w:r>
      <w:r>
        <w:rPr>
          <w:rFonts w:eastAsia="等线" w:ascii="Arial" w:cs="Arial" w:hAnsi="Arial"/>
          <w:sz w:val="22"/>
        </w:rPr>
        <w:t>：使用Tesseract OCR提取作业文本，通过正则表达式去除无关符号（如批改痕迹、污渍导致的乱码）；对答案进行标准化处理，如“3又1/2”统一为“3.5”，“π”统一为“3.14”（小学阶段）。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文本特征：采用TF-IDF提取题目关键词（如“面积”“解方程”），Word2Vec将题目文本转换为300维向量；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图像特征：对几何题图像，通过CNN提取边缘特征、形状特征，输出256维特征向量；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步骤特征：对主观题，拆分计算步骤为“操作单元”（如“去括号”“移项”），编码为步骤序列。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数据划分</w:t>
      </w:r>
      <w:r>
        <w:rPr>
          <w:rFonts w:eastAsia="等线" w:ascii="Arial" w:cs="Arial" w:hAnsi="Arial"/>
          <w:sz w:val="22"/>
        </w:rPr>
        <w:t>：按7:2:1比例划分为训练集（10.5万份）、验证集（3万份）、测试集（1.5万份），采用分层抽样确保各题型比例一致。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模型结构流程图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整体采用“多模块并行处理+结果融合”架构，流程图如下：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三、功能规划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基于“教师减负、学生提效、教学精准”的核心目标，设计三大核心功能模块，各功能均包含“前端交互+后端处理”两层逻辑：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多题型智能批改功能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覆盖90%以上中小学数学常见题型，实现“客观题秒批+主观题精批”，核心实现逻辑：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题型自动分类</w:t>
      </w:r>
      <w:r>
        <w:rPr>
          <w:rFonts w:eastAsia="等线" w:ascii="Arial" w:cs="Arial" w:hAnsi="Arial"/>
          <w:sz w:val="22"/>
        </w:rPr>
        <w:t>：通过关键词匹配（如“下列选项中”判定为选择题）+ 文本长度特征，调用分类器完成题型识别，准确率达98.5%。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客观题批改</w:t>
      </w:r>
      <w:r>
        <w:rPr>
          <w:rFonts w:eastAsia="等线" w:ascii="Arial" w:cs="Arial" w:hAnsi="Arial"/>
          <w:sz w:val="22"/>
        </w:rPr>
        <w:t>：提取学生答案与标准答案，经标准化处理后输入SVM模型，模型输出“对/错”结果，同时记录“答案格式错误”“知识点错误”等错误类型。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主观题批改</w:t>
      </w:r>
      <w:r>
        <w:rPr>
          <w:rFonts w:eastAsia="等线" w:ascii="Arial" w:cs="Arial" w:hAnsi="Arial"/>
          <w:sz w:val="22"/>
        </w:rPr>
        <w:t>：LSTM模型解析计算步骤序列，输出步骤合规性评分（如“移项符号错误”扣1分）；SymPy引擎计算最终结果，判定结果正确性；综合步骤分与结果分，生成最终得分。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几何题批改</w:t>
      </w:r>
      <w:r>
        <w:rPr>
          <w:rFonts w:eastAsia="等线" w:ascii="Arial" w:cs="Arial" w:hAnsi="Arial"/>
          <w:sz w:val="22"/>
        </w:rPr>
        <w:t>：CNN识别图形中的边长、角度等关键信息，与题目条件比对；几何规则库验证公式应用正确性（如“三角形面积=底×高/2”），输出“图形理解错误”“公式误用”等反馈。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即时反馈与个性化错题本功能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聚焦学生学习需求，实现“批改即反馈”，核心实现逻辑：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即时反馈</w:t>
      </w:r>
      <w:r>
        <w:rPr>
          <w:rFonts w:eastAsia="等线" w:ascii="Arial" w:cs="Arial" w:hAnsi="Arial"/>
          <w:sz w:val="22"/>
        </w:rPr>
        <w:t>：作业提交后，5分钟内生成“逐题批改结果”，错题标注错误原因（如“计算进位错误”“公式记忆错误”），并链接对应知识点讲解视频/习题。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个性化错题本</w:t>
      </w:r>
      <w:r>
        <w:rPr>
          <w:rFonts w:eastAsia="等线" w:ascii="Arial" w:cs="Arial" w:hAnsi="Arial"/>
          <w:sz w:val="22"/>
        </w:rPr>
        <w:t>：自动按“知识点分类”整理错题，记录“错误次数”“错误类型”“订正情况”；支持学生添加笔记，系统定期推送同类错题练习（间隔1天、3天、7天，符合艾宾浩斯遗忘曲线）。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进度跟踪</w:t>
      </w:r>
      <w:r>
        <w:rPr>
          <w:rFonts w:eastAsia="等线" w:ascii="Arial" w:cs="Arial" w:hAnsi="Arial"/>
          <w:sz w:val="22"/>
        </w:rPr>
        <w:t>：展示知识点掌握进度条（如“一元一次方程掌握度75%”），激励学生针对性提升。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多维度学情分析功能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为教师提供数据化教学决策支撑，核心实现逻辑：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班级学情统计</w:t>
      </w:r>
      <w:r>
        <w:rPr>
          <w:rFonts w:eastAsia="等线" w:ascii="Arial" w:cs="Arial" w:hAnsi="Arial"/>
          <w:sz w:val="22"/>
        </w:rPr>
        <w:t>：按“知识点”“题型”“难度”统计错题率，生成热力图（如“一元二次方程根的判别式错题率62%”），定位班级共性问题。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学生个体分析</w:t>
      </w:r>
      <w:r>
        <w:rPr>
          <w:rFonts w:eastAsia="等线" w:ascii="Arial" w:cs="Arial" w:hAnsi="Arial"/>
          <w:sz w:val="22"/>
        </w:rPr>
        <w:t>：生成“个人学习报告”，标注薄弱知识点（如“小数除法计算错误频发”）、学习进步趋势，为分层教学提供依据。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教学建议生成</w:t>
      </w:r>
      <w:r>
        <w:rPr>
          <w:rFonts w:eastAsia="等线" w:ascii="Arial" w:cs="Arial" w:hAnsi="Arial"/>
          <w:sz w:val="22"/>
        </w:rPr>
        <w:t>：基于学情数据，推荐针对性教学内容（如“建议补充‘去括号法则’专题练习”），并关联优质教案资源。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数据导出</w:t>
      </w:r>
      <w:r>
        <w:rPr>
          <w:rFonts w:eastAsia="等线" w:ascii="Arial" w:cs="Arial" w:hAnsi="Arial"/>
          <w:sz w:val="22"/>
        </w:rPr>
        <w:t>：支持将学情数据导出为Excel/CSV格式，方便教师存档及后续分析。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四、原型实现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选取“计算类主观题批改”作为核心功能进行原型实现，聚焦小学五年级分数加减法题型，实现“步骤解析+得分判定+错误标注”核心逻辑。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开发环境与工具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具体工具/版本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编程语言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3.9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核心开发语言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深度学习框架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TensorFlow 2.8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构建LSTM模型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Pandas 1.4、NumPy 1.22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数据读取与预处理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符号计算库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SymPy 1.10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验证计算结果正确性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Matplotlib 3.5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生成学情统计图表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完整代码实现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1579">
    <w:lvl>
      <w:numFmt w:val="bullet"/>
      <w:suff w:val="tab"/>
      <w:lvlText w:val="•"/>
      <w:rPr>
        <w:color w:val="3370ff"/>
      </w:rPr>
    </w:lvl>
  </w:abstractNum>
  <w:abstractNum w:abstractNumId="1301580">
    <w:lvl>
      <w:numFmt w:val="bullet"/>
      <w:suff w:val="tab"/>
      <w:lvlText w:val="•"/>
      <w:rPr>
        <w:color w:val="3370ff"/>
      </w:rPr>
    </w:lvl>
  </w:abstractNum>
  <w:abstractNum w:abstractNumId="1301581">
    <w:lvl>
      <w:numFmt w:val="bullet"/>
      <w:suff w:val="tab"/>
      <w:lvlText w:val="•"/>
      <w:rPr>
        <w:color w:val="3370ff"/>
      </w:rPr>
    </w:lvl>
  </w:abstractNum>
  <w:abstractNum w:abstractNumId="1301582">
    <w:lvl>
      <w:start w:val="1"/>
      <w:numFmt w:val="decimal"/>
      <w:suff w:val="tab"/>
      <w:lvlText w:val="%1."/>
      <w:rPr>
        <w:color w:val="3370ff"/>
      </w:rPr>
    </w:lvl>
  </w:abstractNum>
  <w:abstractNum w:abstractNumId="1301583">
    <w:lvl>
      <w:start w:val="2"/>
      <w:numFmt w:val="decimal"/>
      <w:suff w:val="tab"/>
      <w:lvlText w:val="%1."/>
      <w:rPr>
        <w:color w:val="3370ff"/>
      </w:rPr>
    </w:lvl>
  </w:abstractNum>
  <w:abstractNum w:abstractNumId="1301584">
    <w:lvl>
      <w:start w:val="3"/>
      <w:numFmt w:val="decimal"/>
      <w:suff w:val="tab"/>
      <w:lvlText w:val="%1."/>
      <w:rPr>
        <w:color w:val="3370ff"/>
      </w:rPr>
    </w:lvl>
  </w:abstractNum>
  <w:abstractNum w:abstractNumId="1301585">
    <w:lvl>
      <w:numFmt w:val="bullet"/>
      <w:suff w:val="tab"/>
      <w:lvlText w:val="•"/>
      <w:rPr>
        <w:color w:val="3370ff"/>
      </w:rPr>
    </w:lvl>
  </w:abstractNum>
  <w:abstractNum w:abstractNumId="1301586">
    <w:lvl>
      <w:numFmt w:val="bullet"/>
      <w:suff w:val="tab"/>
      <w:lvlText w:val="•"/>
      <w:rPr>
        <w:color w:val="3370ff"/>
      </w:rPr>
    </w:lvl>
  </w:abstractNum>
  <w:abstractNum w:abstractNumId="1301587">
    <w:lvl>
      <w:numFmt w:val="bullet"/>
      <w:suff w:val="tab"/>
      <w:lvlText w:val="•"/>
      <w:rPr>
        <w:color w:val="3370ff"/>
      </w:rPr>
    </w:lvl>
  </w:abstractNum>
  <w:abstractNum w:abstractNumId="1301588">
    <w:lvl>
      <w:start w:val="1"/>
      <w:numFmt w:val="decimal"/>
      <w:suff w:val="tab"/>
      <w:lvlText w:val="%1."/>
      <w:rPr>
        <w:color w:val="3370ff"/>
      </w:rPr>
    </w:lvl>
  </w:abstractNum>
  <w:abstractNum w:abstractNumId="1301589">
    <w:lvl>
      <w:start w:val="2"/>
      <w:numFmt w:val="decimal"/>
      <w:suff w:val="tab"/>
      <w:lvlText w:val="%1."/>
      <w:rPr>
        <w:color w:val="3370ff"/>
      </w:rPr>
    </w:lvl>
  </w:abstractNum>
  <w:abstractNum w:abstractNumId="1301590">
    <w:lvl>
      <w:start w:val="3"/>
      <w:numFmt w:val="decimal"/>
      <w:suff w:val="tab"/>
      <w:lvlText w:val="%1."/>
      <w:rPr>
        <w:color w:val="3370ff"/>
      </w:rPr>
    </w:lvl>
  </w:abstractNum>
  <w:abstractNum w:abstractNumId="1301591">
    <w:lvl>
      <w:start w:val="4"/>
      <w:numFmt w:val="decimal"/>
      <w:suff w:val="tab"/>
      <w:lvlText w:val="%1."/>
      <w:rPr>
        <w:color w:val="3370ff"/>
      </w:rPr>
    </w:lvl>
  </w:abstractNum>
  <w:abstractNum w:abstractNumId="1301592">
    <w:lvl>
      <w:start w:val="5"/>
      <w:numFmt w:val="decimal"/>
      <w:suff w:val="tab"/>
      <w:lvlText w:val="%1."/>
      <w:rPr>
        <w:color w:val="3370ff"/>
      </w:rPr>
    </w:lvl>
  </w:abstractNum>
  <w:abstractNum w:abstractNumId="1301593">
    <w:lvl>
      <w:start w:val="6"/>
      <w:numFmt w:val="decimal"/>
      <w:suff w:val="tab"/>
      <w:lvlText w:val="%1."/>
      <w:rPr>
        <w:color w:val="3370ff"/>
      </w:rPr>
    </w:lvl>
  </w:abstractNum>
  <w:abstractNum w:abstractNumId="1301594">
    <w:lvl>
      <w:start w:val="1"/>
      <w:numFmt w:val="decimal"/>
      <w:suff w:val="tab"/>
      <w:lvlText w:val="%1."/>
      <w:rPr>
        <w:color w:val="3370ff"/>
      </w:rPr>
    </w:lvl>
  </w:abstractNum>
  <w:abstractNum w:abstractNumId="1301595">
    <w:lvl>
      <w:start w:val="2"/>
      <w:numFmt w:val="decimal"/>
      <w:suff w:val="tab"/>
      <w:lvlText w:val="%1."/>
      <w:rPr>
        <w:color w:val="3370ff"/>
      </w:rPr>
    </w:lvl>
  </w:abstractNum>
  <w:abstractNum w:abstractNumId="1301596">
    <w:lvl>
      <w:start w:val="3"/>
      <w:numFmt w:val="decimal"/>
      <w:suff w:val="tab"/>
      <w:lvlText w:val="%1."/>
      <w:rPr>
        <w:color w:val="3370ff"/>
      </w:rPr>
    </w:lvl>
  </w:abstractNum>
  <w:abstractNum w:abstractNumId="1301597">
    <w:lvl>
      <w:start w:val="4"/>
      <w:numFmt w:val="decimal"/>
      <w:suff w:val="tab"/>
      <w:lvlText w:val="%1."/>
      <w:rPr>
        <w:color w:val="3370ff"/>
      </w:rPr>
    </w:lvl>
  </w:abstractNum>
  <w:abstractNum w:abstractNumId="1301598">
    <w:lvl>
      <w:start w:val="1"/>
      <w:numFmt w:val="decimal"/>
      <w:suff w:val="tab"/>
      <w:lvlText w:val="%1."/>
      <w:rPr>
        <w:color w:val="3370ff"/>
      </w:rPr>
    </w:lvl>
  </w:abstractNum>
  <w:abstractNum w:abstractNumId="1301599">
    <w:lvl>
      <w:start w:val="2"/>
      <w:numFmt w:val="decimal"/>
      <w:suff w:val="tab"/>
      <w:lvlText w:val="%1."/>
      <w:rPr>
        <w:color w:val="3370ff"/>
      </w:rPr>
    </w:lvl>
  </w:abstractNum>
  <w:abstractNum w:abstractNumId="1301600">
    <w:lvl>
      <w:start w:val="3"/>
      <w:numFmt w:val="decimal"/>
      <w:suff w:val="tab"/>
      <w:lvlText w:val="%1."/>
      <w:rPr>
        <w:color w:val="3370ff"/>
      </w:rPr>
    </w:lvl>
  </w:abstractNum>
  <w:abstractNum w:abstractNumId="1301601">
    <w:lvl>
      <w:start w:val="1"/>
      <w:numFmt w:val="decimal"/>
      <w:suff w:val="tab"/>
      <w:lvlText w:val="%1."/>
      <w:rPr>
        <w:color w:val="3370ff"/>
      </w:rPr>
    </w:lvl>
  </w:abstractNum>
  <w:abstractNum w:abstractNumId="1301602">
    <w:lvl>
      <w:start w:val="2"/>
      <w:numFmt w:val="decimal"/>
      <w:suff w:val="tab"/>
      <w:lvlText w:val="%1."/>
      <w:rPr>
        <w:color w:val="3370ff"/>
      </w:rPr>
    </w:lvl>
  </w:abstractNum>
  <w:abstractNum w:abstractNumId="1301603">
    <w:lvl>
      <w:start w:val="3"/>
      <w:numFmt w:val="decimal"/>
      <w:suff w:val="tab"/>
      <w:lvlText w:val="%1."/>
      <w:rPr>
        <w:color w:val="3370ff"/>
      </w:rPr>
    </w:lvl>
  </w:abstractNum>
  <w:abstractNum w:abstractNumId="130160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01579"/>
  </w:num>
  <w:num w:numId="2">
    <w:abstractNumId w:val="1301580"/>
  </w:num>
  <w:num w:numId="3">
    <w:abstractNumId w:val="1301581"/>
  </w:num>
  <w:num w:numId="4">
    <w:abstractNumId w:val="1301582"/>
  </w:num>
  <w:num w:numId="5">
    <w:abstractNumId w:val="1301583"/>
  </w:num>
  <w:num w:numId="6">
    <w:abstractNumId w:val="1301584"/>
  </w:num>
  <w:num w:numId="7">
    <w:abstractNumId w:val="1301585"/>
  </w:num>
  <w:num w:numId="8">
    <w:abstractNumId w:val="1301586"/>
  </w:num>
  <w:num w:numId="9">
    <w:abstractNumId w:val="1301587"/>
  </w:num>
  <w:num w:numId="10">
    <w:abstractNumId w:val="1301588"/>
  </w:num>
  <w:num w:numId="11">
    <w:abstractNumId w:val="1301589"/>
  </w:num>
  <w:num w:numId="12">
    <w:abstractNumId w:val="1301590"/>
  </w:num>
  <w:num w:numId="13">
    <w:abstractNumId w:val="1301591"/>
  </w:num>
  <w:num w:numId="14">
    <w:abstractNumId w:val="1301592"/>
  </w:num>
  <w:num w:numId="15">
    <w:abstractNumId w:val="1301593"/>
  </w:num>
  <w:num w:numId="16">
    <w:abstractNumId w:val="1301594"/>
  </w:num>
  <w:num w:numId="17">
    <w:abstractNumId w:val="1301595"/>
  </w:num>
  <w:num w:numId="18">
    <w:abstractNumId w:val="1301596"/>
  </w:num>
  <w:num w:numId="19">
    <w:abstractNumId w:val="1301597"/>
  </w:num>
  <w:num w:numId="20">
    <w:abstractNumId w:val="1301598"/>
  </w:num>
  <w:num w:numId="21">
    <w:abstractNumId w:val="1301599"/>
  </w:num>
  <w:num w:numId="22">
    <w:abstractNumId w:val="1301600"/>
  </w:num>
  <w:num w:numId="23">
    <w:abstractNumId w:val="1301601"/>
  </w:num>
  <w:num w:numId="24">
    <w:abstractNumId w:val="1301602"/>
  </w:num>
  <w:num w:numId="25">
    <w:abstractNumId w:val="1301603"/>
  </w:num>
  <w:num w:numId="26">
    <w:abstractNumId w:val="13016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2025-11-29T11:18:08Z</dcterms:created>
  <dc:creator>Apache POI</dc:creator>
</cp:coreProperties>
</file>