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182"/>
        <w:tblW w:w="0" w:type="auto"/>
        <w:tblLook w:val="01E0" w:firstRow="1" w:lastRow="1" w:firstColumn="1" w:lastColumn="1" w:noHBand="0" w:noVBand="0"/>
      </w:tblPr>
      <w:tblGrid>
        <w:gridCol w:w="9126"/>
      </w:tblGrid>
      <w:tr w:rsidR="00C6370F" w:rsidRPr="00363EB8" w:rsidTr="00C6370F">
        <w:trPr>
          <w:trHeight w:val="276"/>
        </w:trPr>
        <w:tc>
          <w:tcPr>
            <w:tcW w:w="9126" w:type="dxa"/>
          </w:tcPr>
          <w:p w:rsidR="00C6370F" w:rsidRPr="00363EB8" w:rsidRDefault="00C6370F" w:rsidP="00A878E8">
            <w:pPr>
              <w:spacing w:line="360" w:lineRule="exact"/>
              <w:jc w:val="both"/>
              <w:rPr>
                <w:rFonts w:ascii="標楷體" w:eastAsia="標楷體" w:hAnsi="標楷體"/>
                <w:sz w:val="32"/>
              </w:rPr>
            </w:pPr>
            <w:bookmarkStart w:id="0" w:name="範本名稱"/>
            <w:r>
              <w:rPr>
                <w:rFonts w:ascii="標楷體" w:hAnsi="標楷體" w:cs="標楷體" w:eastAsia="標楷體"/>
                <w:sz w:val="40"/>
              </w:rPr>
              <w:t>簽</w:t>
            </w:r>
            <w:bookmarkEnd w:id="0"/>
            <w:r w:rsidRPr="00363EB8">
              <w:rPr>
                <w:rFonts w:ascii="標楷體" w:eastAsia="標楷體" w:hAnsi="標楷體"/>
                <w:color w:val="000000"/>
                <w:sz w:val="40"/>
                <w:szCs w:val="40"/>
                <w:shd w:val="clear" w:color="auto" w:fill="FFFFFF"/>
              </w:rPr>
              <w:t xml:space="preserve">　</w:t>
            </w:r>
            <w:bookmarkStart w:id="1" w:name="年月日"/>
            <w:r>
              <w:rPr>
                <w:rFonts w:ascii="Times New Roman" w:hAnsi="Times New Roman" w:cs="Times New Roman" w:eastAsia="Times New Roman"/>
                <w:sz w:val="28"/>
              </w:rPr>
              <w:t>115年08月19日</w:t>
            </w:r>
            <w:bookmarkEnd w:id="1"/>
            <w:r w:rsidRPr="00363EB8">
              <w:rPr>
                <w:rFonts w:ascii="標楷體" w:eastAsia="標楷體" w:hAnsi="標楷體" w:hint="eastAsia"/>
                <w:sz w:val="28"/>
                <w:szCs w:val="28"/>
              </w:rPr>
              <w:t>於</w:t>
            </w:r>
            <w:bookmarkStart w:id="2" w:name="全銜"/>
            <w:r>
              <w:rPr>
                <w:rFonts w:ascii="標楷體" w:hAnsi="標楷體" w:cs="標楷體" w:eastAsia="標楷體"/>
                <w:sz w:val="32"/>
              </w:rPr>
              <w:t>會計審計組</w:t>
            </w:r>
            <w:bookmarkEnd w:id="2"/>
          </w:p>
        </w:tc>
      </w:tr>
    </w:tbl>
    <w:p w:rsidR="009D58B9" w:rsidRPr="00363EB8" w:rsidRDefault="009D58B9" w:rsidP="009D58B9">
      <w:pPr>
        <w:rPr>
          <w:rFonts w:ascii="標楷體" w:eastAsia="標楷體" w:hAnsi="標楷體"/>
          <w:vanish/>
        </w:rPr>
      </w:pPr>
    </w:p>
    <w:tbl>
      <w:tblPr>
        <w:tblpPr w:leftFromText="180" w:rightFromText="180" w:vertAnchor="page" w:horzAnchor="margin" w:tblpY="699"/>
        <w:tblW w:w="0" w:type="auto"/>
        <w:tblLook w:val="01E0" w:firstRow="1" w:lastRow="1" w:firstColumn="1" w:lastColumn="1" w:noHBand="0" w:noVBand="0"/>
      </w:tblPr>
      <w:tblGrid>
        <w:gridCol w:w="6588"/>
        <w:gridCol w:w="2538"/>
      </w:tblGrid>
      <w:tr w:rsidR="0092178F" w:rsidRPr="00363EB8" w:rsidTr="00877995">
        <w:tc>
          <w:tcPr>
            <w:tcW w:w="6588" w:type="dxa"/>
          </w:tcPr>
          <w:p w:rsidR="0092178F" w:rsidRPr="00363EB8" w:rsidRDefault="0092178F" w:rsidP="00877995">
            <w:pPr>
              <w:pStyle w:val="a3"/>
              <w:ind w:firstLineChars="1763" w:firstLine="3526"/>
              <w:jc w:val="both"/>
              <w:rPr>
                <w:rFonts w:ascii="標楷體" w:eastAsia="標楷體" w:hAnsi="標楷體"/>
              </w:rPr>
            </w:pPr>
          </w:p>
        </w:tc>
        <w:tc>
          <w:tcPr>
            <w:tcW w:w="2538" w:type="dxa"/>
          </w:tcPr>
          <w:p w:rsidR="0092178F" w:rsidRPr="00363EB8" w:rsidRDefault="0092178F" w:rsidP="00877995">
            <w:pPr>
              <w:pStyle w:val="a3"/>
              <w:jc w:val="both"/>
              <w:rPr>
                <w:rFonts w:ascii="標楷體" w:eastAsia="標楷體" w:hAnsi="標楷體"/>
              </w:rPr>
            </w:pPr>
            <w:r w:rsidRPr="00363EB8">
              <w:rPr>
                <w:rFonts w:ascii="標楷體" w:eastAsia="標楷體" w:hAnsi="標楷體" w:hint="eastAsia"/>
              </w:rPr>
              <w:t>檔　　號：</w:t>
            </w:r>
            <w:bookmarkStart w:id="3" w:name="分類號"/>
            <w:r>
              <w:rPr>
                <w:rFonts w:ascii="Times New Roman" w:hAnsi="Times New Roman" w:cs="Times New Roman" w:eastAsia="Times New Roman"/>
                <w:sz w:val="20"/>
              </w:rPr>
              <w:t>115/150305/00001</w:t>
            </w:r>
            <w:bookmarkEnd w:id="3"/>
          </w:p>
        </w:tc>
      </w:tr>
      <w:tr w:rsidR="0092178F" w:rsidRPr="00363EB8" w:rsidTr="00877995">
        <w:tc>
          <w:tcPr>
            <w:tcW w:w="6588" w:type="dxa"/>
          </w:tcPr>
          <w:p w:rsidR="0092178F" w:rsidRPr="00363EB8" w:rsidRDefault="0092178F" w:rsidP="00877995">
            <w:pPr>
              <w:pStyle w:val="a3"/>
              <w:jc w:val="both"/>
              <w:rPr>
                <w:rFonts w:ascii="標楷體" w:eastAsia="標楷體" w:hAnsi="標楷體"/>
              </w:rPr>
            </w:pPr>
          </w:p>
        </w:tc>
        <w:tc>
          <w:tcPr>
            <w:tcW w:w="2538" w:type="dxa"/>
          </w:tcPr>
          <w:p w:rsidR="0092178F" w:rsidRPr="00363EB8" w:rsidRDefault="0092178F" w:rsidP="00877995">
            <w:pPr>
              <w:pStyle w:val="a3"/>
              <w:jc w:val="both"/>
              <w:rPr>
                <w:rFonts w:ascii="標楷體" w:eastAsia="標楷體" w:hAnsi="標楷體"/>
              </w:rPr>
            </w:pPr>
            <w:r w:rsidRPr="00363EB8">
              <w:rPr>
                <w:rFonts w:ascii="標楷體" w:eastAsia="標楷體" w:hAnsi="標楷體" w:hint="eastAsia"/>
              </w:rPr>
              <w:t>保存年限：</w:t>
            </w:r>
            <w:bookmarkStart w:id="4" w:name="保存年限"/>
            <w:r>
              <w:rPr>
                <w:rFonts w:ascii="Times New Roman" w:hAnsi="Times New Roman" w:cs="Times New Roman" w:eastAsia="Times New Roman"/>
                <w:sz w:val="20"/>
              </w:rPr>
              <w:t>20</w:t>
            </w:r>
            <w:bookmarkEnd w:id="4"/>
          </w:p>
        </w:tc>
      </w:tr>
    </w:tbl>
    <w:p w:rsidR="0092178F" w:rsidRPr="00363EB8" w:rsidRDefault="000C7A52" w:rsidP="000020F1">
      <w:pPr>
        <w:pStyle w:val="aff"/>
        <w:spacing w:line="300" w:lineRule="exact"/>
        <w:textAlignment w:val="top"/>
        <w:rPr>
          <w:sz w:val="32"/>
          <w:szCs w:val="32"/>
        </w:rPr>
      </w:pPr>
      <w:r>
        <w:rPr>
          <w:noProof/>
        </w:rPr>
        <w:pict>
          <v:line id="_x0000_s1026" style="position:absolute;left:0;text-align:left;z-index:1;mso-position-horizontal-relative:text;mso-position-vertical-relative:text" from="-28.5pt,0" to="-28.5pt,696pt">
            <v:stroke dashstyle="1 1"/>
          </v:line>
        </w:pict>
      </w:r>
    </w:p>
    <w:tbl>
      <w:tblPr>
        <w:tblpPr w:leftFromText="180" w:rightFromText="180" w:vertAnchor="text" w:horzAnchor="margin" w:tblpY="12001"/>
        <w:tblW w:w="9288" w:type="dxa"/>
        <w:tblLook w:val="01E0" w:firstRow="1" w:lastRow="1" w:firstColumn="1" w:lastColumn="1" w:noHBand="0" w:noVBand="0"/>
      </w:tblPr>
      <w:tblGrid>
        <w:gridCol w:w="6948"/>
        <w:gridCol w:w="236"/>
        <w:gridCol w:w="1868"/>
        <w:gridCol w:w="236"/>
      </w:tblGrid>
      <w:tr w:rsidR="0092178F" w:rsidRPr="00363EB8" w:rsidTr="00445C2A">
        <w:trPr>
          <w:trHeight w:val="722"/>
        </w:trPr>
        <w:tc>
          <w:tcPr>
            <w:tcW w:w="6948" w:type="dxa"/>
          </w:tcPr>
          <w:p w:rsidR="0092178F" w:rsidRPr="00363EB8" w:rsidRDefault="0092178F" w:rsidP="00445C2A">
            <w:pPr>
              <w:pStyle w:val="aff"/>
              <w:spacing w:line="300" w:lineRule="exact"/>
              <w:textAlignment w:val="top"/>
              <w:rPr>
                <w:sz w:val="32"/>
                <w:szCs w:val="32"/>
              </w:rPr>
            </w:pPr>
          </w:p>
        </w:tc>
        <w:tc>
          <w:tcPr>
            <w:tcW w:w="2340" w:type="dxa"/>
            <w:gridSpan w:val="3"/>
          </w:tcPr>
          <w:p w:rsidR="0092178F" w:rsidRPr="00363EB8" w:rsidRDefault="0092178F" w:rsidP="00445C2A">
            <w:pPr>
              <w:pStyle w:val="aff"/>
              <w:spacing w:line="240" w:lineRule="auto"/>
              <w:jc w:val="center"/>
              <w:textAlignment w:val="top"/>
              <w:rPr>
                <w:sz w:val="24"/>
              </w:rPr>
            </w:pPr>
            <w:bookmarkStart w:id="5" w:name="機關"/>
            <w:r>
              <w:rPr>
                <w:rFonts w:ascii="標楷體" w:hAnsi="標楷體" w:cs="標楷體" w:eastAsia="標楷體"/>
                <w:sz w:val="22"/>
              </w:rPr>
              <w:t>金管會證期局　會計審計組</w:t>
            </w:r>
            <w:bookmarkEnd w:id="5"/>
          </w:p>
          <w:p w:rsidR="0092178F" w:rsidRPr="00363EB8" w:rsidRDefault="0092178F" w:rsidP="00445C2A">
            <w:pPr>
              <w:pStyle w:val="aff"/>
              <w:spacing w:line="240" w:lineRule="auto"/>
              <w:jc w:val="center"/>
              <w:textAlignment w:val="top"/>
              <w:rPr>
                <w:sz w:val="32"/>
                <w:szCs w:val="32"/>
              </w:rPr>
            </w:pPr>
            <w:r>
              <w:rPr>
                <w:rFonts w:ascii="3 of 9 Barcode" w:hAnsi="3 of 9 Barcode" w:cs="3 of 9 Barcode" w:eastAsia="3 of 9 Barcode"/>
                <w:sz w:val="28"/>
              </w:rPr>
              <w:t>1150145365</w:t>
            </w:r>
            <w:bookmarkStart w:id="6" w:name="條碼號"/>
            <w:bookmarkEnd w:id="6"/>
            <w:r w:rsidRPr="00363EB8">
              <w:rPr>
                <w:sz w:val="32"/>
                <w:szCs w:val="32"/>
              </w:rPr>
              <w:br/>
            </w:r>
            <w:bookmarkStart w:id="7" w:name="公文文號"/>
            <w:bookmarkStart w:id="8" w:name="_GoBack"/>
            <w:r>
              <w:rPr>
                <w:rFonts w:ascii="Times New Roman" w:hAnsi="Times New Roman" w:cs="Times New Roman" w:eastAsia="Times New Roman"/>
                <w:sz w:val="22"/>
              </w:rPr>
              <w:t>1150145365　115/08/17</w:t>
            </w:r>
            <w:bookmarkEnd w:id="7"/>
            <w:bookmarkEnd w:id="8"/>
          </w:p>
        </w:tc>
      </w:tr>
      <w:tr w:rsidR="003976F1" w:rsidRPr="00363EB8" w:rsidTr="00F77E2F">
        <w:trPr>
          <w:trHeight w:val="541"/>
        </w:trPr>
        <w:tc>
          <w:tcPr>
            <w:tcW w:w="6948" w:type="dxa"/>
          </w:tcPr>
          <w:p w:rsidR="003976F1" w:rsidRPr="00363EB8" w:rsidRDefault="003976F1" w:rsidP="00445C2A">
            <w:pPr>
              <w:pStyle w:val="aff"/>
              <w:spacing w:line="300" w:lineRule="exact"/>
              <w:textAlignment w:val="top"/>
              <w:rPr>
                <w:sz w:val="32"/>
                <w:szCs w:val="32"/>
              </w:rPr>
            </w:pPr>
          </w:p>
        </w:tc>
        <w:tc>
          <w:tcPr>
            <w:tcW w:w="236" w:type="dxa"/>
          </w:tcPr>
          <w:p w:rsidR="003976F1" w:rsidRPr="00363EB8" w:rsidRDefault="003976F1" w:rsidP="00445C2A">
            <w:pPr>
              <w:pStyle w:val="aff"/>
              <w:spacing w:line="240" w:lineRule="auto"/>
              <w:jc w:val="center"/>
              <w:textAlignment w:val="top"/>
              <w:rPr>
                <w:sz w:val="24"/>
              </w:rPr>
            </w:pPr>
          </w:p>
        </w:tc>
        <w:tc>
          <w:tcPr>
            <w:tcW w:w="1868" w:type="dxa"/>
          </w:tcPr>
          <w:p w:rsidR="003976F1" w:rsidRPr="00363EB8" w:rsidRDefault="003976F1" w:rsidP="003976F1">
            <w:pPr>
              <w:pStyle w:val="aff"/>
              <w:spacing w:line="240" w:lineRule="auto"/>
              <w:jc w:val="center"/>
              <w:textAlignment w:val="top"/>
              <w:rPr>
                <w:sz w:val="24"/>
              </w:rPr>
            </w:pPr>
          </w:p>
        </w:tc>
        <w:tc>
          <w:tcPr>
            <w:tcW w:w="236" w:type="dxa"/>
          </w:tcPr>
          <w:p w:rsidR="003976F1" w:rsidRPr="00363EB8" w:rsidRDefault="003976F1" w:rsidP="00445C2A">
            <w:pPr>
              <w:pStyle w:val="aff"/>
              <w:spacing w:line="240" w:lineRule="auto"/>
              <w:jc w:val="center"/>
              <w:textAlignment w:val="top"/>
              <w:rPr>
                <w:sz w:val="24"/>
              </w:rPr>
            </w:pPr>
          </w:p>
        </w:tc>
      </w:tr>
    </w:tbl>
    <w:p w:rsidR="0092178F" w:rsidRPr="00363EB8" w:rsidRDefault="000C7A52" w:rsidP="009B18C6">
      <w:pPr>
        <w:spacing w:line="14" w:lineRule="exact"/>
        <w:jc w:val="both"/>
        <w:rPr>
          <w:rFonts w:ascii="標楷體" w:eastAsia="標楷體" w:hAnsi="標楷體"/>
          <w:sz w:val="32"/>
        </w:rPr>
      </w:pPr>
      <w:r>
        <w:rPr>
          <w:rFonts w:ascii="標楷體" w:eastAsia="標楷體" w:hAnsi="標楷體"/>
          <w:noProof/>
        </w:rPr>
        <w:pict>
          <v:shapetype id="_x0000_t202" coordsize="21600,21600" o:spt="202" path="m,l,21600r21600,l21600,xe">
            <v:stroke joinstyle="miter"/>
            <v:path gradientshapeok="t" o:connecttype="rect"/>
          </v:shapetype>
          <v:shape id="_x0000_s1027" type="#_x0000_t202" style="position:absolute;left:0;text-align:left;margin-left:-33.65pt;margin-top:556.35pt;width:15.65pt;height:18.55pt;z-index:4;mso-position-horizontal-relative:text;mso-position-vertical-relative:page" o:allowincell="f" filled="f" stroked="f">
            <v:stroke dashstyle="1 1"/>
            <v:textbox style="mso-next-textbox:#_x0000_s1027" inset="0,0,0,0">
              <w:txbxContent>
                <w:p w:rsidR="0092178F" w:rsidRPr="00877995" w:rsidRDefault="0092178F" w:rsidP="00FD2F01">
                  <w:pPr>
                    <w:kinsoku w:val="0"/>
                    <w:wordWrap w:val="0"/>
                    <w:overflowPunct w:val="0"/>
                    <w:snapToGrid w:val="0"/>
                    <w:rPr>
                      <w:rFonts w:ascii="標楷體" w:eastAsia="標楷體" w:hAnsi="標楷體"/>
                    </w:rPr>
                  </w:pPr>
                  <w:r w:rsidRPr="00877995">
                    <w:rPr>
                      <w:rFonts w:ascii="標楷體" w:eastAsia="標楷體" w:hAnsi="標楷體" w:hint="eastAsia"/>
                    </w:rPr>
                    <w:t>線</w:t>
                  </w:r>
                </w:p>
              </w:txbxContent>
            </v:textbox>
            <w10:wrap anchory="page"/>
          </v:shape>
        </w:pict>
      </w:r>
      <w:r>
        <w:rPr>
          <w:rFonts w:ascii="標楷體" w:eastAsia="標楷體" w:hAnsi="標楷體"/>
          <w:noProof/>
        </w:rPr>
        <w:pict>
          <v:shape id="_x0000_s1028" type="#_x0000_t202" style="position:absolute;left:0;text-align:left;margin-left:-33.65pt;margin-top:415.6pt;width:15.65pt;height:15.3pt;z-index:3;mso-position-horizontal-relative:text;mso-position-vertical-relative:page" o:allowincell="f" filled="f" stroked="f">
            <v:stroke dashstyle="1 1"/>
            <v:textbox style="mso-next-textbox:#_x0000_s1028" inset="0,0,0,0">
              <w:txbxContent>
                <w:p w:rsidR="0092178F" w:rsidRPr="00877995" w:rsidRDefault="0092178F" w:rsidP="00FD2F01">
                  <w:pPr>
                    <w:kinsoku w:val="0"/>
                    <w:wordWrap w:val="0"/>
                    <w:overflowPunct w:val="0"/>
                    <w:snapToGrid w:val="0"/>
                    <w:rPr>
                      <w:rFonts w:ascii="標楷體" w:eastAsia="標楷體" w:hAnsi="標楷體"/>
                    </w:rPr>
                  </w:pPr>
                  <w:r w:rsidRPr="00877995">
                    <w:rPr>
                      <w:rFonts w:ascii="標楷體" w:eastAsia="標楷體" w:hAnsi="標楷體" w:hint="eastAsia"/>
                    </w:rPr>
                    <w:t>訂</w:t>
                  </w:r>
                </w:p>
              </w:txbxContent>
            </v:textbox>
            <w10:wrap anchory="page"/>
          </v:shape>
        </w:pict>
      </w:r>
      <w:r>
        <w:rPr>
          <w:rFonts w:ascii="標楷體" w:eastAsia="標楷體" w:hAnsi="標楷體"/>
          <w:noProof/>
        </w:rPr>
        <w:pict>
          <v:shape id="_x0000_s1029" type="#_x0000_t202" style="position:absolute;left:0;text-align:left;margin-left:-33.65pt;margin-top:276.15pt;width:15.65pt;height:19.75pt;z-index:2;mso-position-horizontal-relative:text;mso-position-vertical-relative:page" o:allowincell="f" filled="f" stroked="f">
            <v:stroke dashstyle="1 1"/>
            <v:textbox style="mso-next-textbox:#_x0000_s1029" inset="0,0,0,0">
              <w:txbxContent>
                <w:p w:rsidR="0092178F" w:rsidRPr="00877995" w:rsidRDefault="0092178F" w:rsidP="00FD2F01">
                  <w:pPr>
                    <w:kinsoku w:val="0"/>
                    <w:wordWrap w:val="0"/>
                    <w:overflowPunct w:val="0"/>
                    <w:snapToGrid w:val="0"/>
                    <w:rPr>
                      <w:rFonts w:ascii="標楷體" w:eastAsia="標楷體" w:hAnsi="標楷體"/>
                    </w:rPr>
                  </w:pPr>
                  <w:r w:rsidRPr="00877995">
                    <w:rPr>
                      <w:rFonts w:ascii="標楷體" w:eastAsia="標楷體" w:hAnsi="標楷體" w:hint="eastAsia"/>
                    </w:rPr>
                    <w:t>裝</w:t>
                  </w:r>
                </w:p>
              </w:txbxContent>
            </v:textbox>
            <w10:wrap anchory="page"/>
          </v:shape>
        </w:pict>
      </w:r>
    </w:p>
    <w:p>
      <w:pPr>
        <w:spacing w:before="8" w:lineRule="exact"/>
        <w:ind w:firstLine="0" w:left="4720"/>
        <w:jc w:val="both"/>
      </w:pPr>
      <w:r/>
      <w:r>
        <w:rPr>
          <w:rFonts w:ascii="標楷體" w:hAnsi="標楷體" w:cs="標楷體" w:eastAsia="標楷體"/>
          <w:color w:val="000000"/>
          <w:sz w:val="28"/>
        </w:rPr>
        <w:t>　　　　</w:t>
      </w:r>
    </w:p>
    <w:p>
      <w:pPr>
        <w:spacing w:before="8" w:lineRule="exact"/>
        <w:ind w:firstLine="-960" w:left="960"/>
        <w:jc w:val="both"/>
      </w:pPr>
      <w:r>
        <w:t xml:space="preserve">主旨：最高行政法院檢送施景彬及江明南不服本會行政處分提起行政訴訟案上訴審判決一案，謹簽請鑒核。</w:t>
      </w:r>
    </w:p>
    <w:p>
      <w:pPr>
        <w:spacing w:before="8" w:lineRule="exact"/>
        <w:ind w:firstLine="-960" w:left="960"/>
        <w:jc w:val="both"/>
      </w:pPr>
      <w:r>
        <w:t xml:space="preserve">說明：</w:t>
      </w:r>
    </w:p>
    <w:p>
      <w:pPr>
        <w:spacing w:before="0" w:lineRule="exact"/>
        <w:ind w:firstLine="-640" w:left="960"/>
        <w:jc w:val="both"/>
      </w:pPr>
      <w:r>
        <w:rPr>
          <w:rFonts w:ascii="標楷體" w:hAnsi="標楷體" w:cs="標楷體" w:eastAsia="標楷體"/>
          <w:color w:val="000000"/>
          <w:sz w:val="32"/>
        </w:rPr>
        <w:t xml:space="preserve">一、依據最高行政法院115年8月7日114年度上字第300號判決辦理。</w:t>
      </w:r>
    </w:p>
    <w:p>
      <w:pPr>
        <w:spacing w:before="0" w:lineRule="exact"/>
        <w:ind w:firstLine="-640" w:left="960"/>
        <w:jc w:val="both"/>
      </w:pPr>
      <w:r>
        <w:rPr>
          <w:rFonts w:ascii="標楷體" w:hAnsi="標楷體" w:cs="標楷體" w:eastAsia="標楷體"/>
          <w:color w:val="000000"/>
          <w:sz w:val="32"/>
        </w:rPr>
        <w:t xml:space="preserve">二、背景說明：案緣施景彬及江明南會計師(下稱上訴人)受託查核簽證康友製藥控股有限公司(下稱康友公司)及子公司107年度及108年度合併財務報告，有未有效執行銀行函證、未就所發現康友公司大陸地區子公司六安華源製藥有限公司(下稱六安公司)多項機器設備經抵押登記執行必要查核程序，及未就期後事項採取適當行動等重大疏漏，違反行為時會計師查核簽證財務報表規則(下稱查簽規則)第6條、第20條第1項第9款第3目及審計準則公報第55號第16條等規定，本會爰依證券交易法(下稱證交法)第37條第3項第2款規定，以109年9月29日金管證審字第1090364602號(施景彬)、第10903646021號(江明南)裁處書，處上訴人停止2年辦理證交法所定簽證業務(期間均自109年10月1日至111年9月30日止，下稱原處分)。上訴人不服，循訴願程序遭駁回後提起行政訴訟，經臺北高等行政法院111年度訴字第598號判決(下稱原判決)駁回其訴(前經本組於114年2月5日簽陳核閱在案)，上訴人仍不服，乃提起本件上訴。</w:t>
      </w:r>
    </w:p>
    <w:p>
      <w:pPr>
        <w:spacing w:before="0" w:lineRule="exact"/>
        <w:ind w:firstLine="-640" w:left="960"/>
        <w:jc w:val="both"/>
      </w:pPr>
      <w:r>
        <w:rPr>
          <w:rFonts w:ascii="標楷體" w:hAnsi="標楷體" w:cs="標楷體" w:eastAsia="標楷體"/>
          <w:color w:val="000000"/>
          <w:sz w:val="32"/>
        </w:rPr>
        <w:t xml:space="preserve">三、最高行政法院基於下列理由，駁回上訴人之上訴：</w:t>
      </w:r>
    </w:p>
    <w:p>
      <w:pPr>
        <w:spacing w:before="0" w:lineRule="exact"/>
        <w:ind w:firstLine="-640" w:left="1280"/>
        <w:jc w:val="both"/>
      </w:pPr>
      <w:r>
        <w:rPr>
          <w:rFonts w:ascii="標楷體" w:hAnsi="標楷體" w:cs="標楷體" w:eastAsia="標楷體"/>
          <w:color w:val="000000"/>
          <w:sz w:val="32"/>
        </w:rPr>
        <w:t xml:space="preserve">(一)證交法第37條第3項所定辦理簽證「發生錯誤或疏漏」，係指會計師辦理財務報告之查核簽證時未依法令規定或查簽規則辦理而言，並不以公司之財務報告有虛偽不實為裁處要件；另查簽規則第2條第1項將審計準則納入會計師辦理查核簽證所應遵循之義務範圍，目的在要求會計師依審計準則公報之最低標準執行查核簽證業務，並具體化會計師專業上之注意義務，故會計師未依審計準則公報辦理，即屬未盡專業之注意義務。</w:t>
      </w:r>
    </w:p>
    <w:p>
      <w:pPr>
        <w:spacing w:before="0" w:lineRule="exact"/>
        <w:ind w:firstLine="-640" w:left="1280"/>
        <w:jc w:val="both"/>
      </w:pPr>
      <w:r>
        <w:rPr>
          <w:rFonts w:ascii="標楷體" w:hAnsi="標楷體" w:cs="標楷體" w:eastAsia="標楷體"/>
          <w:color w:val="000000"/>
          <w:sz w:val="32"/>
        </w:rPr>
        <w:t xml:space="preserve">(二)關於上訴人未有效執行銀行函證部分：</w:t>
      </w:r>
    </w:p>
    <w:p>
      <w:pPr>
        <w:spacing w:before="0" w:lineRule="exact"/>
        <w:ind w:firstLine="-640" w:left="1600"/>
        <w:jc w:val="both"/>
      </w:pPr>
      <w:r>
        <w:rPr>
          <w:rFonts w:ascii="標楷體" w:hAnsi="標楷體" w:cs="標楷體" w:eastAsia="標楷體"/>
          <w:color w:val="000000"/>
          <w:sz w:val="32"/>
        </w:rPr>
        <w:t xml:space="preserve">１、六安公司107年底、108年底於大陸地區徽商銀行六安錦繡花園支行(下稱徽商銀行)之存款各為人民幣10.46億元、12.6億元(換算約各為新臺幣48億元、54億元)，約各占康友公司合併總資產47%、52%，且上訴人執行查核工作時，均將「現金及銀行存款之存在性」列為「關鍵查核事項」，即表示經上訴人專業判斷後，評估該領域存有較高之重大不實表達風險，自應採取能夠取得更具說服力查核證據之方式為之，以提高查核證據之可靠性；上訴人既採外部函證方式，即應以可靠性較高之空白式函證為之，方與該項資訊之重要性相當，而非只要執行查簽規則所認可之非空白式函證即可。</w:t>
      </w:r>
    </w:p>
    <w:p>
      <w:pPr>
        <w:spacing w:before="0" w:lineRule="exact"/>
        <w:ind w:firstLine="-640" w:left="1600"/>
        <w:jc w:val="both"/>
      </w:pPr>
      <w:r>
        <w:rPr>
          <w:rFonts w:ascii="標楷體" w:hAnsi="標楷體" w:cs="標楷體" w:eastAsia="標楷體"/>
          <w:color w:val="000000"/>
          <w:sz w:val="32"/>
        </w:rPr>
        <w:t xml:space="preserve">２、本件詢證函之幣種、餘額、起止日期等欄位均已填寫完竣(即非空白函證)，徽商銀行僅在銀行確認欄蓋業務公章，經辦人、複核人欄均為空白，無從核實相關資訊係由適當職務之人員所提供；其中108年度財報詢證函係由「徽商銀行陳小龍」收件，回覆之詢證函寄件人則為「徽商銀行陳磊」，其原因為何，上訴人本應秉持專業懷疑之態度進一步核實，以降低查核風險。綜合上情，尚難認上訴人係基於足夠與適切之證據撰擬(出具)查核報告而與查簽規則第6條規定相合。上訴意旨猶執陳詞，並持非屬原處分裁處範圍之過往其他年度或就其他銀行所執行之函證模式為爭執，均無可採。</w:t>
      </w:r>
    </w:p>
    <w:p>
      <w:pPr>
        <w:spacing w:before="0" w:lineRule="exact"/>
        <w:ind w:firstLine="-640" w:left="1280"/>
        <w:jc w:val="both"/>
      </w:pPr>
      <w:r>
        <w:rPr>
          <w:rFonts w:ascii="標楷體" w:hAnsi="標楷體" w:cs="標楷體" w:eastAsia="標楷體"/>
          <w:color w:val="000000"/>
          <w:sz w:val="32"/>
        </w:rPr>
        <w:t xml:space="preserve">(三)關於上訴人未就所發現六安公司多項機器設備經抵押登記之情執行必要查核程序部分：</w:t>
      </w:r>
    </w:p>
    <w:p>
      <w:pPr>
        <w:spacing w:before="0" w:lineRule="exact"/>
        <w:ind w:firstLine="-640" w:left="1600"/>
        <w:jc w:val="both"/>
      </w:pPr>
      <w:r>
        <w:rPr>
          <w:rFonts w:ascii="標楷體" w:hAnsi="標楷體" w:cs="標楷體" w:eastAsia="標楷體"/>
          <w:color w:val="000000"/>
          <w:sz w:val="32"/>
        </w:rPr>
        <w:t xml:space="preserve">１、事務所查核人員(組長楊書喻)於108年11月5日執行康友公司108年第3季合併財務報告核閱工作期間，查詢大陸地區「國家企業信用信息公示系統」(下稱系爭公示系統)發現六安公司有設定動產抵押登記，擔保債權數額為人民幣2億3,722萬元(換算約為新臺幣10.04億元，占康友公司108年第3季淨值12.9%、機器設備淨額76.41%)，登記機關為安徽省六安市市場監督管理局六安經濟技術開發區(下稱六安開發區)分局，應屬攸關康友公司財務之重大事項，上訴人自應予以查明，並於撰擬(出具)康友公司108年度財報之查核報告予以揭露。</w:t>
      </w:r>
    </w:p>
    <w:p>
      <w:pPr>
        <w:spacing w:before="0" w:lineRule="exact"/>
        <w:ind w:firstLine="-640" w:left="1600"/>
        <w:jc w:val="both"/>
      </w:pPr>
      <w:r>
        <w:rPr>
          <w:rFonts w:ascii="標楷體" w:hAnsi="標楷體" w:cs="標楷體" w:eastAsia="標楷體"/>
          <w:color w:val="000000"/>
          <w:sz w:val="32"/>
        </w:rPr>
        <w:t xml:space="preserve">２、上訴人雖取得康友公司內部稽核主管王浩所提供之六安開發區管理委員會(下稱六安開發區管委會)108年11月13日文件、109年3月16日文件及贛州銀行股份有限公司廈門分行109年3月17日聲明書，然該等文件均係由受查者即康友公司人員所提供，而非上訴人直接自外部獨立來源取得，查核證據之可靠性較低；尤以108年11月13日文件既已表明同意撤銷，竟延宕至109年3月16日仍未辦理完竣，且動產抵押登記機關為六安開發區分局，與前開文件所載之受理轉報機關「安徽省市場監督管理局」並非相同，系爭公示系統所揭露之資訊復與受查者所提供文件(尤其是贛州銀行109年3月17日聲明書)之內容存有落差，上訴人自應依審計準則公報第53號第10條、第41條執行必要查核程序(諸如直接向外部獨立來源即贛州銀行或六安開發區管委會、安徽省市場監督管理局進行查證等)，卻仍對康友公司所編製未予揭露該動產抵押及擔保債務金額訊息之108年度財報出具無保留意見之查核報告。原處分認定上訴人未就所發現六安公司「設定動產抵押」執行必要查核程序，違反查簽規則第20條第1項第9款第3目規定，並非無據；上訴意旨主張系爭公示系統所示資訊僅供參考、其業已完成必要之查核程序等語，均無足取。</w:t>
      </w:r>
    </w:p>
    <w:p>
      <w:pPr>
        <w:spacing w:before="0" w:lineRule="exact"/>
        <w:ind w:firstLine="-640" w:left="1280"/>
        <w:jc w:val="both"/>
      </w:pPr>
      <w:r>
        <w:rPr>
          <w:rFonts w:ascii="標楷體" w:hAnsi="標楷體" w:cs="標楷體" w:eastAsia="標楷體"/>
          <w:color w:val="000000"/>
          <w:sz w:val="32"/>
        </w:rPr>
        <w:t xml:space="preserve">(四)關於上訴人未就期後事項採取適當行動部分：</w:t>
      </w:r>
    </w:p>
    <w:p>
      <w:pPr>
        <w:spacing w:before="0" w:lineRule="exact"/>
        <w:ind w:firstLine="-640" w:left="1600"/>
        <w:jc w:val="both"/>
      </w:pPr>
      <w:r>
        <w:rPr>
          <w:rFonts w:ascii="標楷體" w:hAnsi="標楷體" w:cs="標楷體" w:eastAsia="標楷體"/>
          <w:color w:val="000000"/>
          <w:sz w:val="32"/>
        </w:rPr>
        <w:t xml:space="preserve">１、上訴人就康友公司108年度財報出具查核報告日(109年3月30日)後，事務所查核人員於執行康友公司109年第2季財務報告核閱工作期間，109年7月間接獲不明者來電指稱康友公司董事長黃文烈有欠薪或債務問題，旋即主動電洽查證：於109年7月29日致電贛州銀行，獲對方行員回覆康友公司確有動產抵押情事；於109年7月31日致電徽商銀行，對方行員「施曉星」表示六安公司在該行沒有定期存款，末3碼776號帳戶109年6月30日之餘額實際僅有人民幣2萬4,031.78元(並非函證上手寫填載之人民幣5億8,672萬1,151.20元)，並回傳其上註記「(活期)實際金額：￥24031.78」、「定期存款無」之函證翻拍照片；另徽商銀行總機並表示該行並無員工「陳磊」。</w:t>
      </w:r>
    </w:p>
    <w:p>
      <w:pPr>
        <w:spacing w:before="0" w:lineRule="exact"/>
        <w:ind w:firstLine="-640" w:left="1600"/>
        <w:jc w:val="both"/>
      </w:pPr>
      <w:r>
        <w:rPr>
          <w:rFonts w:ascii="標楷體" w:hAnsi="標楷體" w:cs="標楷體" w:eastAsia="標楷體"/>
          <w:color w:val="000000"/>
          <w:sz w:val="32"/>
        </w:rPr>
        <w:t xml:space="preserve">２、上開電話洽詢係查核人員主動、直接向銀行查證，銀行行員復係依事務所寄送之函證答覆相關存款金額之詢問並回傳註記照片，核屬依查詢方式所取自受查者外部獨立來源之查核證據，自具有高度之可靠性；所獲存款餘額與經上訴人查核簽證之康友公司108年底存款餘額落差甚鉅，顯示康友公司108年度財報已存有重大不實表達之高度可能性，而該事實若係於查核報告日即知悉，可能導致會計師修改查核報告，上訴人自應本於專業上之注意義務，啟動審計準則公報第55號「期後事項」之程序。詎上訴人僅多次就設定動產抵押一事(未涉存款之真實性)詢問黃文烈等人(均遭否認)，且其於109年8月6日與康友公司終止委任關係，亦不足以確保所有接獲原發布康友公司108年度財報及查核報告者被及時告知上開財務報告須修改之事實，與同號公報第16條規定自有未合。原判決因認原處分以上訴人未就期後事項採取適當行動，已違反審計準則公報第55號第16條規定，於法有據，其判決結論並無違誤。</w:t>
      </w:r>
    </w:p>
    <w:p>
      <w:pPr>
        <w:spacing w:before="0" w:lineRule="exact"/>
        <w:ind w:firstLine="-640" w:left="1600"/>
        <w:jc w:val="both"/>
      </w:pPr>
      <w:r>
        <w:rPr>
          <w:rFonts w:ascii="標楷體" w:hAnsi="標楷體" w:cs="標楷體" w:eastAsia="標楷體"/>
          <w:color w:val="000000"/>
          <w:sz w:val="32"/>
        </w:rPr>
        <w:t xml:space="preserve">３、至原判決關於上訴人於109年7月31日確知六安公司有「設定動產抵押」且金額甚鉅，牽涉應修改康友公司108年度財報，應立即採取「適當行動」等相關論述，因非原處分認定上訴人「未就期後事項採行適當行動」之事實認定範圍，核屬贅論，惟尚不影響判決結論。另上訴人因涉犯證交法第174條第2項第2款之會計師對於不實財務報告未予敘明罪嫌，經臺灣高等法院113年度金上重訴字第32號刑事判決判處罪刑後，固為最高法院114年度台上字第5993號刑事判決撤銷發回，惟該案之犯罪嫌疑事實範圍及適用之法條，均與本件有所差異，尚不影響最高行政法院之認定。</w:t>
      </w:r>
    </w:p>
    <w:p>
      <w:pPr>
        <w:spacing w:before="0" w:lineRule="exact"/>
        <w:ind w:firstLine="-640" w:left="1280"/>
        <w:jc w:val="both"/>
      </w:pPr>
      <w:r>
        <w:rPr>
          <w:rFonts w:ascii="標楷體" w:hAnsi="標楷體" w:cs="標楷體" w:eastAsia="標楷體"/>
          <w:color w:val="000000"/>
          <w:sz w:val="32"/>
        </w:rPr>
        <w:t xml:space="preserve">(五)關於上訴人先位聲明部分：原處分所命上訴人停止2年辦理證交法所定簽證業務之期間(至111年9月30日止)業已屆滿，原處分自已執行完畢；且原處分之規制內容並不包括公告上訴人姓名或處分內容，證交法亦無主管機關依該法第37條第3項第2款規定裁處後應予公告受處分人或處分內容之明文，自無從因本會循例於網路上公告，即認原處分之規制效力仍然存在。是本件並無提起撤銷訴訟之實益，上訴人之先位聲明顯無權利保護之必要；原審未以此理由，而以實體理由駁回上訴人之訴，其理由雖與最高行政法院不同，惟結論並無二致，仍應予以維持。至原處分既無違法，則原審據此駁回上訴人之備位聲明(確認原處分違法)，於法自無不合。</w:t>
      </w:r>
    </w:p>
    <w:p>
      <w:pPr>
        <w:spacing w:before="0" w:lineRule="exact"/>
        <w:ind w:firstLine="-640" w:left="960"/>
        <w:jc w:val="both"/>
      </w:pPr>
      <w:r>
        <w:rPr>
          <w:rFonts w:ascii="標楷體" w:hAnsi="標楷體" w:cs="標楷體" w:eastAsia="標楷體"/>
          <w:color w:val="000000"/>
          <w:sz w:val="32"/>
        </w:rPr>
        <w:t xml:space="preserve">四、分析意見：</w:t>
      </w:r>
    </w:p>
    <w:p>
      <w:pPr>
        <w:spacing w:before="0" w:lineRule="exact"/>
        <w:ind w:firstLine="-640" w:left="1280"/>
        <w:jc w:val="both"/>
      </w:pPr>
      <w:r>
        <w:rPr>
          <w:rFonts w:ascii="標楷體" w:hAnsi="標楷體" w:cs="標楷體" w:eastAsia="標楷體"/>
          <w:color w:val="000000"/>
          <w:sz w:val="32"/>
        </w:rPr>
        <w:t xml:space="preserve">(一)本案上訴經最高行政法院判決駁回，本會原處分及原判決就上訴人未有效執行銀行函證、未就所發現六安公司設定動產抵押執行必要查核程序及未就期後事項採取適當行動等三項缺失之認定均獲維持，本會裁處尚無違誤。</w:t>
      </w:r>
    </w:p>
    <w:p>
      <w:pPr>
        <w:spacing w:before="0" w:lineRule="exact"/>
        <w:ind w:firstLine="-640" w:left="1280"/>
        <w:jc w:val="both"/>
      </w:pPr>
      <w:r>
        <w:rPr>
          <w:rFonts w:ascii="標楷體" w:hAnsi="標楷體" w:cs="標楷體" w:eastAsia="標楷體"/>
          <w:color w:val="000000"/>
          <w:sz w:val="32"/>
        </w:rPr>
        <w:t xml:space="preserve">(二)判決另指明原處分之規制內容並不包括公告受處分人姓名或處分內容，證交法就主管機關依該法第37條第3項第2款規定裁處後應否公告亦無明文，本會循例於網路上公告尚非原處分規制效力之範圍，嗣後辦理同類案件時，宜留意行政處分與公告之區辨。</w:t>
      </w:r>
    </w:p>
    <w:p>
      <w:pPr>
        <w:spacing w:before="8" w:lineRule="exact"/>
        <w:ind w:firstLine="-960" w:left="960"/>
        <w:jc w:val="both"/>
      </w:pPr>
      <w:r>
        <w:t xml:space="preserve">擬辦：本案上訴業經最高行政法院判決駁回而告確定，尚無應行辦理事項，文擬陳閱後存查。當否?謹請</w:t>
      </w:r>
    </w:p>
    <w:p>
      <w:pPr>
        <w:spacing w:before="23" w:lineRule="exact"/>
        <w:ind w:firstLine="-320" w:left="0"/>
        <w:jc w:val="both"/>
      </w:pPr>
      <w:r/>
      <w:r>
        <w:rPr>
          <w:rFonts w:ascii="標楷體" w:hAnsi="標楷體" w:cs="標楷體" w:eastAsia="標楷體"/>
          <w:color w:val="000000"/>
          <w:sz w:val="32"/>
        </w:rPr>
        <w:t>　</w:t>
      </w:r>
      <w:r>
        <w:rPr>
          <w:rFonts w:ascii="標楷體" w:hAnsi="標楷體" w:cs="標楷體" w:eastAsia="標楷體"/>
          <w:color w:val="000000"/>
          <w:sz w:val="32"/>
        </w:rPr>
        <w:t>　　敬陳</w:t>
      </w:r>
    </w:p>
    <w:p>
      <w:pPr>
        <w:spacing w:before="0" w:lineRule="exact"/>
        <w:ind w:firstLine="-320" w:left="0"/>
        <w:jc w:val="both"/>
      </w:pPr>
      <w:r>
        <w:rPr>
          <w:rFonts w:ascii="標楷體" w:hAnsi="標楷體" w:cs="標楷體" w:eastAsia="標楷體"/>
          <w:color w:val="000000"/>
          <w:sz w:val="32"/>
        </w:rPr>
        <w:t>　</w:t>
      </w:r>
      <w:r>
        <w:rPr>
          <w:rFonts w:ascii="標楷體" w:hAnsi="標楷體" w:cs="標楷體" w:eastAsia="標楷體"/>
          <w:color w:val="000000"/>
          <w:sz w:val="32"/>
        </w:rPr>
        <w:t>核示</w:t>
      </w:r>
    </w:p>
    <w:p>
      <w:pPr>
        <w:spacing w:before="5" w:lineRule="exact"/>
        <w:ind w:firstLine="-320" w:left="320"/>
        <w:jc w:val="both"/>
      </w:pPr>
      <w:r/>
      <w:r>
        <w:rPr>
          <w:rFonts w:ascii="標楷體" w:hAnsi="標楷體" w:cs="標楷體" w:eastAsia="標楷體"/>
          <w:color w:val="000000"/>
          <w:sz w:val="32"/>
        </w:rPr>
        <w:t>＊</w:t>
      </w:r>
      <w:r>
        <w:rPr>
          <w:rFonts w:ascii="標楷體" w:hAnsi="標楷體" w:cs="標楷體" w:eastAsia="標楷體"/>
          <w:color w:val="000000"/>
          <w:sz w:val="32"/>
        </w:rPr>
        <w:t>本案主辦及會稿單位之各級人員，如有本會暨所屬機關處理案件自行迴避作業要點之情事者，應自行迴避。</w:t>
      </w:r>
    </w:p>
    <w:p>
      <w:pPr>
        <w:spacing w:before="10" w:lineRule="exact"/>
        <w:ind w:firstLine="-1200" w:left="1200"/>
        <w:jc w:val="both"/>
      </w:pPr>
      <w:r/>
      <w:r>
        <w:rPr>
          <w:rFonts w:ascii="標楷體" w:hAnsi="標楷體" w:cs="標楷體" w:eastAsia="標楷體"/>
          <w:color w:val="000000"/>
          <w:sz w:val="24"/>
        </w:rPr>
        <w:t>會辦單位：</w:t>
      </w:r>
      <w:r>
        <w:rPr>
          <w:rFonts w:ascii="標楷體" w:hAnsi="標楷體" w:cs="標楷體" w:eastAsia="標楷體"/>
          <w:color w:val="000000"/>
          <w:sz w:val="24"/>
        </w:rPr>
        <w:t>(局外)</w:t>
      </w:r>
    </w:p>
    <w:p>
      <w:pPr>
        <w:spacing w:before="5" w:lineRule="exact"/>
        <w:ind w:firstLine="0" w:left="0"/>
        <w:jc w:val="both"/>
      </w:pPr>
      <w:r/>
      <w:r>
        <w:rPr>
          <w:rFonts w:ascii="標楷體" w:hAnsi="標楷體" w:cs="標楷體" w:eastAsia="標楷體"/>
          <w:color w:val="000000"/>
          <w:sz w:val="24"/>
        </w:rPr>
        <w:t>依照分層負責得由第二層組長決行No.0044</w:t>
      </w:r>
    </w:p>
    <w:p>
      <w:pPr>
        <w:spacing w:before="10" w:lineRule="exact"/>
        <w:ind w:firstLine="-1200" w:left="1200"/>
        <w:jc w:val="both"/>
      </w:pPr>
      <w:r/>
      <w:r>
        <w:rPr>
          <w:rFonts w:ascii="標楷體" w:hAnsi="標楷體" w:cs="標楷體" w:eastAsia="標楷體"/>
          <w:color w:val="000000"/>
          <w:sz w:val="24"/>
        </w:rPr>
        <w:t>會辦單位：</w:t>
      </w:r>
      <w:r>
        <w:rPr>
          <w:rFonts w:ascii="標楷體" w:hAnsi="標楷體" w:cs="標楷體" w:eastAsia="標楷體"/>
          <w:color w:val="000000"/>
          <w:sz w:val="24"/>
        </w:rPr>
        <w:t>(局內)</w:t>
      </w:r>
    </w:p>
    <w:p>
      <w:pPr>
        <w:spacing w:before="0" w:lineRule="exact"/>
        <w:ind w:firstLine="0" w:left="0"/>
        <w:jc w:val="both"/>
      </w:pPr>
      <w:r/>
      <w:r>
        <w:rPr>
          <w:rFonts w:ascii="標楷體" w:hAnsi="標楷體" w:cs="標楷體" w:eastAsia="標楷體"/>
          <w:color w:val="000000"/>
          <w:sz w:val="32"/>
        </w:rPr>
        <w:t>　　　　</w:t>
      </w:r>
    </w:p>
    <w:p>
      <w:pPr>
        <w:spacing w:before="400"/>
      </w:pPr>
      <w:r/>
      <w:r>
        <w:rPr>
          <w:rFonts w:ascii="標楷體" w:hAnsi="標楷體" w:cs="標楷體" w:eastAsia="標楷體"/>
          <w:sz w:val="32"/>
        </w:rPr>
        <w:t/>
      </w:r>
    </w:p>
    <w:p>
      <w:r/>
      <w:r>
        <w:rPr>
          <w:rFonts w:ascii="標楷體" w:hAnsi="標楷體" w:cs="標楷體" w:eastAsia="標楷體"/>
          <w:sz w:val="24"/>
        </w:rPr>
        <w:t/>
      </w:r>
    </w:p>
    <w:sectPr w:rsidR="0092178F" w:rsidRPr="00363EB8" w:rsidSect="00F42205">
      <w:headerReference w:type="default" r:id="rId9"/>
      <w:footerReference w:type="default" r:id="rId10"/>
      <w:pgSz w:w="11906" w:h="16838" w:code="9"/>
      <w:pgMar w:top="1418" w:right="1418" w:bottom="1418" w:left="1418" w:header="567" w:footer="680"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7A52" w:rsidRDefault="000C7A52">
      <w:r>
        <w:separator/>
      </w:r>
    </w:p>
  </w:endnote>
  <w:endnote w:type="continuationSeparator" w:id="0">
    <w:p w:rsidR="000C7A52" w:rsidRDefault="000C7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78F" w:rsidRDefault="0092178F">
    <w:pPr>
      <w:pStyle w:val="a5"/>
      <w:spacing w:line="200" w:lineRule="exact"/>
      <w:jc w:val="center"/>
      <w:rPr>
        <w:rFonts w:ascii="標楷體" w:eastAsia="標楷體" w:hAnsi="標楷體"/>
      </w:rPr>
    </w:pPr>
    <w:r>
      <w:rPr>
        <w:rStyle w:val="a7"/>
        <w:rFonts w:ascii="標楷體" w:eastAsia="標楷體" w:hAnsi="標楷體" w:hint="eastAsia"/>
      </w:rPr>
      <w:t>第</w:t>
    </w:r>
    <w:r>
      <w:rPr>
        <w:rStyle w:val="a7"/>
      </w:rPr>
      <w:fldChar w:fldCharType="begin"/>
    </w:r>
    <w:r>
      <w:rPr>
        <w:rStyle w:val="a7"/>
      </w:rPr>
      <w:instrText xml:space="preserve"> PAGE </w:instrText>
    </w:r>
    <w:r>
      <w:rPr>
        <w:rStyle w:val="a7"/>
      </w:rPr>
      <w:fldChar w:fldCharType="separate"/>
    </w:r>
    <w:r w:rsidR="005E1A9F">
      <w:rPr>
        <w:rStyle w:val="a7"/>
        <w:noProof/>
      </w:rPr>
      <w:t>1</w:t>
    </w:r>
    <w:r>
      <w:rPr>
        <w:rStyle w:val="a7"/>
      </w:rPr>
      <w:fldChar w:fldCharType="end"/>
    </w:r>
    <w:r>
      <w:rPr>
        <w:rStyle w:val="a7"/>
        <w:rFonts w:ascii="標楷體" w:eastAsia="標楷體" w:hAnsi="標楷體" w:hint="eastAsia"/>
      </w:rPr>
      <w:t xml:space="preserve">頁　</w:t>
    </w:r>
    <w:r>
      <w:rPr>
        <w:rStyle w:val="a7"/>
        <w:rFonts w:ascii="標楷體" w:eastAsia="標楷體" w:hAnsi="標楷體"/>
      </w:rPr>
      <w:t>(</w:t>
    </w:r>
    <w:r>
      <w:rPr>
        <w:rStyle w:val="a7"/>
        <w:rFonts w:ascii="標楷體" w:eastAsia="標楷體" w:hAnsi="標楷體" w:hint="eastAsia"/>
      </w:rPr>
      <w:t>共</w:t>
    </w:r>
    <w:r>
      <w:rPr>
        <w:rStyle w:val="a7"/>
      </w:rPr>
      <w:fldChar w:fldCharType="begin"/>
    </w:r>
    <w:r>
      <w:rPr>
        <w:rStyle w:val="a7"/>
      </w:rPr>
      <w:instrText xml:space="preserve"> SECTIONPAGES  </w:instrText>
    </w:r>
    <w:r>
      <w:rPr>
        <w:rStyle w:val="a7"/>
      </w:rPr>
      <w:fldChar w:fldCharType="separate"/>
    </w:r>
    <w:r w:rsidR="005E1A9F">
      <w:rPr>
        <w:rStyle w:val="a7"/>
        <w:noProof/>
      </w:rPr>
      <w:t>1</w:t>
    </w:r>
    <w:r>
      <w:rPr>
        <w:rStyle w:val="a7"/>
      </w:rPr>
      <w:fldChar w:fldCharType="end"/>
    </w:r>
    <w:r>
      <w:rPr>
        <w:rStyle w:val="a7"/>
        <w:rFonts w:ascii="標楷體" w:eastAsia="標楷體" w:hAnsi="標楷體" w:hint="eastAsia"/>
      </w:rPr>
      <w:t>頁</w:t>
    </w:r>
    <w:r>
      <w:rPr>
        <w:rStyle w:val="a7"/>
        <w:rFonts w:ascii="標楷體" w:eastAsia="標楷體" w:hAnsi="標楷體"/>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7A52" w:rsidRDefault="000C7A52">
      <w:r>
        <w:separator/>
      </w:r>
    </w:p>
  </w:footnote>
  <w:footnote w:type="continuationSeparator" w:id="0">
    <w:p w:rsidR="000C7A52" w:rsidRDefault="000C7A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78F" w:rsidRPr="00782844" w:rsidRDefault="0092178F">
    <w:pPr>
      <w:pStyle w:val="a3"/>
      <w:ind w:left="6237"/>
      <w:jc w:val="both"/>
      <w:rPr>
        <w:rFonts w:ascii="標楷體" w:eastAsia="標楷體" w:hAnsi="標楷體"/>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665FDF"/>
    <w:multiLevelType w:val="hybridMultilevel"/>
    <w:tmpl w:val="EBC45632"/>
    <w:lvl w:ilvl="0" w:tplc="0AC6B994">
      <w:start w:val="1"/>
      <w:numFmt w:val="taiwaneseCountingThousand"/>
      <w:lvlText w:val="%1、"/>
      <w:lvlJc w:val="left"/>
      <w:pPr>
        <w:tabs>
          <w:tab w:val="num" w:pos="1037"/>
        </w:tabs>
        <w:ind w:left="1037" w:hanging="720"/>
      </w:pPr>
      <w:rPr>
        <w:rFonts w:cs="Times New Roman" w:hint="eastAsia"/>
      </w:rPr>
    </w:lvl>
    <w:lvl w:ilvl="1" w:tplc="04090019" w:tentative="1">
      <w:start w:val="1"/>
      <w:numFmt w:val="ideographTraditional"/>
      <w:lvlText w:val="%2、"/>
      <w:lvlJc w:val="left"/>
      <w:pPr>
        <w:tabs>
          <w:tab w:val="num" w:pos="1277"/>
        </w:tabs>
        <w:ind w:left="1277" w:hanging="480"/>
      </w:pPr>
      <w:rPr>
        <w:rFonts w:cs="Times New Roman"/>
      </w:rPr>
    </w:lvl>
    <w:lvl w:ilvl="2" w:tplc="0409001B" w:tentative="1">
      <w:start w:val="1"/>
      <w:numFmt w:val="lowerRoman"/>
      <w:lvlText w:val="%3."/>
      <w:lvlJc w:val="right"/>
      <w:pPr>
        <w:tabs>
          <w:tab w:val="num" w:pos="1757"/>
        </w:tabs>
        <w:ind w:left="1757" w:hanging="480"/>
      </w:pPr>
      <w:rPr>
        <w:rFonts w:cs="Times New Roman"/>
      </w:rPr>
    </w:lvl>
    <w:lvl w:ilvl="3" w:tplc="0409000F" w:tentative="1">
      <w:start w:val="1"/>
      <w:numFmt w:val="decimal"/>
      <w:lvlText w:val="%4."/>
      <w:lvlJc w:val="left"/>
      <w:pPr>
        <w:tabs>
          <w:tab w:val="num" w:pos="2237"/>
        </w:tabs>
        <w:ind w:left="2237" w:hanging="480"/>
      </w:pPr>
      <w:rPr>
        <w:rFonts w:cs="Times New Roman"/>
      </w:rPr>
    </w:lvl>
    <w:lvl w:ilvl="4" w:tplc="04090019" w:tentative="1">
      <w:start w:val="1"/>
      <w:numFmt w:val="ideographTraditional"/>
      <w:lvlText w:val="%5、"/>
      <w:lvlJc w:val="left"/>
      <w:pPr>
        <w:tabs>
          <w:tab w:val="num" w:pos="2717"/>
        </w:tabs>
        <w:ind w:left="2717" w:hanging="480"/>
      </w:pPr>
      <w:rPr>
        <w:rFonts w:cs="Times New Roman"/>
      </w:rPr>
    </w:lvl>
    <w:lvl w:ilvl="5" w:tplc="0409001B" w:tentative="1">
      <w:start w:val="1"/>
      <w:numFmt w:val="lowerRoman"/>
      <w:lvlText w:val="%6."/>
      <w:lvlJc w:val="right"/>
      <w:pPr>
        <w:tabs>
          <w:tab w:val="num" w:pos="3197"/>
        </w:tabs>
        <w:ind w:left="3197" w:hanging="480"/>
      </w:pPr>
      <w:rPr>
        <w:rFonts w:cs="Times New Roman"/>
      </w:rPr>
    </w:lvl>
    <w:lvl w:ilvl="6" w:tplc="0409000F" w:tentative="1">
      <w:start w:val="1"/>
      <w:numFmt w:val="decimal"/>
      <w:lvlText w:val="%7."/>
      <w:lvlJc w:val="left"/>
      <w:pPr>
        <w:tabs>
          <w:tab w:val="num" w:pos="3677"/>
        </w:tabs>
        <w:ind w:left="3677" w:hanging="480"/>
      </w:pPr>
      <w:rPr>
        <w:rFonts w:cs="Times New Roman"/>
      </w:rPr>
    </w:lvl>
    <w:lvl w:ilvl="7" w:tplc="04090019" w:tentative="1">
      <w:start w:val="1"/>
      <w:numFmt w:val="ideographTraditional"/>
      <w:lvlText w:val="%8、"/>
      <w:lvlJc w:val="left"/>
      <w:pPr>
        <w:tabs>
          <w:tab w:val="num" w:pos="4157"/>
        </w:tabs>
        <w:ind w:left="4157" w:hanging="480"/>
      </w:pPr>
      <w:rPr>
        <w:rFonts w:cs="Times New Roman"/>
      </w:rPr>
    </w:lvl>
    <w:lvl w:ilvl="8" w:tplc="0409001B" w:tentative="1">
      <w:start w:val="1"/>
      <w:numFmt w:val="lowerRoman"/>
      <w:lvlText w:val="%9."/>
      <w:lvlJc w:val="right"/>
      <w:pPr>
        <w:tabs>
          <w:tab w:val="num" w:pos="4637"/>
        </w:tabs>
        <w:ind w:left="4637" w:hanging="480"/>
      </w:pPr>
      <w:rPr>
        <w:rFonts w:cs="Times New Roman"/>
      </w:rPr>
    </w:lvl>
  </w:abstractNum>
  <w:abstractNum w:abstractNumId="1">
    <w:nsid w:val="2E0E0F2C"/>
    <w:multiLevelType w:val="multilevel"/>
    <w:tmpl w:val="9D02BEFC"/>
    <w:lvl w:ilvl="0">
      <w:start w:val="1"/>
      <w:numFmt w:val="taiwaneseCountingThousand"/>
      <w:suff w:val="nothing"/>
      <w:lvlText w:val="%1、"/>
      <w:lvlJc w:val="left"/>
      <w:pPr>
        <w:tabs>
          <w:tab w:val="num" w:pos="720"/>
        </w:tabs>
        <w:ind w:left="958" w:hanging="641"/>
      </w:pPr>
      <w:rPr>
        <w:rFonts w:cs="Times New Roman"/>
      </w:rPr>
    </w:lvl>
    <w:lvl w:ilvl="1">
      <w:start w:val="1"/>
      <w:numFmt w:val="taiwaneseCountingThousand"/>
      <w:suff w:val="nothing"/>
      <w:lvlText w:val="(%2)"/>
      <w:lvlJc w:val="left"/>
      <w:pPr>
        <w:tabs>
          <w:tab w:val="num" w:pos="992"/>
        </w:tabs>
        <w:ind w:left="1247" w:hanging="510"/>
      </w:pPr>
      <w:rPr>
        <w:rFonts w:cs="Times New Roman"/>
      </w:rPr>
    </w:lvl>
    <w:lvl w:ilvl="2">
      <w:start w:val="1"/>
      <w:numFmt w:val="decimalFullWidth"/>
      <w:suff w:val="nothing"/>
      <w:lvlText w:val="%3、"/>
      <w:lvlJc w:val="left"/>
      <w:pPr>
        <w:tabs>
          <w:tab w:val="num" w:pos="1418"/>
        </w:tabs>
        <w:ind w:left="1644" w:hanging="680"/>
      </w:pPr>
      <w:rPr>
        <w:rFonts w:cs="Times New Roman"/>
      </w:rPr>
    </w:lvl>
    <w:lvl w:ilvl="3">
      <w:start w:val="1"/>
      <w:numFmt w:val="decimalFullWidth"/>
      <w:suff w:val="nothing"/>
      <w:lvlText w:val="(%4)"/>
      <w:lvlJc w:val="left"/>
      <w:pPr>
        <w:tabs>
          <w:tab w:val="num" w:pos="1984"/>
        </w:tabs>
        <w:ind w:left="1984" w:hanging="567"/>
      </w:pPr>
      <w:rPr>
        <w:rFonts w:cs="Times New Roman"/>
      </w:rPr>
    </w:lvl>
    <w:lvl w:ilvl="4">
      <w:start w:val="1"/>
      <w:numFmt w:val="ideographTraditional"/>
      <w:suff w:val="nothing"/>
      <w:lvlText w:val="%5、"/>
      <w:lvlJc w:val="left"/>
      <w:pPr>
        <w:tabs>
          <w:tab w:val="num" w:pos="2551"/>
        </w:tabs>
        <w:ind w:left="2324" w:hanging="680"/>
      </w:pPr>
      <w:rPr>
        <w:rFonts w:cs="Times New Roman"/>
      </w:rPr>
    </w:lvl>
    <w:lvl w:ilvl="5">
      <w:start w:val="1"/>
      <w:numFmt w:val="ideographTraditional"/>
      <w:suff w:val="nothing"/>
      <w:lvlText w:val="(%6)"/>
      <w:lvlJc w:val="left"/>
      <w:pPr>
        <w:tabs>
          <w:tab w:val="num" w:pos="3260"/>
        </w:tabs>
        <w:ind w:left="2665" w:hanging="567"/>
      </w:pPr>
      <w:rPr>
        <w:rFonts w:cs="Times New Roman"/>
      </w:rPr>
    </w:lvl>
    <w:lvl w:ilvl="6">
      <w:start w:val="1"/>
      <w:numFmt w:val="ideographZodiac"/>
      <w:suff w:val="nothing"/>
      <w:lvlText w:val="%7、"/>
      <w:lvlJc w:val="left"/>
      <w:pPr>
        <w:tabs>
          <w:tab w:val="num" w:pos="3827"/>
        </w:tabs>
        <w:ind w:left="3005" w:hanging="681"/>
      </w:pPr>
      <w:rPr>
        <w:rFonts w:cs="Times New Roman"/>
      </w:rPr>
    </w:lvl>
    <w:lvl w:ilvl="7">
      <w:start w:val="1"/>
      <w:numFmt w:val="ideographZodiac"/>
      <w:suff w:val="nothing"/>
      <w:lvlText w:val="(%8)"/>
      <w:lvlJc w:val="left"/>
      <w:pPr>
        <w:tabs>
          <w:tab w:val="num" w:pos="4394"/>
        </w:tabs>
        <w:ind w:left="3345" w:hanging="567"/>
      </w:pPr>
      <w:rPr>
        <w:rFonts w:cs="Times New Roman"/>
      </w:rPr>
    </w:lvl>
    <w:lvl w:ilvl="8">
      <w:start w:val="1"/>
      <w:numFmt w:val="decimalFullWidth"/>
      <w:suff w:val="nothing"/>
      <w:lvlText w:val="%9)"/>
      <w:lvlJc w:val="left"/>
      <w:pPr>
        <w:tabs>
          <w:tab w:val="num" w:pos="5102"/>
        </w:tabs>
        <w:ind w:left="3685" w:hanging="454"/>
      </w:pPr>
      <w:rPr>
        <w:rFonts w:cs="Times New Roman"/>
      </w:rPr>
    </w:lvl>
  </w:abstractNum>
  <w:abstractNum w:abstractNumId="2">
    <w:nsid w:val="65331EF3"/>
    <w:multiLevelType w:val="multilevel"/>
    <w:tmpl w:val="C1BA81FA"/>
    <w:lvl w:ilvl="0">
      <w:start w:val="1"/>
      <w:numFmt w:val="taiwaneseCountingThousand"/>
      <w:suff w:val="nothing"/>
      <w:lvlText w:val="%1、"/>
      <w:lvlJc w:val="left"/>
      <w:pPr>
        <w:tabs>
          <w:tab w:val="num" w:pos="720"/>
        </w:tabs>
        <w:ind w:left="1020" w:hanging="680"/>
      </w:pPr>
      <w:rPr>
        <w:rFonts w:cs="Times New Roman"/>
      </w:rPr>
    </w:lvl>
    <w:lvl w:ilvl="1">
      <w:start w:val="1"/>
      <w:numFmt w:val="taiwaneseCountingThousand"/>
      <w:suff w:val="nothing"/>
      <w:lvlText w:val="︵%2︶"/>
      <w:lvlJc w:val="left"/>
      <w:pPr>
        <w:tabs>
          <w:tab w:val="num" w:pos="992"/>
        </w:tabs>
        <w:ind w:left="1700" w:hanging="1020"/>
      </w:pPr>
      <w:rPr>
        <w:rFonts w:cs="Times New Roman"/>
      </w:rPr>
    </w:lvl>
    <w:lvl w:ilvl="2">
      <w:start w:val="1"/>
      <w:numFmt w:val="decimalFullWidth"/>
      <w:suff w:val="nothing"/>
      <w:lvlText w:val="%3、"/>
      <w:lvlJc w:val="left"/>
      <w:pPr>
        <w:tabs>
          <w:tab w:val="num" w:pos="1418"/>
        </w:tabs>
        <w:ind w:left="2040" w:hanging="680"/>
      </w:pPr>
      <w:rPr>
        <w:rFonts w:cs="Times New Roman"/>
      </w:rPr>
    </w:lvl>
    <w:lvl w:ilvl="3">
      <w:start w:val="1"/>
      <w:numFmt w:val="decimalFullWidth"/>
      <w:suff w:val="nothing"/>
      <w:lvlText w:val="︵%4︶"/>
      <w:lvlJc w:val="left"/>
      <w:pPr>
        <w:tabs>
          <w:tab w:val="num" w:pos="1984"/>
        </w:tabs>
        <w:ind w:left="2720" w:hanging="1020"/>
      </w:pPr>
      <w:rPr>
        <w:rFonts w:cs="Times New Roman"/>
      </w:rPr>
    </w:lvl>
    <w:lvl w:ilvl="4">
      <w:start w:val="1"/>
      <w:numFmt w:val="ideographTraditional"/>
      <w:suff w:val="nothing"/>
      <w:lvlText w:val="%5、"/>
      <w:lvlJc w:val="left"/>
      <w:pPr>
        <w:tabs>
          <w:tab w:val="num" w:pos="2551"/>
        </w:tabs>
        <w:ind w:left="3060" w:hanging="680"/>
      </w:pPr>
      <w:rPr>
        <w:rFonts w:cs="Times New Roman"/>
      </w:rPr>
    </w:lvl>
    <w:lvl w:ilvl="5">
      <w:start w:val="1"/>
      <w:numFmt w:val="ideographTraditional"/>
      <w:suff w:val="nothing"/>
      <w:lvlText w:val="︵%6︶"/>
      <w:lvlJc w:val="left"/>
      <w:pPr>
        <w:tabs>
          <w:tab w:val="num" w:pos="3260"/>
        </w:tabs>
        <w:ind w:left="3740" w:hanging="1020"/>
      </w:pPr>
      <w:rPr>
        <w:rFonts w:cs="Times New Roman"/>
      </w:rPr>
    </w:lvl>
    <w:lvl w:ilvl="6">
      <w:start w:val="1"/>
      <w:numFmt w:val="ideographZodiac"/>
      <w:suff w:val="nothing"/>
      <w:lvlText w:val="%7、"/>
      <w:lvlJc w:val="left"/>
      <w:pPr>
        <w:tabs>
          <w:tab w:val="num" w:pos="3827"/>
        </w:tabs>
        <w:ind w:left="4080" w:hanging="680"/>
      </w:pPr>
      <w:rPr>
        <w:rFonts w:cs="Times New Roman"/>
      </w:rPr>
    </w:lvl>
    <w:lvl w:ilvl="7">
      <w:start w:val="1"/>
      <w:numFmt w:val="ideographZodiac"/>
      <w:suff w:val="nothing"/>
      <w:lvlText w:val="︵%8︶"/>
      <w:lvlJc w:val="left"/>
      <w:pPr>
        <w:tabs>
          <w:tab w:val="num" w:pos="4394"/>
        </w:tabs>
        <w:ind w:left="4760" w:hanging="1020"/>
      </w:pPr>
      <w:rPr>
        <w:rFonts w:cs="Times New Roman"/>
      </w:rPr>
    </w:lvl>
    <w:lvl w:ilvl="8">
      <w:start w:val="1"/>
      <w:numFmt w:val="decimalFullWidth"/>
      <w:suff w:val="nothing"/>
      <w:lvlText w:val="%9︶"/>
      <w:lvlJc w:val="left"/>
      <w:pPr>
        <w:tabs>
          <w:tab w:val="num" w:pos="5102"/>
        </w:tabs>
        <w:ind w:left="5100" w:hanging="680"/>
      </w:pPr>
      <w:rPr>
        <w:rFonts w:cs="Times New Roman"/>
      </w:r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doNotCompress"/>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31E00"/>
    <w:rsid w:val="00000460"/>
    <w:rsid w:val="000020F1"/>
    <w:rsid w:val="000229D7"/>
    <w:rsid w:val="00027B12"/>
    <w:rsid w:val="000335C0"/>
    <w:rsid w:val="0003365D"/>
    <w:rsid w:val="00036508"/>
    <w:rsid w:val="00037338"/>
    <w:rsid w:val="000400A6"/>
    <w:rsid w:val="0004205F"/>
    <w:rsid w:val="00052CEF"/>
    <w:rsid w:val="00061084"/>
    <w:rsid w:val="00074913"/>
    <w:rsid w:val="00074DDC"/>
    <w:rsid w:val="00080B07"/>
    <w:rsid w:val="000812D8"/>
    <w:rsid w:val="00082DF1"/>
    <w:rsid w:val="000853AE"/>
    <w:rsid w:val="00092E4A"/>
    <w:rsid w:val="000A25A8"/>
    <w:rsid w:val="000A65C9"/>
    <w:rsid w:val="000A7D9D"/>
    <w:rsid w:val="000B2D95"/>
    <w:rsid w:val="000B5274"/>
    <w:rsid w:val="000B604B"/>
    <w:rsid w:val="000C2CE0"/>
    <w:rsid w:val="000C7A52"/>
    <w:rsid w:val="000E33E8"/>
    <w:rsid w:val="000E4F71"/>
    <w:rsid w:val="000F32CA"/>
    <w:rsid w:val="000F4B34"/>
    <w:rsid w:val="0010305E"/>
    <w:rsid w:val="001073A9"/>
    <w:rsid w:val="0011361B"/>
    <w:rsid w:val="00114EBC"/>
    <w:rsid w:val="00117E25"/>
    <w:rsid w:val="001216CC"/>
    <w:rsid w:val="001247DA"/>
    <w:rsid w:val="00134676"/>
    <w:rsid w:val="00142F70"/>
    <w:rsid w:val="00143DF4"/>
    <w:rsid w:val="0014577F"/>
    <w:rsid w:val="00146176"/>
    <w:rsid w:val="00146459"/>
    <w:rsid w:val="00161506"/>
    <w:rsid w:val="001618B9"/>
    <w:rsid w:val="00164C06"/>
    <w:rsid w:val="00171794"/>
    <w:rsid w:val="0018388C"/>
    <w:rsid w:val="00184023"/>
    <w:rsid w:val="0018678F"/>
    <w:rsid w:val="001A0799"/>
    <w:rsid w:val="001A2370"/>
    <w:rsid w:val="001A60AE"/>
    <w:rsid w:val="001B08DD"/>
    <w:rsid w:val="001B24CF"/>
    <w:rsid w:val="001B2DF8"/>
    <w:rsid w:val="001C1294"/>
    <w:rsid w:val="001C1E0C"/>
    <w:rsid w:val="001C5C6C"/>
    <w:rsid w:val="001F30D1"/>
    <w:rsid w:val="00200223"/>
    <w:rsid w:val="00211C6F"/>
    <w:rsid w:val="00211C82"/>
    <w:rsid w:val="00212047"/>
    <w:rsid w:val="00244167"/>
    <w:rsid w:val="002462D3"/>
    <w:rsid w:val="00246C4E"/>
    <w:rsid w:val="00251D3D"/>
    <w:rsid w:val="00252B9D"/>
    <w:rsid w:val="0026327B"/>
    <w:rsid w:val="0026449C"/>
    <w:rsid w:val="0028633E"/>
    <w:rsid w:val="00290CA3"/>
    <w:rsid w:val="002A0EDA"/>
    <w:rsid w:val="002A4BE2"/>
    <w:rsid w:val="002A6D18"/>
    <w:rsid w:val="002A7423"/>
    <w:rsid w:val="002C3A47"/>
    <w:rsid w:val="002C73B6"/>
    <w:rsid w:val="002D06E7"/>
    <w:rsid w:val="002D13D2"/>
    <w:rsid w:val="002D3518"/>
    <w:rsid w:val="002D359F"/>
    <w:rsid w:val="002D4DCA"/>
    <w:rsid w:val="002E0174"/>
    <w:rsid w:val="002E6355"/>
    <w:rsid w:val="003348F6"/>
    <w:rsid w:val="0034522B"/>
    <w:rsid w:val="003505F2"/>
    <w:rsid w:val="00352B16"/>
    <w:rsid w:val="00363EB8"/>
    <w:rsid w:val="0038053E"/>
    <w:rsid w:val="0038290D"/>
    <w:rsid w:val="00385B5A"/>
    <w:rsid w:val="00391601"/>
    <w:rsid w:val="00392150"/>
    <w:rsid w:val="003976F1"/>
    <w:rsid w:val="003A417C"/>
    <w:rsid w:val="003B16ED"/>
    <w:rsid w:val="003B2083"/>
    <w:rsid w:val="003B67BA"/>
    <w:rsid w:val="003B799A"/>
    <w:rsid w:val="003D55BE"/>
    <w:rsid w:val="003E0482"/>
    <w:rsid w:val="003E642B"/>
    <w:rsid w:val="003F1F23"/>
    <w:rsid w:val="003F286F"/>
    <w:rsid w:val="00401212"/>
    <w:rsid w:val="00420771"/>
    <w:rsid w:val="00424C52"/>
    <w:rsid w:val="0042608A"/>
    <w:rsid w:val="004318AC"/>
    <w:rsid w:val="00437E78"/>
    <w:rsid w:val="004411F5"/>
    <w:rsid w:val="00445C2A"/>
    <w:rsid w:val="00451FA4"/>
    <w:rsid w:val="004636A4"/>
    <w:rsid w:val="00465F5E"/>
    <w:rsid w:val="004772D8"/>
    <w:rsid w:val="00482EE3"/>
    <w:rsid w:val="004834EB"/>
    <w:rsid w:val="00496ACB"/>
    <w:rsid w:val="004B00C7"/>
    <w:rsid w:val="004B2893"/>
    <w:rsid w:val="004B7137"/>
    <w:rsid w:val="004C12A9"/>
    <w:rsid w:val="004C31F8"/>
    <w:rsid w:val="004C7B6F"/>
    <w:rsid w:val="004D2D83"/>
    <w:rsid w:val="004E411F"/>
    <w:rsid w:val="004E67A2"/>
    <w:rsid w:val="004F5FCC"/>
    <w:rsid w:val="004F618E"/>
    <w:rsid w:val="005042EC"/>
    <w:rsid w:val="00505810"/>
    <w:rsid w:val="00506142"/>
    <w:rsid w:val="00506F73"/>
    <w:rsid w:val="00512450"/>
    <w:rsid w:val="00515B7B"/>
    <w:rsid w:val="00515CDE"/>
    <w:rsid w:val="005248FA"/>
    <w:rsid w:val="0053138D"/>
    <w:rsid w:val="00534334"/>
    <w:rsid w:val="005347A3"/>
    <w:rsid w:val="00541591"/>
    <w:rsid w:val="00545875"/>
    <w:rsid w:val="00554502"/>
    <w:rsid w:val="00555719"/>
    <w:rsid w:val="00570692"/>
    <w:rsid w:val="00585B9A"/>
    <w:rsid w:val="00586AC8"/>
    <w:rsid w:val="005A05B3"/>
    <w:rsid w:val="005B51D3"/>
    <w:rsid w:val="005C45AF"/>
    <w:rsid w:val="005D5734"/>
    <w:rsid w:val="005E1A9F"/>
    <w:rsid w:val="005E33EF"/>
    <w:rsid w:val="005E7640"/>
    <w:rsid w:val="005F1F02"/>
    <w:rsid w:val="00605772"/>
    <w:rsid w:val="00613C6C"/>
    <w:rsid w:val="00617129"/>
    <w:rsid w:val="00631036"/>
    <w:rsid w:val="00653CB1"/>
    <w:rsid w:val="00653E20"/>
    <w:rsid w:val="00665883"/>
    <w:rsid w:val="00667903"/>
    <w:rsid w:val="00687757"/>
    <w:rsid w:val="00691C1D"/>
    <w:rsid w:val="00693D07"/>
    <w:rsid w:val="006B41A1"/>
    <w:rsid w:val="006D5A3D"/>
    <w:rsid w:val="006D7F32"/>
    <w:rsid w:val="006E4039"/>
    <w:rsid w:val="006E5856"/>
    <w:rsid w:val="006F0DD5"/>
    <w:rsid w:val="0070489F"/>
    <w:rsid w:val="00705107"/>
    <w:rsid w:val="0071176C"/>
    <w:rsid w:val="0071594C"/>
    <w:rsid w:val="007167A1"/>
    <w:rsid w:val="00736148"/>
    <w:rsid w:val="0074523D"/>
    <w:rsid w:val="007571A6"/>
    <w:rsid w:val="007661B0"/>
    <w:rsid w:val="00771FA7"/>
    <w:rsid w:val="00773845"/>
    <w:rsid w:val="00773FC3"/>
    <w:rsid w:val="007817FB"/>
    <w:rsid w:val="00782844"/>
    <w:rsid w:val="00795F8D"/>
    <w:rsid w:val="007A5513"/>
    <w:rsid w:val="007B2BA1"/>
    <w:rsid w:val="007B7BA0"/>
    <w:rsid w:val="007C63F1"/>
    <w:rsid w:val="007D0BF8"/>
    <w:rsid w:val="007E0CAC"/>
    <w:rsid w:val="007E4D47"/>
    <w:rsid w:val="008025E0"/>
    <w:rsid w:val="00814A43"/>
    <w:rsid w:val="0081511C"/>
    <w:rsid w:val="00817549"/>
    <w:rsid w:val="0083181E"/>
    <w:rsid w:val="00835C21"/>
    <w:rsid w:val="00843B49"/>
    <w:rsid w:val="00845B30"/>
    <w:rsid w:val="0086382D"/>
    <w:rsid w:val="00867ADA"/>
    <w:rsid w:val="00870A64"/>
    <w:rsid w:val="00872CE5"/>
    <w:rsid w:val="00874687"/>
    <w:rsid w:val="00877995"/>
    <w:rsid w:val="0088458A"/>
    <w:rsid w:val="00886CC0"/>
    <w:rsid w:val="00894953"/>
    <w:rsid w:val="008A68F8"/>
    <w:rsid w:val="008C18BD"/>
    <w:rsid w:val="008C58C2"/>
    <w:rsid w:val="008D4464"/>
    <w:rsid w:val="008E10C0"/>
    <w:rsid w:val="008E1298"/>
    <w:rsid w:val="008E53FE"/>
    <w:rsid w:val="008E7D12"/>
    <w:rsid w:val="00910662"/>
    <w:rsid w:val="009147B7"/>
    <w:rsid w:val="009172F3"/>
    <w:rsid w:val="0092178F"/>
    <w:rsid w:val="00922B4B"/>
    <w:rsid w:val="009326BF"/>
    <w:rsid w:val="00932D13"/>
    <w:rsid w:val="00947848"/>
    <w:rsid w:val="0095256A"/>
    <w:rsid w:val="00953D95"/>
    <w:rsid w:val="00963843"/>
    <w:rsid w:val="009724DF"/>
    <w:rsid w:val="009768DB"/>
    <w:rsid w:val="0098060F"/>
    <w:rsid w:val="009822AF"/>
    <w:rsid w:val="00992FC0"/>
    <w:rsid w:val="00995219"/>
    <w:rsid w:val="009A1BDD"/>
    <w:rsid w:val="009A3DCB"/>
    <w:rsid w:val="009A3FC5"/>
    <w:rsid w:val="009B0F05"/>
    <w:rsid w:val="009B1244"/>
    <w:rsid w:val="009B18C6"/>
    <w:rsid w:val="009B2BC3"/>
    <w:rsid w:val="009C051A"/>
    <w:rsid w:val="009D1932"/>
    <w:rsid w:val="009D58B9"/>
    <w:rsid w:val="009E2588"/>
    <w:rsid w:val="009E4CA1"/>
    <w:rsid w:val="009F6DDA"/>
    <w:rsid w:val="009F7247"/>
    <w:rsid w:val="00A02A3C"/>
    <w:rsid w:val="00A0587F"/>
    <w:rsid w:val="00A31E00"/>
    <w:rsid w:val="00A3429F"/>
    <w:rsid w:val="00A360CF"/>
    <w:rsid w:val="00A372CB"/>
    <w:rsid w:val="00A45C9B"/>
    <w:rsid w:val="00A552E3"/>
    <w:rsid w:val="00A64384"/>
    <w:rsid w:val="00A67C6A"/>
    <w:rsid w:val="00A76076"/>
    <w:rsid w:val="00A76670"/>
    <w:rsid w:val="00A83D36"/>
    <w:rsid w:val="00A878E8"/>
    <w:rsid w:val="00A92572"/>
    <w:rsid w:val="00A9698A"/>
    <w:rsid w:val="00A969F8"/>
    <w:rsid w:val="00A97A66"/>
    <w:rsid w:val="00A97C92"/>
    <w:rsid w:val="00AA00B7"/>
    <w:rsid w:val="00AA50DC"/>
    <w:rsid w:val="00AA551A"/>
    <w:rsid w:val="00AA67E8"/>
    <w:rsid w:val="00AA6D18"/>
    <w:rsid w:val="00AB6774"/>
    <w:rsid w:val="00AD0DF0"/>
    <w:rsid w:val="00AE1225"/>
    <w:rsid w:val="00AE457A"/>
    <w:rsid w:val="00AE6962"/>
    <w:rsid w:val="00AF75BB"/>
    <w:rsid w:val="00B0418C"/>
    <w:rsid w:val="00B0468D"/>
    <w:rsid w:val="00B138CE"/>
    <w:rsid w:val="00B1625E"/>
    <w:rsid w:val="00B245CE"/>
    <w:rsid w:val="00B36208"/>
    <w:rsid w:val="00B40559"/>
    <w:rsid w:val="00B44395"/>
    <w:rsid w:val="00B45672"/>
    <w:rsid w:val="00B46383"/>
    <w:rsid w:val="00B91DF2"/>
    <w:rsid w:val="00B97E2F"/>
    <w:rsid w:val="00BB0580"/>
    <w:rsid w:val="00BD3562"/>
    <w:rsid w:val="00BD3565"/>
    <w:rsid w:val="00BE15FB"/>
    <w:rsid w:val="00BE52C1"/>
    <w:rsid w:val="00BE61F7"/>
    <w:rsid w:val="00BF4382"/>
    <w:rsid w:val="00BF7B4C"/>
    <w:rsid w:val="00BF7BDC"/>
    <w:rsid w:val="00C0368C"/>
    <w:rsid w:val="00C04EDF"/>
    <w:rsid w:val="00C10626"/>
    <w:rsid w:val="00C22AAB"/>
    <w:rsid w:val="00C37D73"/>
    <w:rsid w:val="00C55B1F"/>
    <w:rsid w:val="00C6370F"/>
    <w:rsid w:val="00C71AC9"/>
    <w:rsid w:val="00C72BDC"/>
    <w:rsid w:val="00C83299"/>
    <w:rsid w:val="00C91CBF"/>
    <w:rsid w:val="00CA57B8"/>
    <w:rsid w:val="00CB5D05"/>
    <w:rsid w:val="00CD0D2D"/>
    <w:rsid w:val="00CF1F0C"/>
    <w:rsid w:val="00D35C04"/>
    <w:rsid w:val="00D411EC"/>
    <w:rsid w:val="00D50E18"/>
    <w:rsid w:val="00D51773"/>
    <w:rsid w:val="00D53208"/>
    <w:rsid w:val="00D62699"/>
    <w:rsid w:val="00DA672F"/>
    <w:rsid w:val="00DB45BD"/>
    <w:rsid w:val="00DB7159"/>
    <w:rsid w:val="00DE02AB"/>
    <w:rsid w:val="00DE2D43"/>
    <w:rsid w:val="00DF2688"/>
    <w:rsid w:val="00E07580"/>
    <w:rsid w:val="00E10D61"/>
    <w:rsid w:val="00E116E6"/>
    <w:rsid w:val="00E17CC4"/>
    <w:rsid w:val="00E328EB"/>
    <w:rsid w:val="00E349B0"/>
    <w:rsid w:val="00E34BE5"/>
    <w:rsid w:val="00E461D4"/>
    <w:rsid w:val="00E46A95"/>
    <w:rsid w:val="00E6307A"/>
    <w:rsid w:val="00E6447E"/>
    <w:rsid w:val="00E71560"/>
    <w:rsid w:val="00E728E4"/>
    <w:rsid w:val="00E87876"/>
    <w:rsid w:val="00E95089"/>
    <w:rsid w:val="00EA1160"/>
    <w:rsid w:val="00EB39E4"/>
    <w:rsid w:val="00ED1E4C"/>
    <w:rsid w:val="00ED3469"/>
    <w:rsid w:val="00ED4172"/>
    <w:rsid w:val="00ED6EFE"/>
    <w:rsid w:val="00EE05EF"/>
    <w:rsid w:val="00EF176B"/>
    <w:rsid w:val="00F12E47"/>
    <w:rsid w:val="00F21088"/>
    <w:rsid w:val="00F2262A"/>
    <w:rsid w:val="00F2550D"/>
    <w:rsid w:val="00F333D9"/>
    <w:rsid w:val="00F35126"/>
    <w:rsid w:val="00F42205"/>
    <w:rsid w:val="00F622F6"/>
    <w:rsid w:val="00F708DC"/>
    <w:rsid w:val="00F7116D"/>
    <w:rsid w:val="00F75659"/>
    <w:rsid w:val="00F75DDD"/>
    <w:rsid w:val="00F7758E"/>
    <w:rsid w:val="00F80293"/>
    <w:rsid w:val="00F928A4"/>
    <w:rsid w:val="00F975C2"/>
    <w:rsid w:val="00FA111E"/>
    <w:rsid w:val="00FC3A0D"/>
    <w:rsid w:val="00FC59BF"/>
    <w:rsid w:val="00FD2F01"/>
    <w:rsid w:val="00FD5090"/>
    <w:rsid w:val="00FE6702"/>
    <w:rsid w:val="00FE7D44"/>
    <w:rsid w:val="00FF2DC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14EBC"/>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114EBC"/>
    <w:pPr>
      <w:tabs>
        <w:tab w:val="center" w:pos="4153"/>
        <w:tab w:val="right" w:pos="8306"/>
      </w:tabs>
      <w:snapToGrid w:val="0"/>
    </w:pPr>
    <w:rPr>
      <w:sz w:val="20"/>
      <w:szCs w:val="20"/>
    </w:rPr>
  </w:style>
  <w:style w:type="character" w:customStyle="1" w:styleId="a4">
    <w:name w:val="頁首 字元"/>
    <w:link w:val="a3"/>
    <w:uiPriority w:val="99"/>
    <w:semiHidden/>
    <w:locked/>
    <w:rsid w:val="00FC3A0D"/>
    <w:rPr>
      <w:rFonts w:cs="Times New Roman"/>
      <w:sz w:val="20"/>
      <w:szCs w:val="20"/>
    </w:rPr>
  </w:style>
  <w:style w:type="paragraph" w:styleId="a5">
    <w:name w:val="footer"/>
    <w:basedOn w:val="a"/>
    <w:link w:val="a6"/>
    <w:uiPriority w:val="99"/>
    <w:rsid w:val="00114EBC"/>
    <w:pPr>
      <w:tabs>
        <w:tab w:val="center" w:pos="4153"/>
        <w:tab w:val="right" w:pos="8306"/>
      </w:tabs>
      <w:snapToGrid w:val="0"/>
    </w:pPr>
    <w:rPr>
      <w:sz w:val="20"/>
      <w:szCs w:val="20"/>
    </w:rPr>
  </w:style>
  <w:style w:type="character" w:customStyle="1" w:styleId="a6">
    <w:name w:val="頁尾 字元"/>
    <w:link w:val="a5"/>
    <w:uiPriority w:val="99"/>
    <w:semiHidden/>
    <w:locked/>
    <w:rsid w:val="00FC3A0D"/>
    <w:rPr>
      <w:rFonts w:cs="Times New Roman"/>
      <w:sz w:val="20"/>
      <w:szCs w:val="20"/>
    </w:rPr>
  </w:style>
  <w:style w:type="character" w:styleId="a7">
    <w:name w:val="page number"/>
    <w:uiPriority w:val="99"/>
    <w:rsid w:val="00114EBC"/>
    <w:rPr>
      <w:rFonts w:cs="Times New Roman"/>
    </w:rPr>
  </w:style>
  <w:style w:type="paragraph" w:customStyle="1" w:styleId="a8">
    <w:name w:val="公文(全銜)"/>
    <w:basedOn w:val="a"/>
    <w:uiPriority w:val="99"/>
    <w:rsid w:val="00114EBC"/>
    <w:pPr>
      <w:snapToGrid w:val="0"/>
      <w:spacing w:line="720" w:lineRule="exact"/>
      <w:jc w:val="center"/>
    </w:pPr>
    <w:rPr>
      <w:rFonts w:ascii="標楷體" w:eastAsia="標楷體" w:hAnsi="標楷體"/>
      <w:sz w:val="40"/>
    </w:rPr>
  </w:style>
  <w:style w:type="paragraph" w:customStyle="1" w:styleId="a9">
    <w:name w:val="公文(聯絡方式)"/>
    <w:basedOn w:val="a"/>
    <w:uiPriority w:val="99"/>
    <w:rsid w:val="00114EBC"/>
    <w:pPr>
      <w:snapToGrid w:val="0"/>
      <w:ind w:left="4536"/>
    </w:pPr>
    <w:rPr>
      <w:rFonts w:ascii="標楷體" w:eastAsia="標楷體" w:hAnsi="標楷體"/>
    </w:rPr>
  </w:style>
  <w:style w:type="paragraph" w:customStyle="1" w:styleId="aa">
    <w:name w:val="公文(受文者)"/>
    <w:basedOn w:val="a"/>
    <w:uiPriority w:val="99"/>
    <w:rsid w:val="00114EBC"/>
    <w:pPr>
      <w:snapToGrid w:val="0"/>
      <w:spacing w:after="200"/>
    </w:pPr>
    <w:rPr>
      <w:rFonts w:ascii="標楷體" w:eastAsia="標楷體" w:hAnsi="標楷體"/>
      <w:sz w:val="32"/>
    </w:rPr>
  </w:style>
  <w:style w:type="paragraph" w:customStyle="1" w:styleId="ab">
    <w:name w:val="公文(速別)"/>
    <w:basedOn w:val="a"/>
    <w:uiPriority w:val="99"/>
    <w:rsid w:val="00114EBC"/>
    <w:pPr>
      <w:snapToGrid w:val="0"/>
      <w:spacing w:line="280" w:lineRule="exact"/>
    </w:pPr>
    <w:rPr>
      <w:rFonts w:ascii="標楷體" w:eastAsia="標楷體" w:hAnsi="標楷體"/>
    </w:rPr>
  </w:style>
  <w:style w:type="paragraph" w:customStyle="1" w:styleId="ac">
    <w:name w:val="公文(發文日期)"/>
    <w:basedOn w:val="a"/>
    <w:uiPriority w:val="99"/>
    <w:rsid w:val="00114EBC"/>
    <w:pPr>
      <w:snapToGrid w:val="0"/>
      <w:spacing w:line="280" w:lineRule="exact"/>
    </w:pPr>
    <w:rPr>
      <w:rFonts w:ascii="標楷體" w:eastAsia="標楷體" w:hAnsi="標楷體"/>
    </w:rPr>
  </w:style>
  <w:style w:type="paragraph" w:customStyle="1" w:styleId="ad">
    <w:name w:val="公文(發文字號)"/>
    <w:basedOn w:val="a"/>
    <w:uiPriority w:val="99"/>
    <w:rsid w:val="00114EBC"/>
    <w:pPr>
      <w:snapToGrid w:val="0"/>
      <w:spacing w:line="280" w:lineRule="exact"/>
    </w:pPr>
    <w:rPr>
      <w:rFonts w:ascii="標楷體" w:eastAsia="標楷體" w:hAnsi="標楷體"/>
    </w:rPr>
  </w:style>
  <w:style w:type="paragraph" w:customStyle="1" w:styleId="ae">
    <w:name w:val="公文(密等)"/>
    <w:basedOn w:val="a"/>
    <w:uiPriority w:val="99"/>
    <w:rsid w:val="00114EBC"/>
    <w:pPr>
      <w:snapToGrid w:val="0"/>
      <w:spacing w:line="280" w:lineRule="exact"/>
    </w:pPr>
    <w:rPr>
      <w:rFonts w:ascii="標楷體" w:eastAsia="標楷體" w:hAnsi="標楷體"/>
    </w:rPr>
  </w:style>
  <w:style w:type="paragraph" w:customStyle="1" w:styleId="af">
    <w:name w:val="公文(主旨)"/>
    <w:basedOn w:val="a"/>
    <w:uiPriority w:val="99"/>
    <w:rsid w:val="00114EBC"/>
    <w:pPr>
      <w:kinsoku w:val="0"/>
      <w:snapToGrid w:val="0"/>
      <w:spacing w:after="200" w:line="500" w:lineRule="exact"/>
      <w:ind w:left="958" w:hanging="958"/>
    </w:pPr>
    <w:rPr>
      <w:rFonts w:ascii="標楷體" w:eastAsia="標楷體" w:hAnsi="標楷體"/>
      <w:sz w:val="32"/>
    </w:rPr>
  </w:style>
  <w:style w:type="paragraph" w:customStyle="1" w:styleId="af0">
    <w:name w:val="公文(段落)"/>
    <w:basedOn w:val="a"/>
    <w:next w:val="af1"/>
    <w:uiPriority w:val="99"/>
    <w:rsid w:val="00114EBC"/>
    <w:pPr>
      <w:kinsoku w:val="0"/>
      <w:snapToGrid w:val="0"/>
      <w:spacing w:line="500" w:lineRule="exact"/>
      <w:ind w:left="958" w:hanging="958"/>
    </w:pPr>
    <w:rPr>
      <w:rFonts w:ascii="標楷體" w:eastAsia="標楷體" w:hAnsi="標楷體"/>
      <w:sz w:val="32"/>
    </w:rPr>
  </w:style>
  <w:style w:type="paragraph" w:customStyle="1" w:styleId="af1">
    <w:name w:val="公文(後續段落)"/>
    <w:basedOn w:val="a"/>
    <w:uiPriority w:val="99"/>
    <w:rsid w:val="00114EBC"/>
    <w:pPr>
      <w:spacing w:line="500" w:lineRule="exact"/>
      <w:ind w:left="317"/>
    </w:pPr>
    <w:rPr>
      <w:rFonts w:eastAsia="標楷體"/>
      <w:sz w:val="32"/>
    </w:rPr>
  </w:style>
  <w:style w:type="paragraph" w:customStyle="1" w:styleId="af2">
    <w:name w:val="公文(正本)"/>
    <w:basedOn w:val="a"/>
    <w:uiPriority w:val="99"/>
    <w:rsid w:val="00114EBC"/>
    <w:pPr>
      <w:kinsoku w:val="0"/>
      <w:overflowPunct w:val="0"/>
      <w:snapToGrid w:val="0"/>
      <w:spacing w:before="120"/>
      <w:ind w:left="720" w:hanging="720"/>
    </w:pPr>
    <w:rPr>
      <w:rFonts w:ascii="標楷體" w:eastAsia="標楷體" w:hAnsi="標楷體"/>
    </w:rPr>
  </w:style>
  <w:style w:type="paragraph" w:customStyle="1" w:styleId="af3">
    <w:name w:val="公文(副本)"/>
    <w:basedOn w:val="a"/>
    <w:uiPriority w:val="99"/>
    <w:rsid w:val="00114EBC"/>
    <w:pPr>
      <w:kinsoku w:val="0"/>
      <w:snapToGrid w:val="0"/>
      <w:spacing w:line="300" w:lineRule="exact"/>
      <w:ind w:left="720" w:hanging="720"/>
    </w:pPr>
    <w:rPr>
      <w:rFonts w:ascii="標楷體" w:eastAsia="標楷體" w:hAnsi="標楷體"/>
    </w:rPr>
  </w:style>
  <w:style w:type="paragraph" w:customStyle="1" w:styleId="af4">
    <w:name w:val="公文(署名)"/>
    <w:basedOn w:val="a"/>
    <w:uiPriority w:val="99"/>
    <w:rsid w:val="00114EBC"/>
    <w:pPr>
      <w:spacing w:before="180" w:line="600" w:lineRule="exact"/>
    </w:pPr>
    <w:rPr>
      <w:rFonts w:ascii="標楷體" w:eastAsia="標楷體" w:hAnsi="標楷體"/>
      <w:sz w:val="40"/>
    </w:rPr>
  </w:style>
  <w:style w:type="paragraph" w:customStyle="1" w:styleId="af5">
    <w:name w:val="公文(機關地址)"/>
    <w:basedOn w:val="a"/>
    <w:uiPriority w:val="99"/>
    <w:rsid w:val="00114EBC"/>
    <w:pPr>
      <w:snapToGrid w:val="0"/>
      <w:ind w:left="4536"/>
    </w:pPr>
    <w:rPr>
      <w:rFonts w:ascii="標楷體" w:eastAsia="標楷體" w:hAnsi="標楷體"/>
    </w:rPr>
  </w:style>
  <w:style w:type="paragraph" w:styleId="af6">
    <w:name w:val="Body Text Indent"/>
    <w:basedOn w:val="a"/>
    <w:link w:val="af7"/>
    <w:uiPriority w:val="99"/>
    <w:rsid w:val="00114EBC"/>
    <w:pPr>
      <w:spacing w:after="120"/>
      <w:ind w:left="480"/>
    </w:pPr>
  </w:style>
  <w:style w:type="character" w:customStyle="1" w:styleId="af7">
    <w:name w:val="本文縮排 字元"/>
    <w:link w:val="af6"/>
    <w:uiPriority w:val="99"/>
    <w:semiHidden/>
    <w:locked/>
    <w:rsid w:val="00FC3A0D"/>
    <w:rPr>
      <w:rFonts w:cs="Times New Roman"/>
      <w:sz w:val="24"/>
      <w:szCs w:val="24"/>
    </w:rPr>
  </w:style>
  <w:style w:type="paragraph" w:customStyle="1" w:styleId="af8">
    <w:name w:val="公文(郵遞區號)"/>
    <w:basedOn w:val="a"/>
    <w:uiPriority w:val="99"/>
    <w:rsid w:val="00114EBC"/>
    <w:pPr>
      <w:snapToGrid w:val="0"/>
    </w:pPr>
    <w:rPr>
      <w:rFonts w:ascii="標楷體" w:eastAsia="標楷體" w:hAnsi="標楷體"/>
    </w:rPr>
  </w:style>
  <w:style w:type="paragraph" w:customStyle="1" w:styleId="af9">
    <w:name w:val="公文(地址)"/>
    <w:basedOn w:val="a"/>
    <w:uiPriority w:val="99"/>
    <w:rsid w:val="00114EBC"/>
    <w:pPr>
      <w:snapToGrid w:val="0"/>
    </w:pPr>
    <w:rPr>
      <w:rFonts w:ascii="標楷體" w:eastAsia="標楷體" w:hAnsi="標楷體"/>
    </w:rPr>
  </w:style>
  <w:style w:type="paragraph" w:customStyle="1" w:styleId="afa">
    <w:name w:val="公文(抄本)"/>
    <w:basedOn w:val="af3"/>
    <w:uiPriority w:val="99"/>
    <w:rsid w:val="00114EBC"/>
  </w:style>
  <w:style w:type="paragraph" w:customStyle="1" w:styleId="afb">
    <w:name w:val="公文(附件)"/>
    <w:basedOn w:val="af9"/>
    <w:uiPriority w:val="99"/>
    <w:rsid w:val="00114EBC"/>
  </w:style>
  <w:style w:type="paragraph" w:customStyle="1" w:styleId="afc">
    <w:name w:val="公文(電子交換類別)"/>
    <w:basedOn w:val="a"/>
    <w:uiPriority w:val="99"/>
    <w:rsid w:val="00114EBC"/>
    <w:pPr>
      <w:spacing w:line="400" w:lineRule="exact"/>
      <w:jc w:val="center"/>
    </w:pPr>
    <w:rPr>
      <w:rFonts w:eastAsia="標楷體"/>
      <w:sz w:val="28"/>
      <w:szCs w:val="20"/>
    </w:rPr>
  </w:style>
  <w:style w:type="paragraph" w:customStyle="1" w:styleId="afd">
    <w:name w:val="公文(會稿單位)"/>
    <w:basedOn w:val="a"/>
    <w:next w:val="afe"/>
    <w:uiPriority w:val="99"/>
    <w:rsid w:val="00114EBC"/>
    <w:pPr>
      <w:jc w:val="both"/>
    </w:pPr>
    <w:rPr>
      <w:rFonts w:ascii="標楷體" w:eastAsia="標楷體" w:hAnsi="標楷體"/>
    </w:rPr>
  </w:style>
  <w:style w:type="paragraph" w:customStyle="1" w:styleId="afe">
    <w:name w:val="公文(後續會稿單位)"/>
    <w:basedOn w:val="afd"/>
    <w:uiPriority w:val="99"/>
    <w:rsid w:val="00114EBC"/>
    <w:pPr>
      <w:ind w:leftChars="500" w:left="1200"/>
    </w:pPr>
  </w:style>
  <w:style w:type="paragraph" w:customStyle="1" w:styleId="aff">
    <w:name w:val="公文(機關單位)"/>
    <w:basedOn w:val="a"/>
    <w:uiPriority w:val="99"/>
    <w:rsid w:val="00114EBC"/>
    <w:pPr>
      <w:snapToGrid w:val="0"/>
      <w:spacing w:line="720" w:lineRule="exact"/>
      <w:jc w:val="both"/>
    </w:pPr>
    <w:rPr>
      <w:rFonts w:ascii="標楷體" w:eastAsia="標楷體" w:hAnsi="標楷體"/>
      <w:sz w:val="40"/>
    </w:rPr>
  </w:style>
  <w:style w:type="paragraph" w:customStyle="1" w:styleId="aff0">
    <w:name w:val="說明"/>
    <w:basedOn w:val="af6"/>
    <w:uiPriority w:val="99"/>
    <w:rsid w:val="00114EBC"/>
    <w:pPr>
      <w:spacing w:after="0" w:line="640" w:lineRule="exact"/>
      <w:ind w:left="952" w:hanging="952"/>
    </w:pPr>
    <w:rPr>
      <w:rFonts w:ascii="Arial" w:eastAsia="標楷體" w:hAnsi="Arial"/>
      <w:sz w:val="32"/>
    </w:rPr>
  </w:style>
  <w:style w:type="paragraph" w:customStyle="1" w:styleId="aff1">
    <w:name w:val="公文(擬辦)"/>
    <w:basedOn w:val="aff0"/>
    <w:uiPriority w:val="99"/>
    <w:rsid w:val="00114EBC"/>
    <w:pPr>
      <w:spacing w:line="500" w:lineRule="exact"/>
    </w:pPr>
  </w:style>
  <w:style w:type="paragraph" w:customStyle="1" w:styleId="aff2">
    <w:name w:val="公文(內容)"/>
    <w:basedOn w:val="af0"/>
    <w:uiPriority w:val="99"/>
    <w:rsid w:val="00114EBC"/>
    <w:pPr>
      <w:widowControl/>
      <w:kinsoku/>
      <w:adjustRightInd w:val="0"/>
      <w:spacing w:line="578" w:lineRule="exact"/>
      <w:ind w:left="0" w:firstLine="0"/>
    </w:pPr>
    <w:rPr>
      <w:rFonts w:ascii="Times New Roman" w:hAnsi="Times New Roman"/>
      <w:noProof/>
      <w:kern w:val="0"/>
      <w:sz w:val="34"/>
      <w:szCs w:val="20"/>
    </w:rPr>
  </w:style>
  <w:style w:type="paragraph" w:customStyle="1" w:styleId="aff3">
    <w:name w:val="首長"/>
    <w:basedOn w:val="a"/>
    <w:uiPriority w:val="99"/>
    <w:rsid w:val="00114EBC"/>
    <w:pPr>
      <w:snapToGrid w:val="0"/>
      <w:spacing w:line="500" w:lineRule="exact"/>
      <w:ind w:left="964" w:hanging="964"/>
      <w:jc w:val="both"/>
    </w:pPr>
    <w:rPr>
      <w:rFonts w:eastAsia="標楷體"/>
      <w:sz w:val="36"/>
      <w:szCs w:val="20"/>
    </w:rPr>
  </w:style>
  <w:style w:type="paragraph" w:customStyle="1" w:styleId="aff4">
    <w:name w:val="出席者"/>
    <w:basedOn w:val="a"/>
    <w:uiPriority w:val="99"/>
    <w:rsid w:val="00114EBC"/>
    <w:pPr>
      <w:snapToGrid w:val="0"/>
      <w:spacing w:line="400" w:lineRule="exact"/>
      <w:ind w:left="1117" w:hanging="1117"/>
      <w:jc w:val="both"/>
    </w:pPr>
    <w:rPr>
      <w:rFonts w:eastAsia="標楷體"/>
      <w:sz w:val="28"/>
      <w:szCs w:val="20"/>
    </w:rPr>
  </w:style>
  <w:style w:type="paragraph" w:customStyle="1" w:styleId="aff5">
    <w:name w:val="公文(簽稿類別)"/>
    <w:basedOn w:val="a"/>
    <w:uiPriority w:val="99"/>
    <w:rsid w:val="00114EBC"/>
    <w:pPr>
      <w:spacing w:line="400" w:lineRule="exact"/>
    </w:pPr>
    <w:rPr>
      <w:rFonts w:eastAsia="標楷體"/>
      <w:kern w:val="0"/>
      <w:sz w:val="28"/>
      <w:szCs w:val="20"/>
    </w:rPr>
  </w:style>
  <w:style w:type="paragraph" w:customStyle="1" w:styleId="aff6">
    <w:name w:val="公文(決行層級)"/>
    <w:basedOn w:val="a"/>
    <w:uiPriority w:val="99"/>
    <w:rsid w:val="00114EBC"/>
    <w:pPr>
      <w:spacing w:line="400" w:lineRule="exact"/>
    </w:pPr>
    <w:rPr>
      <w:rFonts w:ascii="標楷體" w:eastAsia="標楷體" w:hAnsi="標楷體"/>
      <w:sz w:val="28"/>
    </w:rPr>
  </w:style>
  <w:style w:type="paragraph" w:customStyle="1" w:styleId="aff7">
    <w:name w:val="批示欄位"/>
    <w:basedOn w:val="a"/>
    <w:uiPriority w:val="99"/>
    <w:rsid w:val="00114EBC"/>
    <w:pPr>
      <w:widowControl/>
      <w:snapToGrid w:val="0"/>
      <w:textAlignment w:val="baseline"/>
    </w:pPr>
    <w:rPr>
      <w:rFonts w:eastAsia="標楷體"/>
      <w:noProof/>
      <w:kern w:val="0"/>
      <w:szCs w:val="20"/>
    </w:rPr>
  </w:style>
  <w:style w:type="paragraph" w:customStyle="1" w:styleId="aff8">
    <w:name w:val="公文(分類號)"/>
    <w:basedOn w:val="a"/>
    <w:uiPriority w:val="99"/>
    <w:rsid w:val="00114EBC"/>
    <w:pPr>
      <w:snapToGrid w:val="0"/>
    </w:pPr>
    <w:rPr>
      <w:rFonts w:eastAsia="標楷體"/>
      <w:sz w:val="20"/>
    </w:rPr>
  </w:style>
  <w:style w:type="paragraph" w:customStyle="1" w:styleId="aff9">
    <w:name w:val="內 文"/>
    <w:uiPriority w:val="99"/>
    <w:rsid w:val="00114EBC"/>
    <w:rPr>
      <w:rFonts w:eastAsia="標楷體"/>
      <w:sz w:val="24"/>
    </w:rPr>
  </w:style>
  <w:style w:type="paragraph" w:customStyle="1" w:styleId="affa">
    <w:name w:val="核辦框文字"/>
    <w:basedOn w:val="a"/>
    <w:uiPriority w:val="99"/>
    <w:rsid w:val="00114EBC"/>
    <w:pPr>
      <w:spacing w:line="500" w:lineRule="exact"/>
    </w:pPr>
    <w:rPr>
      <w:rFonts w:ascii="標楷體" w:eastAsia="標楷體" w:hAnsi="標楷體"/>
    </w:rPr>
  </w:style>
  <w:style w:type="table" w:styleId="affb">
    <w:name w:val="Table Grid"/>
    <w:basedOn w:val="a1"/>
    <w:uiPriority w:val="99"/>
    <w:locked/>
    <w:rsid w:val="0018388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10" Type="http://schemas.openxmlformats.org/officeDocument/2006/relationships/footer" Target="footer1.xml"/><Relationship Id="rId11" Type="http://schemas.openxmlformats.org/officeDocument/2006/relationships/fontTable" Target="fontTable.xml"/><Relationship Id="rId12" Type="http://schemas.openxmlformats.org/officeDocument/2006/relationships/theme" Target="theme/theme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igitWare/NTH-WEBOE/template/COMMON_DOT/&#318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F1675D-9577-4B4A-8985-4D67AD1FA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簽.dot</Template>
  <TotalTime>130</TotalTime>
  <Pages>1</Pages>
  <Words>6</Words>
  <Characters>35</Characters>
  <Application>Microsoft Office Word</Application>
  <DocSecurity>0</DocSecurity>
  <Lines>1</Lines>
  <Paragraphs>1</Paragraphs>
  <ScaleCrop>false</ScaleCrop>
  <Company/>
  <LinksUpToDate>false</LinksUpToDate>
  <CharactersWithSpaces>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2018-02-22T06:49:00Z</dcterms:created>
  <dc:creator>資訊室一科帝緯系統</dc:creator>
  <cp:lastModifiedBy>User</cp:lastModifiedBy>
  <cp:lastPrinted>2004-10-20T01:26:00Z</cp:lastPrinted>
  <dcterms:modified xsi:type="dcterms:W3CDTF">2020-06-03T03:35:00Z</dcterms:modified>
  <cp:revision>50</cp:revision>
  <dc:title>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文別">
    <vt:lpwstr>署簽</vt:lpwstr>
  </property>
  <property fmtid="{D5CDD505-2E9C-101B-9397-08002B2CF9AE}" pid="3" name="函類別">
    <vt:lpwstr>其他</vt:lpwstr>
  </property>
  <property fmtid="{D5CDD505-2E9C-101B-9397-08002B2CF9AE}" pid="4" name="Sendable">
    <vt:bool>true</vt:bool>
  </property>
  <property fmtid="{D5CDD505-2E9C-101B-9397-08002B2CF9AE}" pid="5" name="IsDraft">
    <vt:bool>true</vt:bool>
  </property>
  <property fmtid="{D5CDD505-2E9C-101B-9397-08002B2CF9AE}" pid="6" name="IsTable">
    <vt:bool>false</vt:bool>
  </property>
  <property fmtid="{D5CDD505-2E9C-101B-9397-08002B2CF9AE}" pid="7" name="範本類別">
    <vt:lpwstr>書籤</vt:lpwstr>
  </property>
  <property fmtid="{D5CDD505-2E9C-101B-9397-08002B2CF9AE}" pid="8" name="電子交換類別">
    <vt:lpwstr>2</vt:lpwstr>
  </property>
  <property fmtid="{D5CDD505-2E9C-101B-9397-08002B2CF9AE}" pid="9" name="lateralHasOrg">
    <vt:bool>false</vt:bool>
  </property>
  <property fmtid="{D5CDD505-2E9C-101B-9397-08002B2CF9AE}" pid="10" name="每次存檔檢查格式">
    <vt:bool>false</vt:bool>
  </property>
  <property fmtid="{D5CDD505-2E9C-101B-9397-08002B2CF9AE}" pid="11" name="lateral">
    <vt:bool>true</vt:bool>
  </property>
  <property fmtid="{D5CDD505-2E9C-101B-9397-08002B2CF9AE}" pid="12" name="橫文別">
    <vt:lpwstr>署簽</vt:lpwstr>
  </property>
  <property fmtid="{D5CDD505-2E9C-101B-9397-08002B2CF9AE}" pid="13" name="橫函類別">
    <vt:lpwstr>其他</vt:lpwstr>
  </property>
  <property fmtid="{D5CDD505-2E9C-101B-9397-08002B2CF9AE}" pid="14" name="可發無正副本">
    <vt:bool>true</vt:bool>
  </property>
</Properties>
</file>