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Noto Sans TC" w:cs="Noto Sans TC" w:eastAsia="Noto Sans TC" w:hAnsi="Noto Sans TC"/>
          <w:b/>
          <w:bCs/>
          <w:sz w:val="30"/>
          <w:szCs w:val="30"/>
        </w:rPr>
        <w:t xml:space="preserve">未強制接軌 IFRS 永續揭露準則的公司，其他永續揭露要求比較</w:t>
      </w:r>
    </w:p>
    <w:p>
      <w:pPr>
        <w:spacing w:after="60"/>
      </w:pPr>
      <w:r>
        <w:rPr>
          <w:rFonts w:ascii="Noto Sans TC" w:cs="Noto Sans TC" w:eastAsia="Noto Sans TC" w:hAnsi="Noto Sans TC"/>
          <w:color w:val="555555"/>
          <w:sz w:val="18"/>
          <w:szCs w:val="18"/>
        </w:rPr>
        <w:t xml:space="preserve">台灣、歐盟、日本、韓國、澳洲。整理日期：2026 年 10 月 21 日。私人學習整理，非法律意見。</w:t>
      </w:r>
    </w:p>
    <w:p>
      <w:pPr>
        <w:spacing w:after="160"/>
      </w:pPr>
      <w:r>
        <w:rPr>
          <w:rFonts w:ascii="Noto Sans TC" w:cs="Noto Sans TC" w:eastAsia="Noto Sans TC" w:hAnsi="Noto Sans TC"/>
          <w:sz w:val="18"/>
          <w:szCs w:val="18"/>
        </w:rPr>
        <w:t xml:space="preserve">讀法：前兩欄講「誰被強制接軌 IFRS」，後三欄講「沒被強制的公司，依其他法令要在哪裡揭露什麼」。公開時間依各地法定申報期限推算，實際日期看每家公司的年度結束日。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00"/>
        <w:gridCol w:w="3400"/>
        <w:gridCol w:w="2500"/>
        <w:gridCol w:w="1900"/>
        <w:gridCol w:w="4498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sz w:val="18"/>
                <w:szCs w:val="18"/>
              </w:rPr>
              <w:t xml:space="preserve">強制適用的永續揭露準則（相當於 IFRS S1、S2）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sz w:val="18"/>
                <w:szCs w:val="18"/>
              </w:rPr>
              <w:t xml:space="preserve">強制適用門檻與時程（資料年度 → 公開時間）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sz w:val="18"/>
                <w:szCs w:val="18"/>
              </w:rPr>
              <w:t xml:space="preserve">未達門檻的公司：其他永續相關揭露的法令依據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sz w:val="18"/>
                <w:szCs w:val="18"/>
              </w:rPr>
              <w:t xml:space="preserve">揭露處</w:t>
            </w:r>
          </w:p>
        </w:tc>
        <w:tc>
          <w:tcPr>
            <w:tcW w:type="dxa" w:w="4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Noto Sans TC" w:cs="Noto Sans TC" w:eastAsia="Noto Sans TC" w:hAnsi="Noto Sans TC"/>
                <w:b/>
                <w:bCs/>
                <w:sz w:val="18"/>
                <w:szCs w:val="18"/>
              </w:rPr>
              <w:t xml:space="preserve">揭露內容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Noto Sans TC" w:cs="Noto Sans TC" w:eastAsia="Noto Sans TC" w:hAnsi="Noto Sans TC"/>
                <w:b/>
                <w:bCs/>
                <w:sz w:val="20"/>
                <w:szCs w:val="20"/>
              </w:rPr>
              <w:t xml:space="preserve">台灣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IFRS S1、S2（金管會認可，直接採用）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第一階段：實收資本額 100 億以上。2026 年度資料 → 2027 年年報。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第二階段：50 億以上。2027 年度 → 2028 年年報。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第三階段：20 億以上，或未達 20 億但排放源為環境部列管。2028 年度 → 2029 年年報；前二年只揭露氣候，範疇三自願。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未達 20 億且非列管（約 1,410 家）：2026.9.23 起不強制接軌。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年報最遲於股東會前公開（資料年次年 3 至 6 月）。年報準則與函令預計 2026 年底修正完成。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證券交易法第 36 條。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公開發行公司年報應行記載事項準則第 10 條（公司治理報告）及附表。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證交所「上市公司編製與申報永續報告書作業辦法」、櫃買中心對應辦法。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金管會 2026.9.23 新聞稿：未達 20 億公司改依「簡易揭露範例」（待訂）。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年報「公司治理報告」章之附表。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永續報告書（每年 8 月 31 日前申報公開資訊觀測站）。</w:t>
            </w:r>
          </w:p>
        </w:tc>
        <w:tc>
          <w:tcPr>
            <w:tcW w:type="dxa" w:w="4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年報附表（準則第 10 條）：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(1) 附表二之二之一「推動永續發展執行情形及與永續發展實務守則差異情形及原因」：是否設永續治理架構與專責單位、環境管理制度與氣候風險評估、社會議題（員工、供應商、消費者）、永續報告書是否經第三方確信等，逐項「有／無」加說明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(2) 附表二之二之二「履行誠信經營情形」：誠信經營政策與執行、不誠信行為防範方案、檢舉制度，逐項說明。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(3) 附表二之二之三「上市上櫃公司氣候相關資訊」（2024 年年報起）：氣候風險與機會之治理（董事會與管理階層監督）、策略（實體與轉型風險的影響、情境分析）、風險管理、指標與目標；以及「溫室氣體盤查及確信情形」：最近二年度範疇一、二排放量、盤查範圍（母公司個體或合併）、確信範圍、確信機構、確信準則、確信意見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依 2026.9.23 新聞稿，未達 20 億公司仍須揭露氣候治理、風險管理及範疇一、二基本資訊；已接軌 IFRS 的公司改以「永續相關財務資訊」專章取代附表二之二之三。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永續報告書（作業辦法第 3、4 條）：依 GRI 通用準則、行業準則、重大主題準則編製，附 GRI 內容索引並註明各項是否經第三方確信；附表一之一「產業永續指標」依產業揭露（食品、化學、金融保險等特定產業的永續指標須取得會計師確信，第 4 條第 2 項）；附表二「溫室氣體盤查及確信情形」；非擔任主管職務之全時員工薪資資訊。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Noto Sans TC" w:cs="Noto Sans TC" w:eastAsia="Noto Sans TC" w:hAnsi="Noto Sans TC"/>
                <w:b/>
                <w:bCs/>
                <w:sz w:val="20"/>
                <w:szCs w:val="20"/>
              </w:rPr>
              <w:t xml:space="preserve">歐盟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ESRS（歐洲永續報導準則；簡化版 2026 年 7 月通過）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員工 1,000 人以上且淨營業額 4.5 億歐元以上（兩項皆須符合）。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新門檻下：2027 年度資料 → 2028 年隨年度管理報告公布，約年度結束後 4 個月。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第一波大型公眾利益實體已從 2024 年度開始報導。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依據：Directive (EU) 2026/470（Omnibus I），2026.3.18 生效，會員國 2027.3.19 前轉換國內法。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無法定永續揭露義務。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VSME／VS 自願標準：執委會建議 (EU) 2025/1710（2025.7.30）；2026.7.3 授權法規採納改稱 VS。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價值鏈上限：CSRD 報導者不得向員工少於 1,000 人的價值鏈公司索取超過 VS 範圍的資訊（Omnibus I）。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自行出具的 VSME／VS 報告（無法定格式或申報處）。</w:t>
            </w:r>
          </w:p>
        </w:tc>
        <w:tc>
          <w:tcPr>
            <w:tcW w:type="dxa" w:w="4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基本模組 B1–B11：編製基礎、永續作法與政策、能源與溫室氣體（範疇一、二，範疇三自願）、污染、生物多樣性、水、資源使用與廢棄物、員工特徵、員工健康安全、薪酬與團體協商與訓練、貪腐賄賂定罪與罰款。B4 至 B7、B11 採「如適用」原則，不做重大性分析。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綜合模組 C1–C9：商業模式與永續行動、政策進階、溫室氣體減量目標與轉型、氣候風險、員工附加特徵、人權政策、嚴重人權事件、特定產業營收與基準指數排除、治理機構性別比例。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不要求確信。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Noto Sans TC" w:cs="Noto Sans TC" w:eastAsia="Noto Sans TC" w:hAnsi="Noto Sans TC"/>
                <w:b/>
                <w:bCs/>
                <w:sz w:val="20"/>
                <w:szCs w:val="20"/>
              </w:rPr>
              <w:t xml:space="preserve">日本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SSBJ 準則（適用基準、一般基準、氣候基準，對應 IFRS S1、S2；2025.3.5 發布）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東證 Prime 市場，依市值分三梯：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3 兆日圓以上：2026.4–2027.3 資料 → 2027 年 6 月底前有價證券報告書（年度結束後 3 個月內）。確信自 2028 年 3 月期起。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1 兆日圓以上：2027.4–2028.3 → 2028 年 6 月。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5,000 億日圓以上：2028.4–2029.3 → 2029 年 6 月（目標，仍在討論）。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首次適用可採兩階段揭露，永續資訊延至半期報告書期限（約 11 月中）。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依據：企業內容等揭露內閣府令 2026 年 2 月修正（日期待核對）。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企業內容等の開示に関する内閣府令（2023.1.31 修正，2023 年 3 月期起適用）：有價證券報告書「サステナビリティに関する考え方及び取組」欄。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東證公司治理守則（2021.6 修訂）補充原則 3-1③：Prime 市場依 TCFD 或同等架構揭露氣候資訊，遵循或解釋。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地球溫暖化對策推進法：特定排出者溫室氣體算定・報告・公表制度。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有價證券報告書（法定年報）第二部「永續的想法與作為」欄。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Prime 公司：公司治理報告（向東證提出）。</w:t>
            </w:r>
          </w:p>
        </w:tc>
        <w:tc>
          <w:tcPr>
            <w:tcW w:type="dxa" w:w="4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所有有價證券報告書提出者（約 4,000 家，含部分非上市）：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(1) 治理、風險管理：必填。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(2) 策略、指標及目標：依重大性填。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(3) 人力資本：人才培育方針、內部環境整備方針及其指標、目標與實績，不論重大性皆須填。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(4) 「從業員狀況」欄：女性管理職比率、男性育嬰假取得率、男女薪資差異（依其他法令已須公布者）。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不綁定特定準則，可參照任意揭露文件（如統合報告書）。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Prime 公司另依 TCFD 四要素（治理、策略、風險管理、指標與目標）揭露氣候資訊，不做要在公司治理報告說明理由。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Noto Sans TC" w:cs="Noto Sans TC" w:eastAsia="Noto Sans TC" w:hAnsi="Noto Sans TC"/>
                <w:b/>
                <w:bCs/>
                <w:sz w:val="20"/>
                <w:szCs w:val="20"/>
              </w:rPr>
              <w:t xml:space="preserve">韓國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KSDS 1、KSDS 2（韓國永續揭露準則，對應 IFRS S1、S2；2026.2.26 發布）。第一階段只強制氣候資訊。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KOSPI 上市公司，依合併總資產分梯（金融委員會 2026.7.8 最終路徑圖）：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10 兆韓元以上：2027 年度資料 → 2028 年 3 月底前事業報告書（年度結束後 90 日內）。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5 兆韓元以上：2028 年度 → 2029 年 3 月。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2 兆韓元以上：2030 年以後，視執行狀況再定。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範疇三每梯次延後三年；第三方確信 2030 年起。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尚待資本市場法修正，未正式立法。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韓國交易所有價證券市場揭露規定第 24 條之 2：公司治理報告書，2026 年起全體 KOSPI 上市公司（KOSDAQ 不適用）。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韓國交易所 ESG 資訊揭露指引（2021.1）：永續報告書自願申報。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環境技術及環境產業支援法：環境資訊公開制度（大型企業，門檻待核對）。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溫室氣體排放交易制、目標管理制：納管企業申報經查證之排放量。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公司治理報告書（交易所公開系統 KIND，每年 5 月底前）。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永續報告書：自願，向交易所申報。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環境資訊公開系統。</w:t>
            </w:r>
          </w:p>
        </w:tc>
        <w:tc>
          <w:tcPr>
            <w:tcW w:type="dxa" w:w="4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公司治理報告書：15 項核心指標，遵循或解釋，分三類：股東（股東會提前四週通知、電子投票、避開集中日、股利政策等）、董事會（執行長接班政策、內控政策、董事長與執行長分離、董事會評估等）、稽核（審計委員會具會計財務專家、與外部會計師單獨會議等）。只涵蓋治理，不含環境與社會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永續報告書：無強制內容；路徑圖表示交易所自願申報制度將更新為接受依 KSDS 編製的報告。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環境資訊公開：能源與資源使用、溫室氣體與污染物排放等環境資料。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Noto Sans TC" w:cs="Noto Sans TC" w:eastAsia="Noto Sans TC" w:hAnsi="Noto Sans TC"/>
                <w:b/>
                <w:bCs/>
                <w:sz w:val="20"/>
                <w:szCs w:val="20"/>
              </w:rPr>
              <w:t xml:space="preserve">澳洲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AASB S2（氣候相關揭露，強制）。AASB S1（一般永續，自願）。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規模三選二：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第一組：營收 5 億澳元、資產 10 億、員工 500 人；或 NGER 申報逾公布門檻者。2025.1.1 以後開始的年度。6 月結算者為 2025.7–2026.6 資料 → 2026 年 9 月底前隨年報（上市 3 個月內，非上市 4 個月內）。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第二組：2 億、5 億、250 人；或所有 NGER 登記者；或管理資產 50 億以上之資產持有者。2026.7.1 以後開始的年度 → 2027 年 9 月。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第三組：5,000 萬、2,500 萬、100 人。2027.7.1 以後開始的年度 → 2028 年 9 月。無重大氣候風險者可只出具聲明。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2026–27 年度預算案提議第三組門檻加倍（營收 1 億、資產 5,000 萬），尚未立法。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依據：Treasury Laws Amendment (Financial Market Infrastructure and Other Measures) Act 2024。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公司法第 2M 章：只有本來就須提出財務報告的公司才適用永續報告，小型企業與多數註冊慈善組織不適用。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ASX 上市規則 4.10.3 與 ASX 公司治理原則與建議（第四版）建議 7.4：遵循或解釋。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National Greenhouse and Energy Reporting Act 2007（NGER）。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ASIC 法與公司法「誤導或欺罔」條款（反漂綠，ASIC INFO 271）；ASIC RG 280。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年報內的公司治理聲明（或公司網站並於年報註明）。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NGER 線上申報系統（向清潔能源監管局）。</w:t>
            </w:r>
          </w:p>
        </w:tc>
        <w:tc>
          <w:tcPr>
            <w:tcW w:type="dxa" w:w="4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ASX 上市公司：是否有重大環境或社會風險暴露，有則說明如何管理或打算如何管理；不遵循要說明理由。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NGER 申報者：設施與公司層級溫室氣體排放、能源生產與消耗。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自願採用 AASB S1 或 S2：必須全部符合才能宣稱依該準則編製，不得部分採用。</w:t>
            </w:r>
          </w:p>
          <w:p>
            <w:pPr>
              <w:spacing w:after="40"/>
            </w:pPr>
            <w:r>
              <w:rPr>
                <w:rFonts w:ascii="Noto Sans TC" w:cs="Noto Sans TC" w:eastAsia="Noto Sans TC" w:hAnsi="Noto Sans TC"/>
                <w:sz w:val="18"/>
                <w:szCs w:val="18"/>
              </w:rPr>
              <w:t xml:space="preserve">任何自願永續聲明（含淨零承諾、產品標示）受反漂綠執法，ASIC 已對 Mercer、Vanguard、Active Super 取得法院罰金。</w:t>
            </w:r>
          </w:p>
        </w:tc>
      </w:tr>
    </w:tbl>
    <w:p>
      <w:pPr>
        <w:spacing w:after="80" w:before="240"/>
      </w:pPr>
      <w:r>
        <w:rPr>
          <w:rFonts w:ascii="Noto Sans TC" w:cs="Noto Sans TC" w:eastAsia="Noto Sans TC" w:hAnsi="Noto Sans TC"/>
          <w:b/>
          <w:bCs/>
          <w:sz w:val="22"/>
          <w:szCs w:val="22"/>
        </w:rPr>
        <w:t xml:space="preserve">待核對事項</w:t>
      </w:r>
    </w:p>
    <w:p>
      <w:pPr>
        <w:spacing w:after="60"/>
      </w:pPr>
      <w:r>
        <w:rPr>
          <w:rFonts w:ascii="Noto Sans TC" w:cs="Noto Sans TC" w:eastAsia="Noto Sans TC" w:hAnsi="Noto Sans TC"/>
          <w:sz w:val="18"/>
          <w:szCs w:val="18"/>
        </w:rPr>
        <w:t xml:space="preserve">本表內容來自公開網頁與法規資料庫的整理，整理當時無法直接開啟多數官方網站。以下幾點只有單一或互相矛盾的二手來源，引用前請對照原文：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TC" w:cs="Noto Sans TC" w:eastAsia="Noto Sans TC" w:hAnsi="Noto Sans TC"/>
          <w:sz w:val="18"/>
          <w:szCs w:val="18"/>
        </w:rPr>
        <w:t xml:space="preserve">歐盟 2026.7.3 授權法規是否已刊登公報（有來源稱編號 Delegated Regulation (EU) 2026/1560，2026.9 刊登）。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TC" w:cs="Noto Sans TC" w:eastAsia="Noto Sans TC" w:hAnsi="Noto Sans TC"/>
          <w:sz w:val="18"/>
          <w:szCs w:val="18"/>
        </w:rPr>
        <w:t xml:space="preserve">日本內閣府令修正日期（2026 年 1 月或 2 月）與 2026.7.15 金融商品交易法修正案。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TC" w:cs="Noto Sans TC" w:eastAsia="Noto Sans TC" w:hAnsi="Noto Sans TC"/>
          <w:sz w:val="18"/>
          <w:szCs w:val="18"/>
        </w:rPr>
        <w:t xml:space="preserve">韓國環境資訊公開制度的企業門檻（有來源稱總資產 2 兆韓元以上）。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TC" w:cs="Noto Sans TC" w:eastAsia="Noto Sans TC" w:hAnsi="Noto Sans TC"/>
          <w:sz w:val="18"/>
          <w:szCs w:val="18"/>
        </w:rPr>
        <w:t xml:space="preserve">台灣年報附表二之二之一、二之二之二的編號以現行準則第 10 條為準；附表二之二之三之名稱與內容依證交所 2024.4 公告版本。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TC" w:cs="Noto Sans TC" w:eastAsia="Noto Sans TC" w:hAnsi="Noto Sans TC"/>
          <w:sz w:val="18"/>
          <w:szCs w:val="18"/>
        </w:rPr>
        <w:t xml:space="preserve">台灣 20 億以下公司的「簡易揭露範例」與年報準則修正，金管會預計 2026 年底公布。</w:t>
      </w:r>
    </w:p>
    <w:p>
      <w:pPr>
        <w:spacing w:after="80" w:before="240"/>
      </w:pPr>
      <w:r>
        <w:rPr>
          <w:rFonts w:ascii="Noto Sans TC" w:cs="Noto Sans TC" w:eastAsia="Noto Sans TC" w:hAnsi="Noto Sans TC"/>
          <w:b/>
          <w:bCs/>
          <w:sz w:val="22"/>
          <w:szCs w:val="22"/>
        </w:rPr>
        <w:t xml:space="preserve">資料來源與法規依據</w:t>
      </w:r>
    </w:p>
    <w:p>
      <w:pPr>
        <w:spacing w:after="60" w:before="160"/>
      </w:pPr>
      <w:r>
        <w:rPr>
          <w:rFonts w:ascii="Noto Sans TC" w:cs="Noto Sans TC" w:eastAsia="Noto Sans TC" w:hAnsi="Noto Sans TC"/>
          <w:b/>
          <w:bCs/>
          <w:sz w:val="20"/>
          <w:szCs w:val="20"/>
        </w:rPr>
        <w:t xml:space="preserve">台灣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_hqbvwzst7wft-xtjwqun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公開發行公司年報應行記載事項準則（全國法規資料庫）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gk2afl1ve-xel7o91pvek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同準則第 10 條（公司治理報告應記載事項）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nsm-fzbzmqtb-57pvhnpv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附表二之二之三 上市上櫃公司氣候相關資訊（證交所公司治理中心，2024.4 版）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btdyil10rohxe_mlkqyit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上市公司編製與申報永續報告書作業辦法（植根法律網收錄 2025.5.5 版）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pjtl19lupg8lpftaf3p6d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同辦法問答集（證交所，2025.4.30 更新）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yjb3ncljijsdllp7vet_y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金管會 2026.9.23 新聞稿：接軌 IFRS 永續揭露準則簡化調整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kjvydkmqyezswn-r_x3xq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證交所 永續發展路徑圖專區（含問答集）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0s4llmofdd6ymmchu41yy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櫃買中心 IFRS 永續揭露準則專區</w:t>
        </w:r>
      </w:hyperlink>
    </w:p>
    <w:p>
      <w:pPr>
        <w:spacing w:after="60" w:before="160"/>
      </w:pPr>
      <w:r>
        <w:rPr>
          <w:rFonts w:ascii="Noto Sans TC" w:cs="Noto Sans TC" w:eastAsia="Noto Sans TC" w:hAnsi="Noto Sans TC"/>
          <w:b/>
          <w:bCs/>
          <w:sz w:val="20"/>
          <w:szCs w:val="20"/>
        </w:rPr>
        <w:t xml:space="preserve">歐盟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odvmxg5kwhx71xixq4a78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Directive (EU) 2026/470（Omnibus I）EUR-Lex（網址依 EUR-Lex 命名規則推定，未能直接開啟）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8ov0jkkmz8lsowypk7aws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Commission Recommendation (EU) 2025/1710 on VSME，EUR-Lex（同上）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isj6bhswmok-dfmtvwksa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執委會 2026.7.3 授權法規 C(2026) 5011（執委會財金總署）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xysqkbgz5h3_ohdmsbgmq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EFRAG VSME 標準全文（2024.12.17 版）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4g1cat4frmryfz_hxrvid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EFRAG 新聞稿：歡迎執委會 VSME 建議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8kjhrm65nv4ay5crxkq9b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Garrigues：Directive (EU) 2026/470 刊登公報摘要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ug5i_yvljlp8veyu1qkxv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IAS Plus：執委會公布自願標準授權法規（2026.7）</w:t>
        </w:r>
      </w:hyperlink>
    </w:p>
    <w:p>
      <w:pPr>
        <w:spacing w:after="60" w:before="160"/>
      </w:pPr>
      <w:r>
        <w:rPr>
          <w:rFonts w:ascii="Noto Sans TC" w:cs="Noto Sans TC" w:eastAsia="Noto Sans TC" w:hAnsi="Noto Sans TC"/>
          <w:b/>
          <w:bCs/>
          <w:sz w:val="20"/>
          <w:szCs w:val="20"/>
        </w:rPr>
        <w:t xml:space="preserve">日本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gaqa93mps7ommyh4irykk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金融庁：有価証券報告書サステナビリティ情報開示 圖解資料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o5pneur25sja1beefr_nk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金融審議会 サステナビリティ情報の開示と保証のあり方に関するWG 資料（2025.6.5）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hdn9hedhjpuvvtuwwks9d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サステナビリティ基準委員会（SSBJ）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8hm0udzbluiw7kki2cgpn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IFRS Foundation：Japan jurisdictional profile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vbwkv42a7kewc9mdbe_ly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Nagashima Ohno &amp; Tsunematsu：Roadmap for Statutory Corporate Disclosure of Sustainability Information in Japan（2025.7）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cjkuaolnaday8jh089mp6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Terrascope：Japan climate disclosure rules（2026 年時程整理，二手）</w:t>
        </w:r>
      </w:hyperlink>
    </w:p>
    <w:p>
      <w:pPr>
        <w:spacing w:after="60" w:before="160"/>
      </w:pPr>
      <w:r>
        <w:rPr>
          <w:rFonts w:ascii="Noto Sans TC" w:cs="Noto Sans TC" w:eastAsia="Noto Sans TC" w:hAnsi="Noto Sans TC"/>
          <w:b/>
          <w:bCs/>
          <w:sz w:val="20"/>
          <w:szCs w:val="20"/>
        </w:rPr>
        <w:t xml:space="preserve">韓國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fdnrzykhdounrx0cxkueh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金融委員會（FSC）新聞稿：ESG 揭露路徑圖最終版（2026.7）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caw0jm1dlwze1i0u_ptbl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金融委員會新聞稿：2026 年起全體 KOSPI 公司治理報告書義務化（2025.7.9）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vsonv1yt74mb22hzubxl0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金融委員會：公司治理報告書指引修訂（2023.10.19）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9emaktls2v9ebs1knkjdz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XBRL International：South Korea finalises ISSB-aligned roadmap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tkxutgxdjkq6znsoacjct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ESG Today：Korea expands mandatory sustainability reporting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mlt__b6ntihj35m5qwflx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Glass Lewis：K-ESG disclosures in South Korea（含 KRX 2021 指引與環境資訊公開）</w:t>
        </w:r>
      </w:hyperlink>
    </w:p>
    <w:p>
      <w:pPr>
        <w:spacing w:after="60" w:before="160"/>
      </w:pPr>
      <w:r>
        <w:rPr>
          <w:rFonts w:ascii="Noto Sans TC" w:cs="Noto Sans TC" w:eastAsia="Noto Sans TC" w:hAnsi="Noto Sans TC"/>
          <w:b/>
          <w:bCs/>
          <w:sz w:val="20"/>
          <w:szCs w:val="20"/>
        </w:rPr>
        <w:t xml:space="preserve">澳洲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ynwknsf9_8mnecvxi9jxd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ASIC Regulatory Guide 280 Sustainability reporting（2025.3.31）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dm53ehrcm4mjur_qcilqo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ASIC：Sustainability reporting for small business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jd0cvbz0duj8cxeh2ac8x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AASB S1 General Requirements（自願準則全文）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qhpugtyhcbpaap5omblfu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AASB：An Overview of Australian Sustainability Reporting Standards（2025.4）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sre3efefff_-olv0qsegh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AASB：Climate-related Financial Disclosure Project Summary（2025.10）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tfmlhtzdi01-_9zr7xsqp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ASX Corporate Governance Principles and Recommendations 4th edition（建議 7.4；網址推定）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epe71xubqpuxyplln1hje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Dentons：Australia mandatory sustainability reporting regime, key developments（2026.8）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hd5id7mwi0gykryjbdwxm">
        <w:r>
          <w:rPr>
            <w:rStyle w:val="Hyperlink"/>
            <w:rFonts w:ascii="Noto Sans TC" w:cs="Noto Sans TC" w:eastAsia="Noto Sans TC" w:hAnsi="Noto Sans TC"/>
            <w:sz w:val="18"/>
            <w:szCs w:val="18"/>
          </w:rPr>
          <w:t xml:space="preserve">Sodali：2026–27 Budget changes to climate reporting thresholds</w:t>
        </w:r>
      </w:hyperlink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C" w:cs="Noto Sans TC" w:eastAsia="Noto Sans TC" w:hAnsi="Noto Sans T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hqbvwzst7wft-xtjwqun" Type="http://schemas.openxmlformats.org/officeDocument/2006/relationships/hyperlink" Target="https://law.moj.gov.tw/LawClass/LawAll.aspx?pcode=G0400022" TargetMode="External"/><Relationship Id="rIdgk2afl1ve-xel7o91pvek" Type="http://schemas.openxmlformats.org/officeDocument/2006/relationships/hyperlink" Target="https://law.moj.gov.tw/LawClass/LawSingle.aspx?pcode=G0400022&amp;flno=10" TargetMode="External"/><Relationship Id="rIdnsm-fzbzmqtb-57pvhnpv" Type="http://schemas.openxmlformats.org/officeDocument/2006/relationships/hyperlink" Target="https://cgc.twse.com.tw/static/20240417/8a828e178ee0e381018eea1f10380002_%E9%99%84%E8%A1%A8%E4%BA%8C%E4%B9%8B%E4%BA%8C%E4%B9%8B%E4%B8%89%20%E4%B8%8A%E5%B8%82%E4%B8%8A%E6%AB%83%E5%85%AC%E5%8F%B8%E6%B0%A3%E5%80%99%E7%9B%B8%E9%97%9C%E8%B3%87%E8%A8%8A.pdf" TargetMode="External"/><Relationship Id="rIdbtdyil10rohxe_mlkqyit" Type="http://schemas.openxmlformats.org/officeDocument/2006/relationships/hyperlink" Target="https://www.rootlaw.com.tw/LawArticle.aspx?LawID=A040390050051400-1140505" TargetMode="External"/><Relationship Id="rIdpjtl19lupg8lpftaf3p6d" Type="http://schemas.openxmlformats.org/officeDocument/2006/relationships/hyperlink" Target="https://cgc.twse.com.tw/static/20250505/8a828e1795f53c6401969f984c520023_%E4%B8%8A%E5%B8%82%E5%85%AC%E5%8F%B8%E7%B7%A8%E8%A3%BD%E8%88%87%E7%94%B3%E5%A0%B1%E6%B0%B8%E7%BA%8C%E5%A0%B1%E5%91%8A%E6%9B%B8%E4%BD%9C%E6%A5%AD%E8%BE%A6%E6%B3%95%E5%95%8F%E7%AD%94%E9%9B%86_1140430.pdf" TargetMode="External"/><Relationship Id="rIdyjb3ncljijsdllp7vet_y" Type="http://schemas.openxmlformats.org/officeDocument/2006/relationships/hyperlink" Target="https://www.fsc.gov.tw/ch/home.jsp?id=96&amp;parentpath=0&amp;mcustomize=news_view.jsp&amp;dataserno=202609230001&amp;dtable=News" TargetMode="External"/><Relationship Id="rIdkjvydkmqyezswn-r_x3xq" Type="http://schemas.openxmlformats.org/officeDocument/2006/relationships/hyperlink" Target="https://cgc.twse.com.tw/responsibilityRoadMap/listCh" TargetMode="External"/><Relationship Id="rId0s4llmofdd6ymmchu41yy" Type="http://schemas.openxmlformats.org/officeDocument/2006/relationships/hyperlink" Target="https://isds.tpex.org.tw/IFRS/front/#/main/home" TargetMode="External"/><Relationship Id="rIdodvmxg5kwhx71xixq4a78" Type="http://schemas.openxmlformats.org/officeDocument/2006/relationships/hyperlink" Target="https://eur-lex.europa.eu/eli/dir/2026/470/oj" TargetMode="External"/><Relationship Id="rId8ov0jkkmz8lsowypk7aws" Type="http://schemas.openxmlformats.org/officeDocument/2006/relationships/hyperlink" Target="https://eur-lex.europa.eu/eli/reco/2025/1710/oj" TargetMode="External"/><Relationship Id="rIdisj6bhswmok-dfmtvwksa" Type="http://schemas.openxmlformats.org/officeDocument/2006/relationships/hyperlink" Target="https://ec.europa.eu/finance/docs/level-2-measures/csrd-delegated-act-2026-5011_en.pdf" TargetMode="External"/><Relationship Id="rIdxysqkbgz5h3_ohdmsbgmq" Type="http://schemas.openxmlformats.org/officeDocument/2006/relationships/hyperlink" Target="https://xbrl.efrag.org/e-esrs/2024-12-17-efrag-vsme.xhtml" TargetMode="External"/><Relationship Id="rId4g1cat4frmryfz_hxrvid" Type="http://schemas.openxmlformats.org/officeDocument/2006/relationships/hyperlink" Target="https://www.efrag.org/en/news-and-calendar/news/press-release-efrag-welcomes-european-commissions-recommendation-on-vsme" TargetMode="External"/><Relationship Id="rId8kjhrm65nv4ay5crxkq9b" Type="http://schemas.openxmlformats.org/officeDocument/2006/relationships/hyperlink" Target="https://www.garrigues.com/en_GB/new/publication-directive-eu-2026470-simplifying-corporate-sustainability-reporting-csrd-and-due" TargetMode="External"/><Relationship Id="rIdug5i_yvljlp8veyu1qkxv" Type="http://schemas.openxmlformats.org/officeDocument/2006/relationships/hyperlink" Target="https://www.iasplus.com/en/news/2026/07/ec-voluntary-standard" TargetMode="External"/><Relationship Id="rIdgaqa93mps7ommyh4irykk" Type="http://schemas.openxmlformats.org/officeDocument/2006/relationships/hyperlink" Target="https://www.fsa.go.jp/policy/kaiji/sustainability01.pdf" TargetMode="External"/><Relationship Id="rIdo5pneur25sja1beefr_nk" Type="http://schemas.openxmlformats.org/officeDocument/2006/relationships/hyperlink" Target="https://www.fsa.go.jp/singi/singi_kinyu/sustainability_disclose_wg/shiryou/20250605/02.pdf" TargetMode="External"/><Relationship Id="rIdhdn9hedhjpuvvtuwwks9d" Type="http://schemas.openxmlformats.org/officeDocument/2006/relationships/hyperlink" Target="https://www.ssb-j.jp/" TargetMode="External"/><Relationship Id="rId8hm0udzbluiw7kki2cgpn" Type="http://schemas.openxmlformats.org/officeDocument/2006/relationships/hyperlink" Target="https://www.ifrs.org/content/dam/ifrs/publications/sustainability-jurisdictions/pdf-profiles/japan-ifrs-profile.pdf" TargetMode="External"/><Relationship Id="rIdvbwkv42a7kewc9mdbe_ly" Type="http://schemas.openxmlformats.org/officeDocument/2006/relationships/hyperlink" Target="https://www.nagashima.com/en/publications/publication20250724-2/" TargetMode="External"/><Relationship Id="rIdcjkuaolnaday8jh089mp6" Type="http://schemas.openxmlformats.org/officeDocument/2006/relationships/hyperlink" Target="https://www.terrascope.com/blog/japan-climate-disclosure-rules" TargetMode="External"/><Relationship Id="rIdfdnrzykhdounrx0cxkueh" Type="http://schemas.openxmlformats.org/officeDocument/2006/relationships/hyperlink" Target="https://www.fsc.go.kr/eng/pr010101/87276" TargetMode="External"/><Relationship Id="rIdcaw0jm1dlwze1i0u_ptbl" Type="http://schemas.openxmlformats.org/officeDocument/2006/relationships/hyperlink" Target="https://fsc.go.kr/eng/pr010101/84905" TargetMode="External"/><Relationship Id="rIdvsonv1yt74mb22hzubxl0" Type="http://schemas.openxmlformats.org/officeDocument/2006/relationships/hyperlink" Target="https://fsc.go.kr/eng/pr010101/80932" TargetMode="External"/><Relationship Id="rId9emaktls2v9ebs1knkjdz" Type="http://schemas.openxmlformats.org/officeDocument/2006/relationships/hyperlink" Target="https://www.xbrl.org/news/south-korea-finalises-issb-aligned-sustainability-disclosure-roadmap/" TargetMode="External"/><Relationship Id="rIdtkxutgxdjkq6znsoacjct" Type="http://schemas.openxmlformats.org/officeDocument/2006/relationships/hyperlink" Target="https://www.esgtoday.com/korea-significantly-expands-mandatory-sustainability-reporting-requirements/" TargetMode="External"/><Relationship Id="rIdmlt__b6ntihj35m5qwflx" Type="http://schemas.openxmlformats.org/officeDocument/2006/relationships/hyperlink" Target="https://www.glasslewis.com/article/k-esg-disclosures-in-south-korea-overview-and-future-outlook" TargetMode="External"/><Relationship Id="rIdynwknsf9_8mnecvxi9jxd" Type="http://schemas.openxmlformats.org/officeDocument/2006/relationships/hyperlink" Target="https://download.asic.gov.au/media/j4rhwyiz/rg280-published-31-march-2025.pdf" TargetMode="External"/><Relationship Id="rIddm53ehrcm4mjur_qcilqo" Type="http://schemas.openxmlformats.org/officeDocument/2006/relationships/hyperlink" Target="https://www.asic.gov.au/regulatory-resources/sustainability-reporting/sustainability-reporting-for-small-business" TargetMode="External"/><Relationship Id="rIdjd0cvbz0duj8cxeh2ac8x" Type="http://schemas.openxmlformats.org/officeDocument/2006/relationships/hyperlink" Target="https://standards.aasb.gov.au/sites/default/files/2024-09/AASBS1_09-24_0.pdf" TargetMode="External"/><Relationship Id="rIdqhpugtyhcbpaap5omblfu" Type="http://schemas.openxmlformats.org/officeDocument/2006/relationships/hyperlink" Target="https://aasb.gov.au/media/xpilzp2e/overviewofasrs_04-25.pdf" TargetMode="External"/><Relationship Id="rIdsre3efefff_-olv0qsegh" Type="http://schemas.openxmlformats.org/officeDocument/2006/relationships/hyperlink" Target="https://aasb.gov.au/media/bitnmupt/ps_climate_10-25.pdf" TargetMode="External"/><Relationship Id="rIdtfmlhtzdi01-_9zr7xsqp" Type="http://schemas.openxmlformats.org/officeDocument/2006/relationships/hyperlink" Target="https://www.asx.com.au/documents/regulation/cgc-principles-and-recommendations-fourth-edn.pdf" TargetMode="External"/><Relationship Id="rIdepe71xubqpuxyplln1hje" Type="http://schemas.openxmlformats.org/officeDocument/2006/relationships/hyperlink" Target="https://www.dentons.com/en/insights/articles/2026/august/27/australia-mandatory-sustainability-reporting-regime" TargetMode="External"/><Relationship Id="rIdhd5id7mwi0gykryjbdwxm" Type="http://schemas.openxmlformats.org/officeDocument/2006/relationships/hyperlink" Target="https://sodali.com/resources/insights/climate-reporting-in-australia-what-the-2026-27-budget-changes-mean-for-your-organization" TargetMode="External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2026-10-21T06:29:36.711Z</dcterms:created>
  <dcterms:modified xsi:type="dcterms:W3CDTF">2026-10-21T06:29:36.711Z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