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sz w:val="36"/>
          <w:szCs w:val="36"/>
        </w:rPr>
        <w:t xml:space="preserve">EMERGING TECHNOLOGIES</w:t>
      </w:r>
    </w:p>
    <w:p>
      <w:pPr>
        <w:spacing w:after="240" w:before="0"/>
        <w:jc w:val="center"/>
      </w:pPr>
      <w:r>
        <w:rPr>
          <w:rFonts w:ascii="Calibri" w:cs="Calibri" w:eastAsia="Calibri" w:hAnsi="Calibri"/>
          <w:b/>
          <w:bCs/>
          <w:sz w:val="28"/>
          <w:szCs w:val="28"/>
        </w:rPr>
        <w:t xml:space="preserve">A Characteristics-Based Approach to Ethical Considerations for Professional Accountants</w:t>
      </w:r>
    </w:p>
    <w:p>
      <w:pPr>
        <w:spacing w:after="120" w:before="0"/>
        <w:jc w:val="center"/>
      </w:pPr>
      <w:r>
        <w:rPr>
          <w:rFonts w:ascii="標楷體" w:cs="標楷體" w:eastAsia="標楷體" w:hAnsi="標楷體"/>
          <w:b/>
          <w:bCs/>
          <w:sz w:val="36"/>
          <w:szCs w:val="36"/>
        </w:rPr>
        <w:t xml:space="preserve">新興科技</w:t>
      </w:r>
    </w:p>
    <w:p>
      <w:pPr>
        <w:spacing w:after="240" w:before="0"/>
        <w:jc w:val="center"/>
      </w:pPr>
      <w:r>
        <w:rPr>
          <w:rFonts w:ascii="標楷體" w:cs="標楷體" w:eastAsia="標楷體" w:hAnsi="標楷體"/>
          <w:b/>
          <w:bCs/>
          <w:sz w:val="28"/>
          <w:szCs w:val="28"/>
        </w:rPr>
        <w:t xml:space="preserve">以特徵為本之專業會計師職業道德考量方法</w:t>
      </w:r>
    </w:p>
    <w:p>
      <w:pPr>
        <w:spacing w:after="100" w:before="0"/>
        <w:jc w:val="center"/>
      </w:pPr>
      <w:r>
        <w:rPr>
          <w:rFonts w:ascii="Calibri" w:cs="Calibri" w:eastAsia="Calibri" w:hAnsi="Calibri"/>
          <w:sz w:val="24"/>
          <w:szCs w:val="24"/>
        </w:rPr>
        <w:t xml:space="preserve">JULY 2026  |  2026年7月</w:t>
      </w:r>
    </w:p>
    <w:p>
      <w:pPr>
        <w:spacing w:after="500" w:before="0"/>
        <w:jc w:val="center"/>
      </w:pPr>
      <w:r>
        <w:rPr>
          <w:rFonts w:ascii="標楷體" w:cs="標楷體" w:eastAsia="標楷體" w:hAnsi="標楷體"/>
          <w:sz w:val="20"/>
          <w:szCs w:val="20"/>
        </w:rPr>
        <w:t xml:space="preserve">國際會計師職業道德準則理事會（IESBA）出版物  |  中英對照譯本（僅供個人研讀使用）</w:t>
      </w:r>
    </w:p>
    <w:p>
      <w:pPr>
        <w:spacing w:after="40" w:before="280"/>
      </w:pPr>
      <w:r>
        <w:rPr>
          <w:rFonts w:ascii="Calibri" w:cs="Calibri" w:eastAsia="Calibri" w:hAnsi="Calibri"/>
          <w:b/>
          <w:bCs/>
          <w:sz w:val="23"/>
          <w:szCs w:val="23"/>
        </w:rPr>
        <w:t xml:space="preserve">About IESBA</w:t>
      </w:r>
    </w:p>
    <w:p>
      <w:pPr>
        <w:spacing w:after="160" w:before="40"/>
      </w:pPr>
      <w:r>
        <w:rPr>
          <w:rFonts w:ascii="標楷體" w:cs="標楷體" w:eastAsia="標楷體" w:hAnsi="標楷體"/>
          <w:b/>
          <w:bCs/>
          <w:sz w:val="23"/>
          <w:szCs w:val="23"/>
        </w:rPr>
        <w:t xml:space="preserve">關於IESBA</w:t>
      </w:r>
    </w:p>
    <w:p>
      <w:pPr>
        <w:spacing w:after="60" w:before="160"/>
        <w:jc w:val="both"/>
      </w:pPr>
      <w:r>
        <w:rPr>
          <w:rFonts w:ascii="Calibri" w:cs="Calibri" w:eastAsia="Calibri" w:hAnsi="Calibri"/>
          <w:b w:val="false"/>
          <w:bCs w:val="false"/>
          <w:i w:val="false"/>
          <w:iCs w:val="false"/>
          <w:sz w:val="22"/>
          <w:szCs w:val="22"/>
        </w:rPr>
        <w:t xml:space="preserve">The International Ethics Standards Board for Accountants® (IESBA®) is an independent global standard-setting board. The IESBA’s mission is to serve the public interest by setting high-quality, international ethics (including independence) standards as a cornerstone to ethical behavior in business and organizations and to public trust in financial and non-financial information that is fundamental to the proper functioning and sustainability of organizations, financial markets and economies worldwide.</w:t>
      </w:r>
    </w:p>
    <w:p>
      <w:pPr>
        <w:spacing w:after="200" w:before="60"/>
        <w:jc w:val="both"/>
      </w:pPr>
      <w:r>
        <w:rPr>
          <w:rFonts w:ascii="標楷體" w:cs="標楷體" w:eastAsia="標楷體" w:hAnsi="標楷體"/>
          <w:b w:val="false"/>
          <w:bCs w:val="false"/>
          <w:sz w:val="22"/>
          <w:szCs w:val="22"/>
        </w:rPr>
        <w:t xml:space="preserve">國際會計師職業道德準則理事會（IESBA）係一獨立之全球準則制定機構。IESBA之使命係透過制定高品質之國際職業道德（含獨立性）準則以服務公共利益，作為企業與組織道德行為之基石，並維繫公眾對財務與非財務資訊之信任；此等信任對全球組織、金融市場及經濟體之正常運作與永續發展至關重要。</w:t>
      </w:r>
    </w:p>
    <w:p>
      <w:pPr>
        <w:spacing w:after="60" w:before="160"/>
        <w:jc w:val="both"/>
      </w:pPr>
      <w:r>
        <w:rPr>
          <w:rFonts w:ascii="Calibri" w:cs="Calibri" w:eastAsia="Calibri" w:hAnsi="Calibri"/>
          <w:b w:val="false"/>
          <w:bCs w:val="false"/>
          <w:i w:val="false"/>
          <w:iCs w:val="false"/>
          <w:sz w:val="22"/>
          <w:szCs w:val="22"/>
        </w:rPr>
        <w:t xml:space="preserve">Along with the International Auditing and Assurance Standards Board® (IAASB®), the IESBA is part of the International Foundation for Ethics and Audit™ (IFEA™). The Public Interest Oversight Board (PIOB) oversees IESBA and IAASB activities and the public interest responsiveness of the standards.</w:t>
      </w:r>
    </w:p>
    <w:p>
      <w:pPr>
        <w:spacing w:after="200" w:before="60"/>
        <w:jc w:val="both"/>
      </w:pPr>
      <w:r>
        <w:rPr>
          <w:rFonts w:ascii="標楷體" w:cs="標楷體" w:eastAsia="標楷體" w:hAnsi="標楷體"/>
          <w:b w:val="false"/>
          <w:bCs w:val="false"/>
          <w:sz w:val="22"/>
          <w:szCs w:val="22"/>
        </w:rPr>
        <w:t xml:space="preserve">IESBA與國際審計及確信準則理事會（IAASB）同屬國際道德與審計基金會（IFEA）。公共利益監督委員會（PIOB）負責監督IESBA與IAASB之活動，以及其準則對公共利益之回應性。</w:t>
      </w:r>
    </w:p>
    <w:p>
      <w:pPr>
        <w:spacing w:after="40" w:before="280"/>
      </w:pPr>
      <w:r>
        <w:rPr>
          <w:rFonts w:ascii="Calibri" w:cs="Calibri" w:eastAsia="Calibri" w:hAnsi="Calibri"/>
          <w:b/>
          <w:bCs/>
          <w:sz w:val="23"/>
          <w:szCs w:val="23"/>
        </w:rPr>
        <w:t xml:space="preserve">About this Publication</w:t>
      </w:r>
    </w:p>
    <w:p>
      <w:pPr>
        <w:spacing w:after="160" w:before="40"/>
      </w:pPr>
      <w:r>
        <w:rPr>
          <w:rFonts w:ascii="標楷體" w:cs="標楷體" w:eastAsia="標楷體" w:hAnsi="標楷體"/>
          <w:b/>
          <w:bCs/>
          <w:sz w:val="23"/>
          <w:szCs w:val="23"/>
        </w:rPr>
        <w:t xml:space="preserve">關於本出版物</w:t>
      </w:r>
    </w:p>
    <w:p>
      <w:pPr>
        <w:spacing w:after="60" w:before="160"/>
        <w:jc w:val="both"/>
      </w:pPr>
      <w:r>
        <w:rPr>
          <w:rFonts w:ascii="Calibri" w:cs="Calibri" w:eastAsia="Calibri" w:hAnsi="Calibri"/>
          <w:b w:val="false"/>
          <w:bCs w:val="false"/>
          <w:i w:val="false"/>
          <w:iCs w:val="false"/>
          <w:sz w:val="22"/>
          <w:szCs w:val="22"/>
        </w:rPr>
        <w:t xml:space="preserve">This publication has been prepared by the Staff of the International Ethics Standards Board for Accountants (IESBA). It highlights a number of important ethics and independence considerations for professional accountants in public practice (PAPPs) and professional accountants in business (PAIBs), under the International Code of Ethics for Professional Accountants (including International Independence Standards) (the Code[1]) as they develop, implement or use emerging technologies. This publication may also be of interest to regulators and audit oversight bodies, jurisdictional standard setters (JSS), professional accountancy organizations (PAOs) and others.</w:t>
      </w:r>
    </w:p>
    <w:p>
      <w:pPr>
        <w:spacing w:after="200" w:before="60"/>
        <w:jc w:val="both"/>
      </w:pPr>
      <w:r>
        <w:rPr>
          <w:rFonts w:ascii="標楷體" w:cs="標楷體" w:eastAsia="標楷體" w:hAnsi="標楷體"/>
          <w:b w:val="false"/>
          <w:bCs w:val="false"/>
          <w:sz w:val="22"/>
          <w:szCs w:val="22"/>
        </w:rPr>
        <w:t xml:space="preserve">本出版物由國際會計師職業道德準則理事會（IESBA）職員編製，重點說明執業之專業會計師（PAPP）及企業任職之專業會計師（PAIB）於開發、導入或使用新興科技時，依《專業會計師職業道德國際守則（含國際獨立性準則）》（下稱「守則」[1]）應注意之若干重要職業道德與獨立性考量。本出版物亦可能對監管機關與審計監理機構、各轄區準則制定機構（JSS）、專業會計師組織（PAO）及其他人士具有參考價值。</w:t>
      </w:r>
    </w:p>
    <w:p>
      <w:pPr>
        <w:spacing w:after="60" w:before="160"/>
        <w:jc w:val="both"/>
      </w:pPr>
      <w:r>
        <w:rPr>
          <w:rFonts w:ascii="Calibri" w:cs="Calibri" w:eastAsia="Calibri" w:hAnsi="Calibri"/>
          <w:b w:val="false"/>
          <w:bCs w:val="false"/>
          <w:i w:val="false"/>
          <w:iCs w:val="false"/>
          <w:sz w:val="22"/>
          <w:szCs w:val="22"/>
        </w:rPr>
        <w:t xml:space="preserve">This publication does not amend or override the Code, the text of which alone is authoritative. Reading this publication is not a substitute for reading the Code. The guidance in the publication is not meant to be exhaustive and reference to the Code should always be made. This publication does not constitute an authoritative or official pronouncement of the IESBA.</w:t>
      </w:r>
    </w:p>
    <w:p>
      <w:pPr>
        <w:spacing w:after="200" w:before="60"/>
        <w:jc w:val="both"/>
      </w:pPr>
      <w:r>
        <w:rPr>
          <w:rFonts w:ascii="標楷體" w:cs="標楷體" w:eastAsia="標楷體" w:hAnsi="標楷體"/>
          <w:b w:val="false"/>
          <w:bCs w:val="false"/>
          <w:sz w:val="22"/>
          <w:szCs w:val="22"/>
        </w:rPr>
        <w:t xml:space="preserve">本出版物不修正亦不凌駕守則，僅守則本文具有權威性。閱讀本出版物不能取代閱讀守則。本出版物之指引並非詳盡無遺，仍應隨時參照守則。本出版物不構成IESBA之權威性或正式公告。</w:t>
      </w:r>
    </w:p>
    <w:p>
      <w:pPr>
        <w:spacing w:after="40" w:before="360"/>
      </w:pPr>
      <w:r>
        <w:rPr>
          <w:rFonts w:ascii="Calibri" w:cs="Calibri" w:eastAsia="Calibri" w:hAnsi="Calibri"/>
          <w:b/>
          <w:bCs/>
          <w:sz w:val="26"/>
          <w:szCs w:val="26"/>
        </w:rPr>
        <w:t xml:space="preserve">A. INTRODUCTION</w:t>
      </w:r>
    </w:p>
    <w:p>
      <w:pPr>
        <w:spacing w:after="200" w:before="40"/>
      </w:pPr>
      <w:r>
        <w:rPr>
          <w:rFonts w:ascii="標楷體" w:cs="標楷體" w:eastAsia="標楷體" w:hAnsi="標楷體"/>
          <w:b/>
          <w:bCs/>
          <w:sz w:val="26"/>
          <w:szCs w:val="26"/>
        </w:rPr>
        <w:t xml:space="preserve">A. 導論</w:t>
      </w:r>
    </w:p>
    <w:p>
      <w:pPr>
        <w:spacing w:after="60" w:before="160"/>
        <w:jc w:val="both"/>
      </w:pPr>
      <w:r>
        <w:rPr>
          <w:rFonts w:ascii="Calibri" w:cs="Calibri" w:eastAsia="Calibri" w:hAnsi="Calibri"/>
          <w:b w:val="false"/>
          <w:bCs w:val="false"/>
          <w:i w:val="false"/>
          <w:iCs w:val="false"/>
          <w:sz w:val="22"/>
          <w:szCs w:val="22"/>
        </w:rPr>
        <w:t xml:space="preserve">1. Technology continues to reshape how organizations operate, deliver value, identify and manage risks. Advances in areas such as artificial intelligence (AI), distributed ledger technologies, and advanced data analytics are accelerating decision-making and transforming traditional workflows.</w:t>
      </w:r>
    </w:p>
    <w:p>
      <w:pPr>
        <w:spacing w:after="200" w:before="60"/>
        <w:jc w:val="both"/>
      </w:pPr>
      <w:r>
        <w:rPr>
          <w:rFonts w:ascii="標楷體" w:cs="標楷體" w:eastAsia="標楷體" w:hAnsi="標楷體"/>
          <w:b w:val="false"/>
          <w:bCs w:val="false"/>
          <w:sz w:val="22"/>
          <w:szCs w:val="22"/>
        </w:rPr>
        <w:t xml:space="preserve">1. 科技持續重塑組織營運、創造價值以及辨識與管理風險之方式。人工智慧（AI）、分散式帳本技術及進階資料分析等領域之進展，正在加速決策並轉變傳統工作流程。</w:t>
      </w:r>
    </w:p>
    <w:p>
      <w:pPr>
        <w:spacing w:after="60" w:before="160"/>
        <w:jc w:val="both"/>
      </w:pPr>
      <w:r>
        <w:rPr>
          <w:rFonts w:ascii="Calibri" w:cs="Calibri" w:eastAsia="Calibri" w:hAnsi="Calibri"/>
          <w:b w:val="false"/>
          <w:bCs w:val="false"/>
          <w:i w:val="false"/>
          <w:iCs w:val="false"/>
          <w:sz w:val="22"/>
          <w:szCs w:val="22"/>
        </w:rPr>
        <w:t xml:space="preserve">2. While rules-based technologies[2] have long been used by professional accountants (PAs), emerging technologies[3] increasingly exhibit characteristics – for instance opacity, non-determinism, perpetual adaptivity, and autonomy – that differ fundamentally from rules-based technologies. Enabled by significant advances in computing power over the last decade, these technologies now operate at a scale and speed that challenge human oversight, requiring PAs to develop a deeper understanding of how such characteristics affect their professional and ethical responsibilities.[4]</w:t>
      </w:r>
    </w:p>
    <w:p>
      <w:pPr>
        <w:spacing w:after="200" w:before="60"/>
        <w:jc w:val="both"/>
      </w:pPr>
      <w:r>
        <w:rPr>
          <w:rFonts w:ascii="標楷體" w:cs="標楷體" w:eastAsia="標楷體" w:hAnsi="標楷體"/>
          <w:b w:val="false"/>
          <w:bCs w:val="false"/>
          <w:sz w:val="22"/>
          <w:szCs w:val="22"/>
        </w:rPr>
        <w:t xml:space="preserve">2. 雖然專業會計師（PA）使用規則式科技[2]已行之有年，惟新興科技[3]日益展現與規則式科技有根本差異之特徵，例如不透明性、非決定性、持續調適性及自主性。受惠於過去十年運算能力之重大進展，此等科技如今係以挑戰人為監督之規模與速度運作，專業會計師須更深入理解此等特徵如何影響其專業與職業道德責任。[4]</w:t>
      </w:r>
    </w:p>
    <w:p>
      <w:pPr>
        <w:spacing w:after="60" w:before="160"/>
        <w:jc w:val="both"/>
      </w:pPr>
      <w:r>
        <w:rPr>
          <w:rFonts w:ascii="Calibri" w:cs="Calibri" w:eastAsia="Calibri" w:hAnsi="Calibri"/>
          <w:b w:val="false"/>
          <w:bCs w:val="false"/>
          <w:i w:val="false"/>
          <w:iCs w:val="false"/>
          <w:sz w:val="22"/>
          <w:szCs w:val="22"/>
        </w:rPr>
        <w:t xml:space="preserve">3. As emerging technologies evolve[5], they introduce not only efficiencies and innovations, but also new challenges related to ethics, governance[6], security, human oversight and accountability. The use of emerging technologies may give rise to circumstances that create or amplify threats[7] to compliance with the fundamental principles[8] of the International Code of Ethics for Professional Accountants (including International Independence Standards) (the Code).</w:t>
      </w:r>
    </w:p>
    <w:p>
      <w:pPr>
        <w:spacing w:after="200" w:before="60"/>
        <w:jc w:val="both"/>
      </w:pPr>
      <w:r>
        <w:rPr>
          <w:rFonts w:ascii="標楷體" w:cs="標楷體" w:eastAsia="標楷體" w:hAnsi="標楷體"/>
          <w:b w:val="false"/>
          <w:bCs w:val="false"/>
          <w:sz w:val="22"/>
          <w:szCs w:val="22"/>
        </w:rPr>
        <w:t xml:space="preserve">3. 隨著新興科技持續演進[5]，其不僅帶來效率與創新，亦衍生職業道德、治理[6]、安全、人為監督與課責等新挑戰。使用新興科技可能產生對遵循《專業會計師職業道德國際守則（含國際獨立性準則）》（守則）基本原則[8]構成或加劇威脅[7]之情況。</w:t>
      </w:r>
    </w:p>
    <w:p>
      <w:pPr>
        <w:spacing w:after="60" w:before="160"/>
        <w:jc w:val="both"/>
      </w:pPr>
      <w:r>
        <w:rPr>
          <w:rFonts w:ascii="Calibri" w:cs="Calibri" w:eastAsia="Calibri" w:hAnsi="Calibri"/>
          <w:b w:val="false"/>
          <w:bCs w:val="false"/>
          <w:i w:val="false"/>
          <w:iCs w:val="false"/>
          <w:sz w:val="22"/>
          <w:szCs w:val="22"/>
        </w:rPr>
        <w:t xml:space="preserve">4. The IESBA’s 2023 Technology-related Revisions[9], which became effective in December 2024, strengthened the Code and expanded its relevance vis-à-vis rapidly advancing technology. This publication highlights key ethical considerations under the Code to assist PAs in complying with the fundamental principles when they use emerging technologies. It is not intended to be a comprehensive analysis of all the ethical issues that might arise in practice.</w:t>
      </w:r>
    </w:p>
    <w:p>
      <w:pPr>
        <w:spacing w:after="200" w:before="60"/>
        <w:jc w:val="both"/>
      </w:pPr>
      <w:r>
        <w:rPr>
          <w:rFonts w:ascii="標楷體" w:cs="標楷體" w:eastAsia="標楷體" w:hAnsi="標楷體"/>
          <w:b w:val="false"/>
          <w:bCs w:val="false"/>
          <w:sz w:val="22"/>
          <w:szCs w:val="22"/>
        </w:rPr>
        <w:t xml:space="preserve">4. IESBA於2023年發布之科技相關修正[9]（2024年12月生效）強化了守則，並擴大其於科技快速發展下之攸關性。本出版物重點說明守則下之主要職業道德考量，以協助專業會計師於使用新興科技時遵循基本原則。本出版物無意就實務上可能發生之所有職業道德議題進行全面分析。</w:t>
      </w:r>
    </w:p>
    <w:p>
      <w:pPr>
        <w:spacing w:after="60" w:before="160"/>
        <w:jc w:val="both"/>
      </w:pPr>
      <w:r>
        <w:rPr>
          <w:rFonts w:ascii="Calibri" w:cs="Calibri" w:eastAsia="Calibri" w:hAnsi="Calibri"/>
          <w:b w:val="false"/>
          <w:bCs w:val="false"/>
          <w:i w:val="false"/>
          <w:iCs w:val="false"/>
          <w:sz w:val="22"/>
          <w:szCs w:val="22"/>
        </w:rPr>
        <w:t xml:space="preserve">5. The publication focuses on how the use of emerging technologies may create or amplify threats to such compliance because of the common characteristics associated with such technologies. This approach recognizes that while emerging technologies evolve rapidly, the characteristics associated with such technologies that are relevant in considering ethical risks remain relatively consistent over time.</w:t>
      </w:r>
    </w:p>
    <w:p>
      <w:pPr>
        <w:spacing w:after="200" w:before="60"/>
        <w:jc w:val="both"/>
      </w:pPr>
      <w:r>
        <w:rPr>
          <w:rFonts w:ascii="標楷體" w:cs="標楷體" w:eastAsia="標楷體" w:hAnsi="標楷體"/>
          <w:b w:val="false"/>
          <w:bCs w:val="false"/>
          <w:sz w:val="22"/>
          <w:szCs w:val="22"/>
        </w:rPr>
        <w:t xml:space="preserve">5. 本出版物聚焦於新興科技之使用如何因該等科技共同具備之特徵，而產生或加劇對遵循基本原則之威脅。此一方法認知到：儘管新興科技快速演變，惟該等科技與考量職業道德風險攸關之特徵，長期而言相對穩定。</w:t>
      </w:r>
    </w:p>
    <w:p>
      <w:pPr>
        <w:spacing w:after="60" w:before="160"/>
        <w:jc w:val="both"/>
      </w:pPr>
      <w:r>
        <w:rPr>
          <w:rFonts w:ascii="Calibri" w:cs="Calibri" w:eastAsia="Calibri" w:hAnsi="Calibri"/>
          <w:b w:val="false"/>
          <w:bCs w:val="false"/>
          <w:i w:val="false"/>
          <w:iCs w:val="false"/>
          <w:sz w:val="22"/>
          <w:szCs w:val="22"/>
        </w:rPr>
        <w:t xml:space="preserve">6. By focusing guidance on these characteristics rather than on specific technologies or situations, the publication is intended to remain durable and have broad applicability in supporting PAs across a wide range of technologies and contexts. The IESBA will complement this publication with subsequent technology-specific guidance.</w:t>
      </w:r>
    </w:p>
    <w:p>
      <w:pPr>
        <w:spacing w:after="200" w:before="60"/>
        <w:jc w:val="both"/>
      </w:pPr>
      <w:r>
        <w:rPr>
          <w:rFonts w:ascii="標楷體" w:cs="標楷體" w:eastAsia="標楷體" w:hAnsi="標楷體"/>
          <w:b w:val="false"/>
          <w:bCs w:val="false"/>
          <w:sz w:val="22"/>
          <w:szCs w:val="22"/>
        </w:rPr>
        <w:t xml:space="preserve">6. 本出版物之指引聚焦於特徵而非特定科技或情境，期能歷久彌新並具廣泛適用性，以支援專業會計師因應各式科技與情境。IESBA後續將以針對特定科技之指引補充本出版物。</w:t>
      </w:r>
    </w:p>
    <w:p>
      <w:pPr>
        <w:spacing w:after="40" w:before="280"/>
      </w:pPr>
      <w:r>
        <w:rPr>
          <w:rFonts w:ascii="Calibri" w:cs="Calibri" w:eastAsia="Calibri" w:hAnsi="Calibri"/>
          <w:b/>
          <w:bCs/>
          <w:sz w:val="23"/>
          <w:szCs w:val="23"/>
        </w:rPr>
        <w:t xml:space="preserve">The Technology-Related Revisions</w:t>
      </w:r>
    </w:p>
    <w:p>
      <w:pPr>
        <w:spacing w:after="160" w:before="40"/>
      </w:pPr>
      <w:r>
        <w:rPr>
          <w:rFonts w:ascii="標楷體" w:cs="標楷體" w:eastAsia="標楷體" w:hAnsi="標楷體"/>
          <w:b/>
          <w:bCs/>
          <w:sz w:val="23"/>
          <w:szCs w:val="23"/>
        </w:rPr>
        <w:t xml:space="preserve">科技相關修正</w:t>
      </w:r>
    </w:p>
    <w:p>
      <w:pPr>
        <w:spacing w:after="40" w:before="80"/>
        <w:ind w:left="480"/>
        <w:jc w:val="both"/>
      </w:pPr>
      <w:r>
        <w:rPr>
          <w:rFonts w:ascii="Calibri" w:cs="Calibri" w:eastAsia="Calibri" w:hAnsi="Calibri"/>
          <w:b w:val="false"/>
          <w:bCs w:val="false"/>
          <w:i w:val="false"/>
          <w:iCs w:val="false"/>
          <w:sz w:val="22"/>
          <w:szCs w:val="22"/>
        </w:rPr>
        <w:t xml:space="preserve">• Strengthened the Code in guiding the mindset and behavior of PAs when they use technology.</w:t>
      </w:r>
    </w:p>
    <w:p>
      <w:pPr>
        <w:spacing w:after="120" w:before="40"/>
        <w:ind w:left="480"/>
        <w:jc w:val="both"/>
      </w:pPr>
      <w:r>
        <w:rPr>
          <w:rFonts w:ascii="標楷體" w:cs="標楷體" w:eastAsia="標楷體" w:hAnsi="標楷體"/>
          <w:b w:val="false"/>
          <w:bCs w:val="false"/>
          <w:sz w:val="22"/>
          <w:szCs w:val="22"/>
        </w:rPr>
        <w:t xml:space="preserve">• 強化守則對專業會計師使用科技時之心態與行為之指引。</w:t>
      </w:r>
    </w:p>
    <w:p>
      <w:pPr>
        <w:spacing w:after="40" w:before="80"/>
        <w:ind w:left="480"/>
        <w:jc w:val="both"/>
      </w:pPr>
      <w:r>
        <w:rPr>
          <w:rFonts w:ascii="Calibri" w:cs="Calibri" w:eastAsia="Calibri" w:hAnsi="Calibri"/>
          <w:b w:val="false"/>
          <w:bCs w:val="false"/>
          <w:i w:val="false"/>
          <w:iCs w:val="false"/>
          <w:sz w:val="22"/>
          <w:szCs w:val="22"/>
        </w:rPr>
        <w:t xml:space="preserve">• Introduced enhanced provisions fit for the digital age in relation to the fundamental principles of confidentiality, and professional competence and due care, as well as in dealing with circumstances of complexity.</w:t>
      </w:r>
    </w:p>
    <w:p>
      <w:pPr>
        <w:spacing w:after="120" w:before="40"/>
        <w:ind w:left="480"/>
        <w:jc w:val="both"/>
      </w:pPr>
      <w:r>
        <w:rPr>
          <w:rFonts w:ascii="標楷體" w:cs="標楷體" w:eastAsia="標楷體" w:hAnsi="標楷體"/>
          <w:b w:val="false"/>
          <w:bCs w:val="false"/>
          <w:sz w:val="22"/>
          <w:szCs w:val="22"/>
        </w:rPr>
        <w:t xml:space="preserve">• 就保密以及專業能力及應有之注意等基本原則，以及因應複雜情況，引進符合數位時代之強化規定。</w:t>
      </w:r>
    </w:p>
    <w:p>
      <w:pPr>
        <w:spacing w:after="40" w:before="80"/>
        <w:ind w:left="480"/>
        <w:jc w:val="both"/>
      </w:pPr>
      <w:r>
        <w:rPr>
          <w:rFonts w:ascii="Calibri" w:cs="Calibri" w:eastAsia="Calibri" w:hAnsi="Calibri"/>
          <w:b w:val="false"/>
          <w:bCs w:val="false"/>
          <w:i w:val="false"/>
          <w:iCs w:val="false"/>
          <w:sz w:val="22"/>
          <w:szCs w:val="22"/>
        </w:rPr>
        <w:t xml:space="preserve">• Strengthened and clarified the International Independence Standards by addressing the circumstances in which firms and network firms may or may not provide a technology-related non-assurance service to an audit or assurance client.</w:t>
      </w:r>
    </w:p>
    <w:p>
      <w:pPr>
        <w:spacing w:after="120" w:before="40"/>
        <w:ind w:left="480"/>
        <w:jc w:val="both"/>
      </w:pPr>
      <w:r>
        <w:rPr>
          <w:rFonts w:ascii="標楷體" w:cs="標楷體" w:eastAsia="標楷體" w:hAnsi="標楷體"/>
          <w:b w:val="false"/>
          <w:bCs w:val="false"/>
          <w:sz w:val="22"/>
          <w:szCs w:val="22"/>
        </w:rPr>
        <w:t xml:space="preserve">• 強化並釐清國際獨立性準則，明定會計師事務所及其聯盟事務所得否對查核或確信客戶提供科技相關非確信服務之情況。</w:t>
      </w:r>
    </w:p>
    <w:p>
      <w:pPr>
        <w:spacing w:after="60" w:before="160"/>
        <w:jc w:val="both"/>
      </w:pPr>
      <w:r>
        <w:rPr>
          <w:rFonts w:ascii="Calibri" w:cs="Calibri" w:eastAsia="Calibri" w:hAnsi="Calibri"/>
          <w:b w:val="false"/>
          <w:bCs w:val="false"/>
          <w:i w:val="false"/>
          <w:iCs w:val="false"/>
          <w:sz w:val="22"/>
          <w:szCs w:val="22"/>
        </w:rPr>
        <w:t xml:space="preserve">The technology-specific guidance to be developed by the IAASB may also be of relevance, owing to the complementary and mutually reinforcing nature of ethical and independence considerations under the IESBA Code and quality management considerations under the IAASB’s QM standards.[10]</w:t>
      </w:r>
    </w:p>
    <w:p>
      <w:pPr>
        <w:spacing w:after="200" w:before="60"/>
        <w:jc w:val="both"/>
      </w:pPr>
      <w:r>
        <w:rPr>
          <w:rFonts w:ascii="標楷體" w:cs="標楷體" w:eastAsia="標楷體" w:hAnsi="標楷體"/>
          <w:b w:val="false"/>
          <w:bCs w:val="false"/>
          <w:sz w:val="22"/>
          <w:szCs w:val="22"/>
        </w:rPr>
        <w:t xml:space="preserve">由於IESBA守則下之職業道德與獨立性考量，與IAASB品質管理準則下之品質管理考量具互補且相輔相成之性質，IAASB將制定之特定科技指引亦可能具參考價值。[10]</w:t>
      </w:r>
    </w:p>
    <w:p>
      <w:pPr>
        <w:spacing w:after="40" w:before="360"/>
      </w:pPr>
      <w:r>
        <w:rPr>
          <w:rFonts w:ascii="Calibri" w:cs="Calibri" w:eastAsia="Calibri" w:hAnsi="Calibri"/>
          <w:b/>
          <w:bCs/>
          <w:sz w:val="26"/>
          <w:szCs w:val="26"/>
        </w:rPr>
        <w:t xml:space="preserve">B. CHARACTERISTICS ASSOCIATED WITH EMERGING TECHNOLOGIES</w:t>
      </w:r>
    </w:p>
    <w:p>
      <w:pPr>
        <w:spacing w:after="200" w:before="40"/>
      </w:pPr>
      <w:r>
        <w:rPr>
          <w:rFonts w:ascii="標楷體" w:cs="標楷體" w:eastAsia="標楷體" w:hAnsi="標楷體"/>
          <w:b/>
          <w:bCs/>
          <w:sz w:val="26"/>
          <w:szCs w:val="26"/>
        </w:rPr>
        <w:t xml:space="preserve">B. 新興科技相關特徵</w:t>
      </w:r>
    </w:p>
    <w:p>
      <w:pPr>
        <w:spacing w:after="60" w:before="160"/>
        <w:jc w:val="both"/>
      </w:pPr>
      <w:r>
        <w:rPr>
          <w:rFonts w:ascii="Calibri" w:cs="Calibri" w:eastAsia="Calibri" w:hAnsi="Calibri"/>
          <w:b w:val="false"/>
          <w:bCs w:val="false"/>
          <w:i w:val="false"/>
          <w:iCs w:val="false"/>
          <w:sz w:val="22"/>
          <w:szCs w:val="22"/>
        </w:rPr>
        <w:t xml:space="preserve">7. In the last decade, significant advances in computing power have enabled technologies to be deployed at scale and speed, and expanded the range and capabilities of tools available to PAs. However, these advances have also fundamentally altered the risk profile of such technologies, whose characteristics present new challenges for compliance with the fundamental principles of the Code.</w:t>
      </w:r>
    </w:p>
    <w:p>
      <w:pPr>
        <w:spacing w:after="200" w:before="60"/>
        <w:jc w:val="both"/>
      </w:pPr>
      <w:r>
        <w:rPr>
          <w:rFonts w:ascii="標楷體" w:cs="標楷體" w:eastAsia="標楷體" w:hAnsi="標楷體"/>
          <w:b w:val="false"/>
          <w:bCs w:val="false"/>
          <w:sz w:val="22"/>
          <w:szCs w:val="22"/>
        </w:rPr>
        <w:t xml:space="preserve">7. 過去十年，運算能力之重大進展使科技得以大規模、高速部署，並擴展專業會計師可用工具之範圍與能力。然而，此等進展亦從根本上改變該等科技之風險輪廓，其特徵對遵循守則基本原則帶來新挑戰。</w:t>
      </w:r>
    </w:p>
    <w:p>
      <w:pPr>
        <w:spacing w:after="60" w:before="160"/>
        <w:jc w:val="both"/>
      </w:pPr>
      <w:r>
        <w:rPr>
          <w:rFonts w:ascii="Calibri" w:cs="Calibri" w:eastAsia="Calibri" w:hAnsi="Calibri"/>
          <w:b w:val="false"/>
          <w:bCs w:val="false"/>
          <w:i w:val="false"/>
          <w:iCs w:val="false"/>
          <w:sz w:val="22"/>
          <w:szCs w:val="22"/>
        </w:rPr>
        <w:t xml:space="preserve">8. Emerging technologies may exhibit certain specific characteristics, including:[11]</w:t>
      </w:r>
    </w:p>
    <w:p>
      <w:pPr>
        <w:spacing w:after="200" w:before="60"/>
        <w:jc w:val="both"/>
      </w:pPr>
      <w:r>
        <w:rPr>
          <w:rFonts w:ascii="標楷體" w:cs="標楷體" w:eastAsia="標楷體" w:hAnsi="標楷體"/>
          <w:b w:val="false"/>
          <w:bCs w:val="false"/>
          <w:sz w:val="22"/>
          <w:szCs w:val="22"/>
        </w:rPr>
        <w:t xml:space="preserve">8. 新興科技可能展現若干特定特徵，包括：[11]</w:t>
      </w:r>
    </w:p>
    <w:p>
      <w:pPr>
        <w:spacing w:after="40" w:before="80"/>
        <w:ind w:left="480"/>
        <w:jc w:val="both"/>
      </w:pPr>
      <w:r>
        <w:rPr>
          <w:rFonts w:ascii="Calibri" w:cs="Calibri" w:eastAsia="Calibri" w:hAnsi="Calibri"/>
          <w:b w:val="false"/>
          <w:bCs w:val="false"/>
          <w:i w:val="false"/>
          <w:iCs w:val="false"/>
          <w:sz w:val="22"/>
          <w:szCs w:val="22"/>
        </w:rPr>
        <w:t xml:space="preserve">• Opacity, which may limit transparency and explainability, making it more difficult to identify biases, errors, or inappropriate assumptions embedded within the system (“black-box” behavior).</w:t>
      </w:r>
    </w:p>
    <w:p>
      <w:pPr>
        <w:spacing w:after="120" w:before="40"/>
        <w:ind w:left="480"/>
        <w:jc w:val="both"/>
      </w:pPr>
      <w:r>
        <w:rPr>
          <w:rFonts w:ascii="標楷體" w:cs="標楷體" w:eastAsia="標楷體" w:hAnsi="標楷體"/>
          <w:b w:val="false"/>
          <w:bCs w:val="false"/>
          <w:sz w:val="22"/>
          <w:szCs w:val="22"/>
        </w:rPr>
        <w:t xml:space="preserve">• 不透明性：可能限制透明度與可解釋性，使系統內含之偏誤、錯誤或不當假設更難辨識（「黑箱」行為）。</w:t>
      </w:r>
    </w:p>
    <w:p>
      <w:pPr>
        <w:spacing w:after="40" w:before="80"/>
        <w:ind w:left="480"/>
        <w:jc w:val="both"/>
      </w:pPr>
      <w:r>
        <w:rPr>
          <w:rFonts w:ascii="Calibri" w:cs="Calibri" w:eastAsia="Calibri" w:hAnsi="Calibri"/>
          <w:b w:val="false"/>
          <w:bCs w:val="false"/>
          <w:i w:val="false"/>
          <w:iCs w:val="false"/>
          <w:sz w:val="22"/>
          <w:szCs w:val="22"/>
        </w:rPr>
        <w:t xml:space="preserve">• Non-determinism, where similar or identical inputs may produce different results.</w:t>
      </w:r>
    </w:p>
    <w:p>
      <w:pPr>
        <w:spacing w:after="120" w:before="40"/>
        <w:ind w:left="480"/>
        <w:jc w:val="both"/>
      </w:pPr>
      <w:r>
        <w:rPr>
          <w:rFonts w:ascii="標楷體" w:cs="標楷體" w:eastAsia="標楷體" w:hAnsi="標楷體"/>
          <w:b w:val="false"/>
          <w:bCs w:val="false"/>
          <w:sz w:val="22"/>
          <w:szCs w:val="22"/>
        </w:rPr>
        <w:t xml:space="preserve">• 非決定性：相似或相同之輸入可能產生不同結果。</w:t>
      </w:r>
    </w:p>
    <w:p>
      <w:pPr>
        <w:spacing w:after="40" w:before="80"/>
        <w:ind w:left="480"/>
        <w:jc w:val="both"/>
      </w:pPr>
      <w:r>
        <w:rPr>
          <w:rFonts w:ascii="Calibri" w:cs="Calibri" w:eastAsia="Calibri" w:hAnsi="Calibri"/>
          <w:b w:val="false"/>
          <w:bCs w:val="false"/>
          <w:i w:val="false"/>
          <w:iCs w:val="false"/>
          <w:sz w:val="22"/>
          <w:szCs w:val="22"/>
        </w:rPr>
        <w:t xml:space="preserve">• Dependence on data, the quality, completeness and relevance of which directly influence outcomes.</w:t>
      </w:r>
    </w:p>
    <w:p>
      <w:pPr>
        <w:spacing w:after="120" w:before="40"/>
        <w:ind w:left="480"/>
        <w:jc w:val="both"/>
      </w:pPr>
      <w:r>
        <w:rPr>
          <w:rFonts w:ascii="標楷體" w:cs="標楷體" w:eastAsia="標楷體" w:hAnsi="標楷體"/>
          <w:b w:val="false"/>
          <w:bCs w:val="false"/>
          <w:sz w:val="22"/>
          <w:szCs w:val="22"/>
        </w:rPr>
        <w:t xml:space="preserve">• 資料依賴性：資料之品質、完整性與攸關性直接影響產出結果。</w:t>
      </w:r>
    </w:p>
    <w:p>
      <w:pPr>
        <w:spacing w:after="40" w:before="80"/>
        <w:ind w:left="480"/>
        <w:jc w:val="both"/>
      </w:pPr>
      <w:r>
        <w:rPr>
          <w:rFonts w:ascii="Calibri" w:cs="Calibri" w:eastAsia="Calibri" w:hAnsi="Calibri"/>
          <w:b w:val="false"/>
          <w:bCs w:val="false"/>
          <w:i w:val="false"/>
          <w:iCs w:val="false"/>
          <w:sz w:val="22"/>
          <w:szCs w:val="22"/>
        </w:rPr>
        <w:t xml:space="preserve">• Perpetual adaptivity, which enables systems to modify their behavior or outputs in response to inputs, interactions, feedback, or changing conditions.</w:t>
      </w:r>
    </w:p>
    <w:p>
      <w:pPr>
        <w:spacing w:after="120" w:before="40"/>
        <w:ind w:left="480"/>
        <w:jc w:val="both"/>
      </w:pPr>
      <w:r>
        <w:rPr>
          <w:rFonts w:ascii="標楷體" w:cs="標楷體" w:eastAsia="標楷體" w:hAnsi="標楷體"/>
          <w:b w:val="false"/>
          <w:bCs w:val="false"/>
          <w:sz w:val="22"/>
          <w:szCs w:val="22"/>
        </w:rPr>
        <w:t xml:space="preserve">• 持續調適性：使系統得以因應輸入、互動、回饋或環境變化而改變其行為或產出。</w:t>
      </w:r>
    </w:p>
    <w:p>
      <w:pPr>
        <w:spacing w:after="40" w:before="80"/>
        <w:ind w:left="480"/>
        <w:jc w:val="both"/>
      </w:pPr>
      <w:r>
        <w:rPr>
          <w:rFonts w:ascii="Calibri" w:cs="Calibri" w:eastAsia="Calibri" w:hAnsi="Calibri"/>
          <w:b w:val="false"/>
          <w:bCs w:val="false"/>
          <w:i w:val="false"/>
          <w:iCs w:val="false"/>
          <w:sz w:val="22"/>
          <w:szCs w:val="22"/>
        </w:rPr>
        <w:t xml:space="preserve">• Autonomy, which enables systems to perform functions or make decisions with limited human intervention and oversight.</w:t>
      </w:r>
    </w:p>
    <w:p>
      <w:pPr>
        <w:spacing w:after="120" w:before="40"/>
        <w:ind w:left="480"/>
        <w:jc w:val="both"/>
      </w:pPr>
      <w:r>
        <w:rPr>
          <w:rFonts w:ascii="標楷體" w:cs="標楷體" w:eastAsia="標楷體" w:hAnsi="標楷體"/>
          <w:b w:val="false"/>
          <w:bCs w:val="false"/>
          <w:sz w:val="22"/>
          <w:szCs w:val="22"/>
        </w:rPr>
        <w:t xml:space="preserve">• 自主性：使系統得以在有限之人為介入與監督下執行功能或作成決策。</w:t>
      </w:r>
    </w:p>
    <w:p>
      <w:pPr>
        <w:spacing w:after="40" w:before="80"/>
        <w:ind w:left="480"/>
        <w:jc w:val="both"/>
      </w:pPr>
      <w:r>
        <w:rPr>
          <w:rFonts w:ascii="Calibri" w:cs="Calibri" w:eastAsia="Calibri" w:hAnsi="Calibri"/>
          <w:b w:val="false"/>
          <w:bCs w:val="false"/>
          <w:i w:val="false"/>
          <w:iCs w:val="false"/>
          <w:sz w:val="22"/>
          <w:szCs w:val="22"/>
        </w:rPr>
        <w:t xml:space="preserve">• Scalability, where the ability to maintain or improve performance across larger volumes of data or tasks, may amplify existing biases and errors.</w:t>
      </w:r>
    </w:p>
    <w:p>
      <w:pPr>
        <w:spacing w:after="120" w:before="40"/>
        <w:ind w:left="480"/>
        <w:jc w:val="both"/>
      </w:pPr>
      <w:r>
        <w:rPr>
          <w:rFonts w:ascii="標楷體" w:cs="標楷體" w:eastAsia="標楷體" w:hAnsi="標楷體"/>
          <w:b w:val="false"/>
          <w:bCs w:val="false"/>
          <w:sz w:val="22"/>
          <w:szCs w:val="22"/>
        </w:rPr>
        <w:t xml:space="preserve">• 可擴展性：於更大量資料或任務中維持或提升效能之能力，可能放大既有之偏誤與錯誤。</w:t>
      </w:r>
    </w:p>
    <w:p>
      <w:pPr>
        <w:spacing w:after="40" w:before="80"/>
        <w:ind w:left="480"/>
        <w:jc w:val="both"/>
      </w:pPr>
      <w:r>
        <w:rPr>
          <w:rFonts w:ascii="Calibri" w:cs="Calibri" w:eastAsia="Calibri" w:hAnsi="Calibri"/>
          <w:b w:val="false"/>
          <w:bCs w:val="false"/>
          <w:i w:val="false"/>
          <w:iCs w:val="false"/>
          <w:sz w:val="22"/>
          <w:szCs w:val="22"/>
        </w:rPr>
        <w:t xml:space="preserve">• Speed, where the ability to process information, perform tasks or generate outputs within a short timeframe increases the scale and impact of benefits or errors, potentially outpacing effective human oversight.</w:t>
      </w:r>
    </w:p>
    <w:p>
      <w:pPr>
        <w:spacing w:after="120" w:before="40"/>
        <w:ind w:left="480"/>
        <w:jc w:val="both"/>
      </w:pPr>
      <w:r>
        <w:rPr>
          <w:rFonts w:ascii="標楷體" w:cs="標楷體" w:eastAsia="標楷體" w:hAnsi="標楷體"/>
          <w:b w:val="false"/>
          <w:bCs w:val="false"/>
          <w:sz w:val="22"/>
          <w:szCs w:val="22"/>
        </w:rPr>
        <w:t xml:space="preserve">• 速度：於短時間內處理資訊、執行任務或產生產出之能力，將擴大效益或錯誤之規模與影響，可能超出有效人為監督所能及之範圍。</w:t>
      </w:r>
    </w:p>
    <w:p>
      <w:pPr>
        <w:spacing w:after="60" w:before="160"/>
        <w:jc w:val="both"/>
      </w:pPr>
      <w:r>
        <w:rPr>
          <w:rFonts w:ascii="Calibri" w:cs="Calibri" w:eastAsia="Calibri" w:hAnsi="Calibri"/>
          <w:b w:val="false"/>
          <w:bCs w:val="false"/>
          <w:i w:val="false"/>
          <w:iCs w:val="false"/>
          <w:sz w:val="22"/>
          <w:szCs w:val="22"/>
        </w:rPr>
        <w:t xml:space="preserve">9. Appendix 1 maps select technologies against characteristics relevant to considering potential circumstances that create or amplify threats to compliance with the fundamental principles.</w:t>
      </w:r>
    </w:p>
    <w:p>
      <w:pPr>
        <w:spacing w:after="200" w:before="60"/>
        <w:jc w:val="both"/>
      </w:pPr>
      <w:r>
        <w:rPr>
          <w:rFonts w:ascii="標楷體" w:cs="標楷體" w:eastAsia="標楷體" w:hAnsi="標楷體"/>
          <w:b w:val="false"/>
          <w:bCs w:val="false"/>
          <w:sz w:val="22"/>
          <w:szCs w:val="22"/>
        </w:rPr>
        <w:t xml:space="preserve">9. 附錄一將部分科技與各項特徵進行對照，以利考量可能產生或加劇對遵循基本原則之威脅之情況。</w:t>
      </w:r>
    </w:p>
    <w:p>
      <w:pPr>
        <w:spacing w:after="40" w:before="280"/>
      </w:pPr>
      <w:r>
        <w:rPr>
          <w:rFonts w:ascii="Calibri" w:cs="Calibri" w:eastAsia="Calibri" w:hAnsi="Calibri"/>
          <w:b/>
          <w:bCs/>
          <w:sz w:val="23"/>
          <w:szCs w:val="23"/>
        </w:rPr>
        <w:t xml:space="preserve">The Five Fundamental Principles</w:t>
      </w:r>
    </w:p>
    <w:p>
      <w:pPr>
        <w:spacing w:after="160" w:before="40"/>
      </w:pPr>
      <w:r>
        <w:rPr>
          <w:rFonts w:ascii="標楷體" w:cs="標楷體" w:eastAsia="標楷體" w:hAnsi="標楷體"/>
          <w:b/>
          <w:bCs/>
          <w:sz w:val="23"/>
          <w:szCs w:val="23"/>
        </w:rPr>
        <w:t xml:space="preserve">五項基本原則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8EEF7" w:val="clear"/>
            <w:tcMar>
              <w:top w:type="dxa" w:w="60"/>
              <w:left w:type="dxa" w:w="100"/>
              <w:bottom w:type="dxa" w:w="60"/>
              <w:right w:type="dxa" w:w="100"/>
            </w:tcMar>
            <w:vAlign w:val="center"/>
          </w:tcPr>
          <w:p>
            <w:pPr>
              <w:spacing w:after="20" w:before="40"/>
            </w:pPr>
            <w:r>
              <w:rPr>
                <w:rFonts w:ascii="Calibri" w:cs="Calibri" w:eastAsia="Calibri" w:hAnsi="Calibri"/>
                <w:b/>
                <w:bCs/>
                <w:sz w:val="18"/>
                <w:szCs w:val="18"/>
              </w:rPr>
              <w:t xml:space="preserve">Technology Characteristic</w:t>
            </w:r>
          </w:p>
          <w:p>
            <w:pPr>
              <w:spacing w:after="40" w:before="20"/>
            </w:pPr>
            <w:r>
              <w:rPr>
                <w:rFonts w:ascii="標楷體" w:cs="標楷體" w:eastAsia="標楷體" w:hAnsi="標楷體"/>
                <w:b/>
                <w:bCs/>
                <w:sz w:val="18"/>
                <w:szCs w:val="18"/>
              </w:rPr>
              <w:t xml:space="preserve">科技特徵</w:t>
            </w:r>
          </w:p>
        </w:tc>
        <w:tc>
          <w:tcPr>
            <w:shd w:fill="E8EEF7" w:val="clear"/>
            <w:tcMar>
              <w:top w:type="dxa" w:w="60"/>
              <w:left w:type="dxa" w:w="100"/>
              <w:bottom w:type="dxa" w:w="60"/>
              <w:right w:type="dxa" w:w="100"/>
            </w:tcMar>
            <w:vAlign w:val="center"/>
          </w:tcPr>
          <w:p>
            <w:pPr>
              <w:spacing w:after="20" w:before="40"/>
            </w:pPr>
            <w:r>
              <w:rPr>
                <w:rFonts w:ascii="Calibri" w:cs="Calibri" w:eastAsia="Calibri" w:hAnsi="Calibri"/>
                <w:b/>
                <w:bCs/>
                <w:sz w:val="18"/>
                <w:szCs w:val="18"/>
              </w:rPr>
              <w:t xml:space="preserve">Potential circumstances creating or amplifying threats</w:t>
            </w:r>
          </w:p>
          <w:p>
            <w:pPr>
              <w:spacing w:after="40" w:before="20"/>
            </w:pPr>
            <w:r>
              <w:rPr>
                <w:rFonts w:ascii="標楷體" w:cs="標楷體" w:eastAsia="標楷體" w:hAnsi="標楷體"/>
                <w:b/>
                <w:bCs/>
                <w:sz w:val="18"/>
                <w:szCs w:val="18"/>
              </w:rPr>
              <w:t xml:space="preserve">可能產生或加劇威脅之情況</w:t>
            </w:r>
          </w:p>
        </w:tc>
        <w:tc>
          <w:tcPr>
            <w:shd w:fill="E8EEF7" w:val="clear"/>
            <w:tcMar>
              <w:top w:type="dxa" w:w="60"/>
              <w:left w:type="dxa" w:w="100"/>
              <w:bottom w:type="dxa" w:w="60"/>
              <w:right w:type="dxa" w:w="100"/>
            </w:tcMar>
            <w:vAlign w:val="center"/>
          </w:tcPr>
          <w:p>
            <w:pPr>
              <w:spacing w:after="20" w:before="40"/>
            </w:pPr>
            <w:r>
              <w:rPr>
                <w:rFonts w:ascii="Calibri" w:cs="Calibri" w:eastAsia="Calibri" w:hAnsi="Calibri"/>
                <w:b/>
                <w:bCs/>
                <w:sz w:val="18"/>
                <w:szCs w:val="18"/>
              </w:rPr>
              <w:t xml:space="preserve">Types of Threat</w:t>
            </w:r>
          </w:p>
          <w:p>
            <w:pPr>
              <w:spacing w:after="40" w:before="20"/>
            </w:pPr>
            <w:r>
              <w:rPr>
                <w:rFonts w:ascii="標楷體" w:cs="標楷體" w:eastAsia="標楷體" w:hAnsi="標楷體"/>
                <w:b/>
                <w:bCs/>
                <w:sz w:val="18"/>
                <w:szCs w:val="18"/>
              </w:rPr>
              <w:t xml:space="preserve">威脅類型</w:t>
            </w:r>
          </w:p>
        </w:tc>
      </w:tr>
      <w:tr>
        <w:tc>
          <w:tcPr>
            <w:tcMar>
              <w:top w:type="dxa" w:w="60"/>
              <w:left w:type="dxa" w:w="100"/>
              <w:bottom w:type="dxa" w:w="60"/>
              <w:right w:type="dxa" w:w="100"/>
            </w:tcMar>
            <w:vAlign w:val="center"/>
          </w:tcPr>
          <w:p>
            <w:pPr>
              <w:spacing w:after="20" w:before="40"/>
            </w:pPr>
            <w:r>
              <w:rPr>
                <w:rFonts w:ascii="Calibri" w:cs="Calibri" w:eastAsia="Calibri" w:hAnsi="Calibri"/>
                <w:b w:val="false"/>
                <w:bCs w:val="false"/>
                <w:sz w:val="18"/>
                <w:szCs w:val="18"/>
              </w:rPr>
              <w:t xml:space="preserve">• Opacity  • Non-deterministic  • Data dependence  • Perpetual adaptivity  • Autonomy  • Scalability  • Speed</w:t>
            </w:r>
          </w:p>
          <w:p>
            <w:pPr>
              <w:spacing w:after="40" w:before="20"/>
            </w:pPr>
            <w:r>
              <w:rPr>
                <w:rFonts w:ascii="標楷體" w:cs="標楷體" w:eastAsia="標楷體" w:hAnsi="標楷體"/>
                <w:b w:val="false"/>
                <w:bCs w:val="false"/>
                <w:sz w:val="18"/>
                <w:szCs w:val="18"/>
              </w:rPr>
              <w:t xml:space="preserve">• 不透明性 • 非決定性 • 資料依賴性 • 持續調適性 • 自主性 • 可擴展性 • 速度</w:t>
            </w:r>
          </w:p>
        </w:tc>
        <w:tc>
          <w:tcPr>
            <w:tcMar>
              <w:top w:type="dxa" w:w="60"/>
              <w:left w:type="dxa" w:w="100"/>
              <w:bottom w:type="dxa" w:w="60"/>
              <w:right w:type="dxa" w:w="100"/>
            </w:tcMar>
            <w:vAlign w:val="center"/>
          </w:tcPr>
          <w:p>
            <w:pPr>
              <w:spacing w:after="20" w:before="40"/>
            </w:pPr>
            <w:r>
              <w:rPr>
                <w:rFonts w:ascii="Calibri" w:cs="Calibri" w:eastAsia="Calibri" w:hAnsi="Calibri"/>
                <w:b w:val="false"/>
                <w:bCs w:val="false"/>
                <w:sz w:val="18"/>
                <w:szCs w:val="18"/>
              </w:rPr>
              <w:t xml:space="preserve">• Overreliance on technology and/or outputs  • Limited explainability  • Bias  • Reduced or limited human oversight  • Privacy and security risks  • Accountability gaps  • Amplified errors at scale  • Third-party reliance  • Lack of effective governance controls</w:t>
            </w:r>
          </w:p>
          <w:p>
            <w:pPr>
              <w:spacing w:after="40" w:before="20"/>
            </w:pPr>
            <w:r>
              <w:rPr>
                <w:rFonts w:ascii="標楷體" w:cs="標楷體" w:eastAsia="標楷體" w:hAnsi="標楷體"/>
                <w:b w:val="false"/>
                <w:bCs w:val="false"/>
                <w:sz w:val="18"/>
                <w:szCs w:val="18"/>
              </w:rPr>
              <w:t xml:space="preserve">• 過度依賴科技及／或其產出 • 可解釋性受限 • 偏誤 • 人為監督減少或受限 • 隱私與安全風險 • 課責落差 • 錯誤大規模放大 • 依賴第三方 • 缺乏有效治理控制</w:t>
            </w:r>
          </w:p>
        </w:tc>
        <w:tc>
          <w:tcPr>
            <w:tcMar>
              <w:top w:type="dxa" w:w="60"/>
              <w:left w:type="dxa" w:w="100"/>
              <w:bottom w:type="dxa" w:w="60"/>
              <w:right w:type="dxa" w:w="100"/>
            </w:tcMar>
            <w:vAlign w:val="center"/>
          </w:tcPr>
          <w:p>
            <w:pPr>
              <w:spacing w:after="20" w:before="40"/>
            </w:pPr>
            <w:r>
              <w:rPr>
                <w:rFonts w:ascii="Calibri" w:cs="Calibri" w:eastAsia="Calibri" w:hAnsi="Calibri"/>
                <w:b w:val="false"/>
                <w:bCs w:val="false"/>
                <w:sz w:val="18"/>
                <w:szCs w:val="18"/>
              </w:rPr>
              <w:t xml:space="preserve">• Self-review  • Self-interest  • Intimidation  • Familiarity  • Advocacy</w:t>
            </w:r>
          </w:p>
          <w:p>
            <w:pPr>
              <w:spacing w:after="40" w:before="20"/>
            </w:pPr>
            <w:r>
              <w:rPr>
                <w:rFonts w:ascii="標楷體" w:cs="標楷體" w:eastAsia="標楷體" w:hAnsi="標楷體"/>
                <w:b w:val="false"/>
                <w:bCs w:val="false"/>
                <w:sz w:val="18"/>
                <w:szCs w:val="18"/>
              </w:rPr>
              <w:t xml:space="preserve">• 自我評估 • 自我利益 • 脅迫 • 熟悉 • 辯護</w:t>
            </w:r>
          </w:p>
        </w:tc>
      </w:tr>
      <w:tr>
        <w:tc>
          <w:tcPr>
            <w:tcMar>
              <w:top w:type="dxa" w:w="60"/>
              <w:left w:type="dxa" w:w="100"/>
              <w:bottom w:type="dxa" w:w="60"/>
              <w:right w:type="dxa" w:w="100"/>
            </w:tcMar>
            <w:vAlign w:val="center"/>
          </w:tcPr>
          <w:p>
            <w:pPr>
              <w:spacing w:after="20" w:before="40"/>
            </w:pPr>
            <w:r>
              <w:rPr>
                <w:rFonts w:ascii="Calibri" w:cs="Calibri" w:eastAsia="Calibri" w:hAnsi="Calibri"/>
                <w:b/>
                <w:bCs/>
                <w:sz w:val="18"/>
                <w:szCs w:val="18"/>
              </w:rPr>
              <w:t xml:space="preserve">Integrity · Objectivity · Professional Competence &amp; Due Care · Confidentiality · Professional Behavior</w:t>
            </w:r>
          </w:p>
          <w:p>
            <w:pPr>
              <w:spacing w:after="40" w:before="20"/>
            </w:pPr>
            <w:r>
              <w:rPr>
                <w:rFonts w:ascii="標楷體" w:cs="標楷體" w:eastAsia="標楷體" w:hAnsi="標楷體"/>
                <w:b/>
                <w:bCs/>
                <w:sz w:val="18"/>
                <w:szCs w:val="18"/>
              </w:rPr>
              <w:t xml:space="preserve">正直 · 客觀 · 專業能力及應有之注意 · 保密 · 專業行為</w:t>
            </w:r>
          </w:p>
        </w:tc>
        <w:tc>
          <w:tcPr>
            <w:tcMar>
              <w:top w:type="dxa" w:w="60"/>
              <w:left w:type="dxa" w:w="100"/>
              <w:bottom w:type="dxa" w:w="60"/>
              <w:right w:type="dxa" w:w="100"/>
            </w:tcMar>
            <w:vAlign w:val="center"/>
          </w:tcPr>
          <w:p/>
        </w:tc>
        <w:tc>
          <w:tcPr>
            <w:tcMar>
              <w:top w:type="dxa" w:w="60"/>
              <w:left w:type="dxa" w:w="100"/>
              <w:bottom w:type="dxa" w:w="60"/>
              <w:right w:type="dxa" w:w="100"/>
            </w:tcMar>
            <w:vAlign w:val="center"/>
          </w:tcPr>
          <w:p/>
        </w:tc>
      </w:tr>
    </w:tbl>
    <w:p>
      <w:pPr>
        <w:spacing w:after="40" w:before="360"/>
      </w:pPr>
      <w:r>
        <w:rPr>
          <w:rFonts w:ascii="Calibri" w:cs="Calibri" w:eastAsia="Calibri" w:hAnsi="Calibri"/>
          <w:b/>
          <w:bCs/>
          <w:sz w:val="26"/>
          <w:szCs w:val="26"/>
        </w:rPr>
        <w:t xml:space="preserve">C. KEY ETHICAL CONSIDERATIONS</w:t>
      </w:r>
    </w:p>
    <w:p>
      <w:pPr>
        <w:spacing w:after="200" w:before="40"/>
      </w:pPr>
      <w:r>
        <w:rPr>
          <w:rFonts w:ascii="標楷體" w:cs="標楷體" w:eastAsia="標楷體" w:hAnsi="標楷體"/>
          <w:b/>
          <w:bCs/>
          <w:sz w:val="26"/>
          <w:szCs w:val="26"/>
        </w:rPr>
        <w:t xml:space="preserve">C. 主要職業道德考量</w:t>
      </w:r>
    </w:p>
    <w:p>
      <w:pPr>
        <w:spacing w:after="60" w:before="160"/>
        <w:jc w:val="both"/>
      </w:pPr>
      <w:r>
        <w:rPr>
          <w:rFonts w:ascii="Calibri" w:cs="Calibri" w:eastAsia="Calibri" w:hAnsi="Calibri"/>
          <w:b w:val="false"/>
          <w:bCs w:val="false"/>
          <w:i w:val="false"/>
          <w:iCs w:val="false"/>
          <w:sz w:val="22"/>
          <w:szCs w:val="22"/>
        </w:rPr>
        <w:t xml:space="preserve">10. The Code applies to all PAs, whether in public practice[12] or business, regardless of the professional activities undertaken. Complying with the fundamental principles and specific requirements of the Code enables PAs to meet their responsibility to act in the public interest.[13]</w:t>
      </w:r>
    </w:p>
    <w:p>
      <w:pPr>
        <w:spacing w:after="200" w:before="60"/>
        <w:jc w:val="both"/>
      </w:pPr>
      <w:r>
        <w:rPr>
          <w:rFonts w:ascii="標楷體" w:cs="標楷體" w:eastAsia="標楷體" w:hAnsi="標楷體"/>
          <w:b w:val="false"/>
          <w:bCs w:val="false"/>
          <w:sz w:val="22"/>
          <w:szCs w:val="22"/>
        </w:rPr>
        <w:t xml:space="preserve">10. 守則適用於所有專業會計師，無論其係執業[12]或任職於企業，亦不論其從事之專業活動為何。遵循守則之基本原則及具體規定，使專業會計師得以履行其為公共利益行事之責任。[13]</w:t>
      </w:r>
    </w:p>
    <w:p>
      <w:pPr>
        <w:spacing w:after="40" w:before="280"/>
      </w:pPr>
      <w:r>
        <w:rPr>
          <w:rFonts w:ascii="Calibri" w:cs="Calibri" w:eastAsia="Calibri" w:hAnsi="Calibri"/>
          <w:b/>
          <w:bCs/>
          <w:sz w:val="23"/>
          <w:szCs w:val="23"/>
        </w:rPr>
        <w:t xml:space="preserve">Applying the Conceptual Framework</w:t>
      </w:r>
    </w:p>
    <w:p>
      <w:pPr>
        <w:spacing w:after="160" w:before="40"/>
      </w:pPr>
      <w:r>
        <w:rPr>
          <w:rFonts w:ascii="標楷體" w:cs="標楷體" w:eastAsia="標楷體" w:hAnsi="標楷體"/>
          <w:b/>
          <w:bCs/>
          <w:sz w:val="23"/>
          <w:szCs w:val="23"/>
        </w:rPr>
        <w:t xml:space="preserve">適用概念架構</w:t>
      </w:r>
    </w:p>
    <w:p>
      <w:pPr>
        <w:spacing w:after="60" w:before="160"/>
        <w:jc w:val="both"/>
      </w:pPr>
      <w:r>
        <w:rPr>
          <w:rFonts w:ascii="Calibri" w:cs="Calibri" w:eastAsia="Calibri" w:hAnsi="Calibri"/>
          <w:b w:val="false"/>
          <w:bCs w:val="false"/>
          <w:i w:val="false"/>
          <w:iCs w:val="false"/>
          <w:sz w:val="22"/>
          <w:szCs w:val="22"/>
        </w:rPr>
        <w:t xml:space="preserve">11. The conceptual framework[14] sets out the approach to be taken by PAs to identify, evaluate and address threats to compliance with the fundamental principles and, for audits and other assurance engagements, threats to independence.</w:t>
      </w:r>
    </w:p>
    <w:p>
      <w:pPr>
        <w:spacing w:after="200" w:before="60"/>
        <w:jc w:val="both"/>
      </w:pPr>
      <w:r>
        <w:rPr>
          <w:rFonts w:ascii="標楷體" w:cs="標楷體" w:eastAsia="標楷體" w:hAnsi="標楷體"/>
          <w:b w:val="false"/>
          <w:bCs w:val="false"/>
          <w:sz w:val="22"/>
          <w:szCs w:val="22"/>
        </w:rPr>
        <w:t xml:space="preserve">11. 概念架構[14]訂明專業會計師為辨識、評估及因應對遵循基本原則之威脅（就查核及其他確信案件而言，並包括對獨立性之威脅）所應採取之方法。</w:t>
      </w:r>
    </w:p>
    <w:p>
      <w:pPr>
        <w:spacing w:after="60" w:before="160"/>
        <w:jc w:val="both"/>
      </w:pPr>
      <w:r>
        <w:rPr>
          <w:rFonts w:ascii="Calibri" w:cs="Calibri" w:eastAsia="Calibri" w:hAnsi="Calibri"/>
          <w:b w:val="false"/>
          <w:bCs w:val="false"/>
          <w:i w:val="false"/>
          <w:iCs w:val="false"/>
          <w:sz w:val="22"/>
          <w:szCs w:val="22"/>
        </w:rPr>
        <w:t xml:space="preserve">12. In applying the conceptual framework, PAs are required to have an inquiring mind, exercise professional judgment and use the reasonable and informed third party test[15] when assessing whether the use of technology gives rise to threats to compliance with the fundamental principles, whether individually or in combination. This includes critically evaluating whether technology-driven outputs are reasonable and consistent with the facts and circumstances known to the PA[16] and determining whether their use is appropriate for the intended purposes.[17]</w:t>
      </w:r>
    </w:p>
    <w:p>
      <w:pPr>
        <w:spacing w:after="200" w:before="60"/>
        <w:jc w:val="both"/>
      </w:pPr>
      <w:r>
        <w:rPr>
          <w:rFonts w:ascii="標楷體" w:cs="標楷體" w:eastAsia="標楷體" w:hAnsi="標楷體"/>
          <w:b w:val="false"/>
          <w:bCs w:val="false"/>
          <w:sz w:val="22"/>
          <w:szCs w:val="22"/>
        </w:rPr>
        <w:t xml:space="preserve">12. 於適用概念架構時，專業會計師須保持探究心態、運用專業判斷，並採用理性且資訊充分之第三方測試[15]，以評估科技之使用是否單獨或合併產生對遵循基本原則之威脅。此包括嚴謹評估科技驅動之產出是否合理，且與專業會計師所知悉之事實及情況一致[16]，並判斷其使用是否適合預定目的。[17]</w:t>
      </w:r>
    </w:p>
    <w:p>
      <w:pPr>
        <w:spacing w:after="60" w:before="160"/>
        <w:jc w:val="both"/>
      </w:pPr>
      <w:r>
        <w:rPr>
          <w:rFonts w:ascii="Calibri" w:cs="Calibri" w:eastAsia="Calibri" w:hAnsi="Calibri"/>
          <w:b w:val="false"/>
          <w:bCs w:val="false"/>
          <w:i w:val="false"/>
          <w:iCs w:val="false"/>
          <w:sz w:val="22"/>
          <w:szCs w:val="22"/>
        </w:rPr>
        <w:t xml:space="preserve">13. The ethical considerations apply throughout the entire lifecycle of technologies, including their design, procurement, implementation, operation, updating, replacement, and disposal. The role and responsibilities of the PA might vary depending on whether the PA is involved in developing or designing technology solutions, procuring third-party technologies, implementing technology within an organization, or relying on outputs generated by such technologies.[18] Regardless of the extent of automation or whether the technology is internally developed or externally procured, the responsibility and accountability for professional judgments and decisions remain with the PA.</w:t>
      </w:r>
    </w:p>
    <w:p>
      <w:pPr>
        <w:spacing w:after="200" w:before="60"/>
        <w:jc w:val="both"/>
      </w:pPr>
      <w:r>
        <w:rPr>
          <w:rFonts w:ascii="標楷體" w:cs="標楷體" w:eastAsia="標楷體" w:hAnsi="標楷體"/>
          <w:b w:val="false"/>
          <w:bCs w:val="false"/>
          <w:sz w:val="22"/>
          <w:szCs w:val="22"/>
        </w:rPr>
        <w:t xml:space="preserve">13. 職業道德考量適用於科技之整個生命週期，包括其設計、採購、導入、運作、更新、汰換及處置。專業會計師之角色與責任可能因其係參與開發或設計科技解決方案、採購第三方科技、於組織內導入科技，或信賴該等科技所產生之產出而有所不同。[18]無論自動化程度如何，亦無論科技係內部開發或外部採購，專業判斷與決策之責任及課責仍歸屬於專業會計師。</w:t>
      </w:r>
    </w:p>
    <w:p>
      <w:pPr>
        <w:spacing w:after="60" w:before="160"/>
        <w:jc w:val="both"/>
      </w:pPr>
      <w:r>
        <w:rPr>
          <w:rFonts w:ascii="Calibri" w:cs="Calibri" w:eastAsia="Calibri" w:hAnsi="Calibri"/>
          <w:b w:val="false"/>
          <w:bCs w:val="false"/>
          <w:i w:val="false"/>
          <w:iCs w:val="false"/>
          <w:sz w:val="22"/>
          <w:szCs w:val="22"/>
        </w:rPr>
        <w:t xml:space="preserve">14. Technologies are often deployed in combination rather than in isolation, and their interaction may create or amplify ethical threats, which may not be the case when each technology is used alone. PAs should therefore consider not only the ethical implications of individual technologies, but also the cumulative and interconnected effects of integrated technology solutions. For example, AI and machine learning may be combined with data analytics, cloud computing, robotic process automation, or blockchain technologies within a single solution, resulting in increased complexity, opacity, and potential impacts on transparency, accountability, privacy, and decision-making. Accordingly, ethical evaluations should take a holistic approach[19] that considers how multiple technologies interact across the broader technological ecosystem.[20]</w:t>
      </w:r>
    </w:p>
    <w:p>
      <w:pPr>
        <w:spacing w:after="200" w:before="60"/>
        <w:jc w:val="both"/>
      </w:pPr>
      <w:r>
        <w:rPr>
          <w:rFonts w:ascii="標楷體" w:cs="標楷體" w:eastAsia="標楷體" w:hAnsi="標楷體"/>
          <w:b w:val="false"/>
          <w:bCs w:val="false"/>
          <w:sz w:val="22"/>
          <w:szCs w:val="22"/>
        </w:rPr>
        <w:t xml:space="preserve">14. 科技通常係組合部署而非單獨使用，其交互作用可能產生或加劇單獨使用個別科技時未必存在之職業道德威脅。因此，專業會計師不僅應考量個別科技之職業道德影響，亦應考量整合性科技解決方案之累積與相互關聯效果。例如，AI與機器學習可能與資料分析、雲端運算、機器人流程自動化或區塊鏈技術結合於單一解決方案中，導致複雜性與不透明性增加，並可能影響透明度、課責、隱私及決策。職業道德評估因此應採取整體方法[19]，考量多項科技如何在更廣泛之科技生態系中交互作用。[20]</w:t>
      </w:r>
    </w:p>
    <w:p>
      <w:pPr>
        <w:spacing w:after="40" w:before="280"/>
      </w:pPr>
      <w:r>
        <w:rPr>
          <w:rFonts w:ascii="Calibri" w:cs="Calibri" w:eastAsia="Calibri" w:hAnsi="Calibri"/>
          <w:b/>
          <w:bCs/>
          <w:sz w:val="23"/>
          <w:szCs w:val="23"/>
        </w:rPr>
        <w:t xml:space="preserve">Characteristics of Emerging Technologies that May Create or Amplify Threats to the Fundamental Principles</w:t>
      </w:r>
    </w:p>
    <w:p>
      <w:pPr>
        <w:spacing w:after="160" w:before="40"/>
      </w:pPr>
      <w:r>
        <w:rPr>
          <w:rFonts w:ascii="標楷體" w:cs="標楷體" w:eastAsia="標楷體" w:hAnsi="標楷體"/>
          <w:b/>
          <w:bCs/>
          <w:sz w:val="23"/>
          <w:szCs w:val="23"/>
        </w:rPr>
        <w:t xml:space="preserve">可能產生或加劇對基本原則之威脅之新興科技特徵</w:t>
      </w:r>
    </w:p>
    <w:p>
      <w:pPr>
        <w:spacing w:after="60" w:before="160"/>
        <w:jc w:val="both"/>
      </w:pPr>
      <w:r>
        <w:rPr>
          <w:rFonts w:ascii="Calibri" w:cs="Calibri" w:eastAsia="Calibri" w:hAnsi="Calibri"/>
          <w:b w:val="false"/>
          <w:bCs w:val="false"/>
          <w:i w:val="false"/>
          <w:iCs w:val="false"/>
          <w:sz w:val="22"/>
          <w:szCs w:val="22"/>
        </w:rPr>
        <w:t xml:space="preserve">15. Because of their characteristics, the use of emerging technologies may give rise to circumstances that create or amplify threats to compliance with the fundamental principles. Such circumstances include, for example, overreliance on technology (automation bias), limited explainability, reduced human oversight, privacy and data security vulnerabilities, accountability gaps, and the amplification of errors across systems and processes.</w:t>
      </w:r>
    </w:p>
    <w:p>
      <w:pPr>
        <w:spacing w:after="200" w:before="60"/>
        <w:jc w:val="both"/>
      </w:pPr>
      <w:r>
        <w:rPr>
          <w:rFonts w:ascii="標楷體" w:cs="標楷體" w:eastAsia="標楷體" w:hAnsi="標楷體"/>
          <w:b w:val="false"/>
          <w:bCs w:val="false"/>
          <w:sz w:val="22"/>
          <w:szCs w:val="22"/>
        </w:rPr>
        <w:t xml:space="preserve">15. 基於其特徵，新興科技之使用可能產生對遵循基本原則構成或加劇威脅之情況。此等情況例如包括：過度依賴科技（自動化偏誤）、可解釋性受限、人為監督減少、隱私與資料安全脆弱性、課責落差，以及錯誤在系統與流程間之放大。</w:t>
      </w:r>
    </w:p>
    <w:p>
      <w:pPr>
        <w:spacing w:after="60" w:before="160"/>
        <w:jc w:val="both"/>
      </w:pPr>
      <w:r>
        <w:rPr>
          <w:rFonts w:ascii="Calibri" w:cs="Calibri" w:eastAsia="Calibri" w:hAnsi="Calibri"/>
          <w:b w:val="false"/>
          <w:bCs w:val="false"/>
          <w:i w:val="false"/>
          <w:iCs w:val="false"/>
          <w:sz w:val="22"/>
          <w:szCs w:val="22"/>
        </w:rPr>
        <w:t xml:space="preserve">16. The opacity of some AI systems may make it difficult for a PA to understand how outputs are generated or to explain the systems to clients, management, regulators, or other stakeholders. Such opacity may result in limited explainability, creating or amplifying a self-interest threat to compliance with the principles of integrity, objectivity, professional competence and due care, and professional behavior if decisions are made or communicated without a sufficient understanding of the basis for the output. Applying an inquiring mind and exercising professional judgment, the PA might question whether sufficient information is available to support reliance on the output,[21] or whether there is a need to consult with an expert.[22]</w:t>
      </w:r>
    </w:p>
    <w:p>
      <w:pPr>
        <w:spacing w:after="200" w:before="60"/>
        <w:jc w:val="both"/>
      </w:pPr>
      <w:r>
        <w:rPr>
          <w:rFonts w:ascii="標楷體" w:cs="標楷體" w:eastAsia="標楷體" w:hAnsi="標楷體"/>
          <w:b w:val="false"/>
          <w:bCs w:val="false"/>
          <w:sz w:val="22"/>
          <w:szCs w:val="22"/>
        </w:rPr>
        <w:t xml:space="preserve">16. 部分AI系統之不透明性，可能使專業會計師難以理解產出如何產生，或難以向客戶、管理階層、監管機關或其他利害關係人說明該系統。此種不透明性可能導致可解釋性受限；若決策之作成或溝通欠缺對產出依據之充分理解，將產生或加劇對遵循正直、客觀、專業能力及應有之注意以及專業行為原則之自我利益威脅。專業會計師應秉持探究心態並運用專業判斷，質疑是否有足夠資訊足以支持對產出之信賴[21]，或是否有諮詢專家之必要。[22]</w:t>
      </w:r>
    </w:p>
    <w:p>
      <w:pPr>
        <w:spacing w:after="60" w:before="160"/>
        <w:jc w:val="both"/>
      </w:pPr>
      <w:r>
        <w:rPr>
          <w:rFonts w:ascii="Calibri" w:cs="Calibri" w:eastAsia="Calibri" w:hAnsi="Calibri"/>
          <w:b w:val="false"/>
          <w:bCs w:val="false"/>
          <w:i w:val="false"/>
          <w:iCs w:val="false"/>
          <w:sz w:val="22"/>
          <w:szCs w:val="22"/>
        </w:rPr>
        <w:t xml:space="preserve">17. Technologies with non-determinism characteristics might produce differing results even when presented with identical or similar inputs. Placing undue reliance on such technologies creates or amplifies a self-interest threat to compliance with the principles of integrity, objectivity, professional competence and due care, and professional behavior if judgments or decisions are made based on the outputs without appropriate inquiry, monitoring or validation.</w:t>
      </w:r>
    </w:p>
    <w:p>
      <w:pPr>
        <w:spacing w:after="200" w:before="60"/>
        <w:jc w:val="both"/>
      </w:pPr>
      <w:r>
        <w:rPr>
          <w:rFonts w:ascii="標楷體" w:cs="標楷體" w:eastAsia="標楷體" w:hAnsi="標楷體"/>
          <w:b w:val="false"/>
          <w:bCs w:val="false"/>
          <w:sz w:val="22"/>
          <w:szCs w:val="22"/>
        </w:rPr>
        <w:t xml:space="preserve">17. 具非決定性特徵之科技，即使輸入相同或相似，仍可能產生不同結果。若未經適當探詢、監控或驗證即依產出作成判斷或決策，過度信賴此類科技將產生或加劇對遵循正直、客觀、專業能力及應有之注意以及專業行為原則之自我利益威脅。</w:t>
      </w:r>
    </w:p>
    <w:p>
      <w:pPr>
        <w:spacing w:after="60" w:before="160"/>
        <w:jc w:val="both"/>
      </w:pPr>
      <w:r>
        <w:rPr>
          <w:rFonts w:ascii="Calibri" w:cs="Calibri" w:eastAsia="Calibri" w:hAnsi="Calibri"/>
          <w:b w:val="false"/>
          <w:bCs w:val="false"/>
          <w:i w:val="false"/>
          <w:iCs w:val="false"/>
          <w:sz w:val="22"/>
          <w:szCs w:val="22"/>
        </w:rPr>
        <w:t xml:space="preserve">18. Technologies that exhibit perpetual adaptivity might evolve or modify their outputs over time based on new data, interactions, or changing conditions. Using such technologies could result in circumstances where users are unaware of, or do not sufficiently understand, how the system’s behavior has changed. A PA might face greater adverse consequences from threats to integrity, objectivity, professional competence and due care, and professional behavior if outputs are accepted without appropriate monitoring, validation, or ongoing assessment of the system’s performance and reliability.</w:t>
      </w:r>
    </w:p>
    <w:p>
      <w:pPr>
        <w:spacing w:after="200" w:before="60"/>
        <w:jc w:val="both"/>
      </w:pPr>
      <w:r>
        <w:rPr>
          <w:rFonts w:ascii="標楷體" w:cs="標楷體" w:eastAsia="標楷體" w:hAnsi="標楷體"/>
          <w:b w:val="false"/>
          <w:bCs w:val="false"/>
          <w:sz w:val="22"/>
          <w:szCs w:val="22"/>
        </w:rPr>
        <w:t xml:space="preserve">18. 具持續調適性之科技，可能隨新資料、互動或環境變化而逐漸演變或改變其產出。使用此類科技可能導致使用者未察覺或未充分理解系統行為已如何改變。若未經適當監控、驗證或對系統效能與可靠性之持續評估即接受產出，專業會計師可能因對正直、客觀、專業能力及應有之注意以及專業行為之威脅而面臨更大之不利後果。</w:t>
      </w:r>
    </w:p>
    <w:p>
      <w:pPr>
        <w:spacing w:after="60" w:before="160"/>
        <w:jc w:val="both"/>
      </w:pPr>
      <w:r>
        <w:rPr>
          <w:rFonts w:ascii="Calibri" w:cs="Calibri" w:eastAsia="Calibri" w:hAnsi="Calibri"/>
          <w:b w:val="false"/>
          <w:bCs w:val="false"/>
          <w:i w:val="false"/>
          <w:iCs w:val="false"/>
          <w:sz w:val="22"/>
          <w:szCs w:val="22"/>
        </w:rPr>
        <w:t xml:space="preserve">19. In both circumstances where non-determinism and perpetual adaptivity are present, the PA should exercise professional judgment[23] in determining the nature and extent of inquiry, monitoring or validation needed, including the extent of human oversight. Having an inquiring mind assists a PA in identifying circumstances where outputs appear incomplete, biased, inconsistent with other available information, or affected by errors amplified at scale.</w:t>
      </w:r>
    </w:p>
    <w:p>
      <w:pPr>
        <w:spacing w:after="200" w:before="60"/>
        <w:jc w:val="both"/>
      </w:pPr>
      <w:r>
        <w:rPr>
          <w:rFonts w:ascii="標楷體" w:cs="標楷體" w:eastAsia="標楷體" w:hAnsi="標楷體"/>
          <w:b w:val="false"/>
          <w:bCs w:val="false"/>
          <w:sz w:val="22"/>
          <w:szCs w:val="22"/>
        </w:rPr>
        <w:t xml:space="preserve">19. 於非決定性與持續調適性同時存在之情況，專業會計師應運用專業判斷[23]，決定所需探詢、監控或驗證之性質與程度，包括人為監督之程度。保持探究心態有助於專業會計師辨識產出顯有不完整、偏誤、與其他可得資訊不一致，或受大規模放大錯誤影響之情況。</w:t>
      </w:r>
    </w:p>
    <w:p>
      <w:pPr>
        <w:spacing w:after="60" w:before="160"/>
        <w:jc w:val="both"/>
      </w:pPr>
      <w:r>
        <w:rPr>
          <w:rFonts w:ascii="Calibri" w:cs="Calibri" w:eastAsia="Calibri" w:hAnsi="Calibri"/>
          <w:b w:val="false"/>
          <w:bCs w:val="false"/>
          <w:i w:val="false"/>
          <w:iCs w:val="false"/>
          <w:sz w:val="22"/>
          <w:szCs w:val="22"/>
        </w:rPr>
        <w:t xml:space="preserve">20. Data dependency and associated data quality, either on their own or in combination with other characteristics, may give rise to bias in AI models or to the generation and dissemination of inaccurate information across interconnected systems. Such cases create an advocacy threat where PAs promote or support analyses or positions that may be based on biased or misleading information. In addition, widespread or rapidly propagated errors in autonomous systems may increase the severity of threats to compliance with the fundamental principles because the consequences of failures can occur at scale and before effective human intervention is possible.</w:t>
      </w:r>
    </w:p>
    <w:p>
      <w:pPr>
        <w:spacing w:after="200" w:before="60"/>
        <w:jc w:val="both"/>
      </w:pPr>
      <w:r>
        <w:rPr>
          <w:rFonts w:ascii="標楷體" w:cs="標楷體" w:eastAsia="標楷體" w:hAnsi="標楷體"/>
          <w:b w:val="false"/>
          <w:bCs w:val="false"/>
          <w:sz w:val="22"/>
          <w:szCs w:val="22"/>
        </w:rPr>
        <w:t xml:space="preserve">20. 資料依賴性及相關資料品質，無論單獨或與其他特徵結合，均可能導致AI模型產生偏誤，或使不正確資訊在相互連結之系統間產生與散布。此等情況將產生辯護威脅，即專業會計師推廣或支持可能基於偏誤或誤導性資訊之分析或立場。此外，自主系統中廣泛或快速蔓延之錯誤，可能提高對遵循基本原則之威脅之嚴重性，因為失靈之後果可能大規模發生，且發生於有效人為介入可能之前。</w:t>
      </w:r>
    </w:p>
    <w:p>
      <w:pPr>
        <w:spacing w:after="60" w:before="160"/>
        <w:jc w:val="both"/>
      </w:pPr>
      <w:r>
        <w:rPr>
          <w:rFonts w:ascii="Calibri" w:cs="Calibri" w:eastAsia="Calibri" w:hAnsi="Calibri"/>
          <w:b w:val="false"/>
          <w:bCs w:val="false"/>
          <w:i w:val="false"/>
          <w:iCs w:val="false"/>
          <w:sz w:val="22"/>
          <w:szCs w:val="22"/>
        </w:rPr>
        <w:t xml:space="preserve">21. Scale and speed characteristics, while not only resulting from automation, are often related to autonomy and interconnected systems, and may result in amplified errors, like bias, misinformation, or unauthorized actions. For example, automated decision-making tools integrated across multiple systems may rapidly propagate inaccurate information, execute transactions without sufficient human oversight, or expose confidential information through cybersecurity or privacy weaknesses. These circumstances create or amplify threats to compliance with the fundamental principles. Reduced human oversight over significant judgments or decisions, or weaknesses in such oversight, may create a self-interest threat if PAs place undue reliance on automated outputs to improve efficiency or reduce costs, rather than exercising appropriate professional judgment. Possible actions that might address these threats include having an appropriate human oversight and review process, by clearly assigning accountability for decisions made or supported by automated systems, using experts where necessary to evaluate the reliability and limitations of systems, and segregating duties to reduce the risk of unauthorized or inappropriate actions. Such actions may eliminate the threats or reduce them to an acceptable level.</w:t>
      </w:r>
    </w:p>
    <w:p>
      <w:pPr>
        <w:spacing w:after="200" w:before="60"/>
        <w:jc w:val="both"/>
      </w:pPr>
      <w:r>
        <w:rPr>
          <w:rFonts w:ascii="標楷體" w:cs="標楷體" w:eastAsia="標楷體" w:hAnsi="標楷體"/>
          <w:b w:val="false"/>
          <w:bCs w:val="false"/>
          <w:sz w:val="22"/>
          <w:szCs w:val="22"/>
        </w:rPr>
        <w:t xml:space="preserve">21. 規模與速度特徵雖非僅源於自動化，惟通常與自主性及系統互連相關，可能導致偏誤、不實資訊或未經授權行為等錯誤之放大。例如，整合於多個系統之自動化決策工具可能快速散布不正確資訊、在欠缺充分人為監督下執行交易，或因網路安全或隱私弱點而洩露機密資訊。此等情況將產生或加劇對遵循基本原則之威脅。對重大判斷或決策之人為監督減少或存有缺失時，若專業會計師為提升效率或降低成本而過度信賴自動化產出，未運用適當之專業判斷，可能產生自我利益威脅。可能因應此等威脅之行動包括：建立適當之人為監督與覆核程序、明確指派由自動化系統作成或支援之決策之課責歸屬、必要時運用專家評估系統之可靠性與限制，以及實施職務分工以降低未經授權或不當行為之風險。此等行動或可消除威脅，或將其降低至可接受水準。</w:t>
      </w:r>
    </w:p>
    <w:p>
      <w:pPr>
        <w:spacing w:after="60" w:before="160"/>
        <w:jc w:val="both"/>
      </w:pPr>
      <w:r>
        <w:rPr>
          <w:rFonts w:ascii="Calibri" w:cs="Calibri" w:eastAsia="Calibri" w:hAnsi="Calibri"/>
          <w:b w:val="false"/>
          <w:bCs w:val="false"/>
          <w:i w:val="false"/>
          <w:iCs w:val="false"/>
          <w:sz w:val="22"/>
          <w:szCs w:val="22"/>
        </w:rPr>
        <w:t xml:space="preserve">22. Scalability and perpetual adaptivity may give rise to circumstances that further amplify threats to compliance with the fundamental principles because the technologies can affect large volumes of information, transactions, or stakeholders simultaneously. In addition, frequent updates or changes to models underlying the technologies may alter system behavior in ways that are not immediately apparent. A PA should therefore assess threats on an ongoing basis, rather than treating the assessment as a one-time exercise.[24] An ongoing approach to threat assessment could include periodically reviewing the appropriateness and adequacy of safeguards, monitoring for unintended consequences, reassessing whether there continues to be a sufficient level of human oversight, and evaluating whether continued use of the technology remains appropriate for the intended purposes.</w:t>
      </w:r>
    </w:p>
    <w:p>
      <w:pPr>
        <w:spacing w:after="200" w:before="60"/>
        <w:jc w:val="both"/>
      </w:pPr>
      <w:r>
        <w:rPr>
          <w:rFonts w:ascii="標楷體" w:cs="標楷體" w:eastAsia="標楷體" w:hAnsi="標楷體"/>
          <w:b w:val="false"/>
          <w:bCs w:val="false"/>
          <w:sz w:val="22"/>
          <w:szCs w:val="22"/>
        </w:rPr>
        <w:t xml:space="preserve">22. 可擴展性與持續調適性可能產生進一步加劇對遵循基本原則之威脅之情況，因為該等科技可同時影響大量資訊、交易或利害關係人。此外，科技所依據模型之頻繁更新或變更，可能以不易立即察覺之方式改變系統行為。專業會計師因此應持續評估威脅，而非將評估視為一次性作業。[24]持續性之威脅評估方法可包括：定期檢視防護措施之適當性與充分性、監控非預期後果、重新評估人為監督水準是否仍屬足夠，以及評估繼續使用該科技是否仍適合預定目的。</w:t>
      </w:r>
    </w:p>
    <w:p>
      <w:pPr>
        <w:spacing w:after="60" w:before="160"/>
        <w:jc w:val="both"/>
      </w:pPr>
      <w:r>
        <w:rPr>
          <w:rFonts w:ascii="Calibri" w:cs="Calibri" w:eastAsia="Calibri" w:hAnsi="Calibri"/>
          <w:b w:val="false"/>
          <w:bCs w:val="false"/>
          <w:i w:val="false"/>
          <w:iCs w:val="false"/>
          <w:sz w:val="22"/>
          <w:szCs w:val="22"/>
        </w:rPr>
        <w:t xml:space="preserve">23. The Code sets an expectation that PAs remain alert to whether new information has emerged or changes in facts and circumstances have occurred that impact the level of a threat or affect the PA’s conclusion regarding whether safeguards applied continue to be appropriate.[25] If so, the Code requires the PA to re-evaluate and address that threat accordingly.[26] For instance, a PA may initially determine that the use of a third-party software tool is appropriate, having evaluated the vendor’s controls, data sources, and the reliability of the model’s outputs, and having implemented safeguards such as periodic review and human oversight. However, over time, the model may be subject to model drift[27] or the vendor may update the software or modify its algorithms without full transparency. These developments constitute new information or changes in circumstances that could increase the risk of bias, errors, or lack of explainability, thereby elevating threats to compliance with the fundamental principles. In such cases, the Code requires the PA to reassess the situation, determine whether the existing safeguards remain effective, and implement additional measures if necessary to ensure that the PA continues to uphold the fundamental principles.</w:t>
      </w:r>
    </w:p>
    <w:p>
      <w:pPr>
        <w:spacing w:after="200" w:before="60"/>
        <w:jc w:val="both"/>
      </w:pPr>
      <w:r>
        <w:rPr>
          <w:rFonts w:ascii="標楷體" w:cs="標楷體" w:eastAsia="標楷體" w:hAnsi="標楷體"/>
          <w:b w:val="false"/>
          <w:bCs w:val="false"/>
          <w:sz w:val="22"/>
          <w:szCs w:val="22"/>
        </w:rPr>
        <w:t xml:space="preserve">23. 守則期望專業會計師持續注意是否出現新資訊，或事實及情況是否發生變化，而影響威脅之水準或影響專業會計師對已採行防護措施是否仍屬適當之結論。[25]如是，守則要求專業會計師重新評估並據以因應該威脅。[26]例如，專業會計師可能於評估供應商之控制、資料來源及模型產出之可靠性，並採行定期覆核與人為監督等防護措施後，起初認定使用第三方軟體工具係屬適當。然而，隨時間經過，該模型可能發生模型漂移[27]，或供應商可能在未充分透明之情況下更新軟體或修改其演算法。此等發展構成新資訊或情況變化，可能提高偏誤、錯誤或欠缺可解釋性之風險，從而升高對遵循基本原則之威脅。於此情況，守則要求專業會計師重新評估情勢、判斷既有防護措施是否仍屬有效，並於必要時採行額外措施，以確保專業會計師持續恪守基本原則。</w:t>
      </w:r>
    </w:p>
    <w:p>
      <w:pPr>
        <w:spacing w:after="60" w:before="160"/>
        <w:jc w:val="both"/>
      </w:pPr>
      <w:r>
        <w:rPr>
          <w:rFonts w:ascii="Calibri" w:cs="Calibri" w:eastAsia="Calibri" w:hAnsi="Calibri"/>
          <w:b w:val="false"/>
          <w:bCs w:val="false"/>
          <w:i w:val="false"/>
          <w:iCs w:val="false"/>
          <w:sz w:val="22"/>
          <w:szCs w:val="22"/>
        </w:rPr>
        <w:t xml:space="preserve">24. The circumstances in which PAs carry out professional activities and factors affecting the identification and evaluation of threats vary in range and complexity. PAs should be alert to the greater need to exercise professional judgment,[28] drawing on their skills and training, and an understanding of the relevant facts and circumstances to determine appropriate courses of action.[29] This includes, for example, critically assessing technology-driven outputs,[30] understanding their limitations,[31] and considering whether additional expertise or consultation is required.[32] In this context, emerging technologies do not diminish the role of professional judgment; rather, they amplify its importance in ensuring that decisions are well-informed, objective and sound.</w:t>
      </w:r>
    </w:p>
    <w:p>
      <w:pPr>
        <w:spacing w:after="200" w:before="60"/>
        <w:jc w:val="both"/>
      </w:pPr>
      <w:r>
        <w:rPr>
          <w:rFonts w:ascii="標楷體" w:cs="標楷體" w:eastAsia="標楷體" w:hAnsi="標楷體"/>
          <w:b w:val="false"/>
          <w:bCs w:val="false"/>
          <w:sz w:val="22"/>
          <w:szCs w:val="22"/>
        </w:rPr>
        <w:t xml:space="preserve">24. 專業會計師執行專業活動之情況，以及影響威脅辨識與評估之因素，其範圍與複雜程度各異。專業會計師應注意更須運用專業判斷[28]，藉助其技能與訓練以及對攸關事實及情況之理解，以決定適當之行動方案。[29]此包括例如嚴謹評估科技驅動之產出[30]、理解其限制[31]，以及考量是否需要額外之專業知識或諮詢。[32]就此而言，新興科技並未削弱專業判斷之角色；反之，其更加凸顯專業判斷於確保決策係屬資訊充分、客觀且穩健之重要性。</w:t>
      </w:r>
    </w:p>
    <w:p>
      <w:pPr>
        <w:spacing w:after="60" w:before="160"/>
        <w:jc w:val="both"/>
      </w:pPr>
      <w:r>
        <w:rPr>
          <w:rFonts w:ascii="Calibri" w:cs="Calibri" w:eastAsia="Calibri" w:hAnsi="Calibri"/>
          <w:b w:val="false"/>
          <w:bCs w:val="false"/>
          <w:i w:val="false"/>
          <w:iCs w:val="false"/>
          <w:sz w:val="22"/>
          <w:szCs w:val="22"/>
        </w:rPr>
        <w:t xml:space="preserve">25. Appendix 2 illustrates how certain characteristics of technologies may lead to circumstances that create or amplify threats to compliance with the fundamental principles.</w:t>
      </w:r>
    </w:p>
    <w:p>
      <w:pPr>
        <w:spacing w:after="200" w:before="60"/>
        <w:jc w:val="both"/>
      </w:pPr>
      <w:r>
        <w:rPr>
          <w:rFonts w:ascii="標楷體" w:cs="標楷體" w:eastAsia="標楷體" w:hAnsi="標楷體"/>
          <w:b w:val="false"/>
          <w:bCs w:val="false"/>
          <w:sz w:val="22"/>
          <w:szCs w:val="22"/>
        </w:rPr>
        <w:t xml:space="preserve">25. 附錄二例示科技之若干特徵可能如何導致產生或加劇對遵循基本原則之威脅之情況。</w:t>
      </w:r>
    </w:p>
    <w:p>
      <w:pPr>
        <w:spacing w:after="40" w:before="280"/>
      </w:pPr>
      <w:r>
        <w:rPr>
          <w:rFonts w:ascii="Calibri" w:cs="Calibri" w:eastAsia="Calibri" w:hAnsi="Calibri"/>
          <w:b/>
          <w:bCs/>
          <w:sz w:val="23"/>
          <w:szCs w:val="23"/>
        </w:rPr>
        <w:t xml:space="preserve">Further Considerations for Emerging Technologies</w:t>
      </w:r>
    </w:p>
    <w:p>
      <w:pPr>
        <w:spacing w:after="160" w:before="40"/>
      </w:pPr>
      <w:r>
        <w:rPr>
          <w:rFonts w:ascii="標楷體" w:cs="標楷體" w:eastAsia="標楷體" w:hAnsi="標楷體"/>
          <w:b/>
          <w:bCs/>
          <w:sz w:val="23"/>
          <w:szCs w:val="23"/>
        </w:rPr>
        <w:t xml:space="preserve">新興科技之進一步考量</w:t>
      </w:r>
    </w:p>
    <w:p>
      <w:pPr>
        <w:spacing w:after="60" w:before="160"/>
        <w:jc w:val="both"/>
      </w:pPr>
      <w:r>
        <w:rPr>
          <w:rFonts w:ascii="Calibri" w:cs="Calibri" w:eastAsia="Calibri" w:hAnsi="Calibri"/>
          <w:b w:val="false"/>
          <w:bCs w:val="false"/>
          <w:i w:val="false"/>
          <w:iCs w:val="false"/>
          <w:sz w:val="22"/>
          <w:szCs w:val="22"/>
        </w:rPr>
        <w:t xml:space="preserve">26. Maintaining professional competence and due care[33] in an environment of rapidly evolving technologies requires an ongoing commitment to continuous learning and the development of appropriate technological literacy. The level of understanding required will depend on the nature of the technology and the PA’s role in relation to it.[34] However, a PA is expected to have, or obtain, a sufficient understanding of the technology to evaluate whether its use is appropriate and whether reliance may be placed on its outputs.[35] The Code requires the PA to exercise professional judgment when the PA applies the conceptual framework in order to make informed decisions about the courses of action available and determine whether such decisions are appropriate. In making such determination, the PA might consider the need to consult with others with relevant expertise or experience.[36]</w:t>
      </w:r>
    </w:p>
    <w:p>
      <w:pPr>
        <w:spacing w:after="200" w:before="60"/>
        <w:jc w:val="both"/>
      </w:pPr>
      <w:r>
        <w:rPr>
          <w:rFonts w:ascii="標楷體" w:cs="標楷體" w:eastAsia="標楷體" w:hAnsi="標楷體"/>
          <w:b w:val="false"/>
          <w:bCs w:val="false"/>
          <w:sz w:val="22"/>
          <w:szCs w:val="22"/>
        </w:rPr>
        <w:t xml:space="preserve">26. 於科技快速演變之環境中維持專業能力及應有之注意[33]，須持續投入終身學習並發展適當之科技素養。所需理解之程度，將視科技之性質及專業會計師與該科技相關之角色而定。[34]惟專業會計師應具備或取得對該科技之充分理解，以評估其使用是否適當，以及是否得信賴其產出。[35]守則要求專業會計師於適用概念架構時運用專業判斷，以就可行之行動方案作成資訊充分之決定，並判斷該等決定是否適當。於作成該判斷時，專業會計師得考量諮詢其他具相關專業知識或經驗者之必要性。[36]</w:t>
      </w:r>
    </w:p>
    <w:p>
      <w:pPr>
        <w:spacing w:after="60" w:before="160"/>
        <w:jc w:val="both"/>
      </w:pPr>
      <w:r>
        <w:rPr>
          <w:rFonts w:ascii="Calibri" w:cs="Calibri" w:eastAsia="Calibri" w:hAnsi="Calibri"/>
          <w:b w:val="false"/>
          <w:bCs w:val="false"/>
          <w:i w:val="false"/>
          <w:iCs w:val="false"/>
          <w:sz w:val="22"/>
          <w:szCs w:val="22"/>
        </w:rPr>
        <w:t xml:space="preserve">27. When implementing or using technologies, PAs are also encouraged to apply appropriate guardrails aligned with both leading technological practices and established controls.[37] For example, organizations may prohibit the use of “shadow information technology (IT)”[38] to mitigate risks associated with unapproved or unvetted software. Such use can increase risks associated with emerging technologies, including the misuse of AI and heightened exposure to cybersecurity vulnerabilities.</w:t>
      </w:r>
    </w:p>
    <w:p>
      <w:pPr>
        <w:spacing w:after="200" w:before="60"/>
        <w:jc w:val="both"/>
      </w:pPr>
      <w:r>
        <w:rPr>
          <w:rFonts w:ascii="標楷體" w:cs="標楷體" w:eastAsia="標楷體" w:hAnsi="標楷體"/>
          <w:b w:val="false"/>
          <w:bCs w:val="false"/>
          <w:sz w:val="22"/>
          <w:szCs w:val="22"/>
        </w:rPr>
        <w:t xml:space="preserve">27. 於導入或使用科技時，亦鼓勵專業會計師採用兼顧領先科技實務與既有控制之適當防護欄。[37]例如，組織得禁止使用「影子資訊科技（shadow IT）」[38]，以降低未經核准或未經審查軟體之相關風險。此類使用可能提高新興科技之相關風險，包括AI之濫用及網路安全弱點暴露之增加。</w:t>
      </w:r>
    </w:p>
    <w:p>
      <w:pPr>
        <w:spacing w:after="60" w:before="160"/>
        <w:jc w:val="both"/>
      </w:pPr>
      <w:r>
        <w:rPr>
          <w:rFonts w:ascii="Calibri" w:cs="Calibri" w:eastAsia="Calibri" w:hAnsi="Calibri"/>
          <w:b w:val="false"/>
          <w:bCs w:val="false"/>
          <w:i w:val="false"/>
          <w:iCs w:val="false"/>
          <w:sz w:val="22"/>
          <w:szCs w:val="22"/>
        </w:rPr>
        <w:t xml:space="preserve">28. The wide availability of technologies such as AI also increases fraud risks due to the ability of criminal actors to use such technologies to create deepfakes,[39] synthetic data, or other highly convincing fabricated content. These technologies may be susceptible to manipulation, potentially undermining the reliability of outputs, representations, and other related information.</w:t>
      </w:r>
    </w:p>
    <w:p>
      <w:pPr>
        <w:spacing w:after="200" w:before="60"/>
        <w:jc w:val="both"/>
      </w:pPr>
      <w:r>
        <w:rPr>
          <w:rFonts w:ascii="標楷體" w:cs="標楷體" w:eastAsia="標楷體" w:hAnsi="標楷體"/>
          <w:b w:val="false"/>
          <w:bCs w:val="false"/>
          <w:sz w:val="22"/>
          <w:szCs w:val="22"/>
        </w:rPr>
        <w:t xml:space="preserve">28. AI等科技之廣泛可得性亦提高舞弊風險，因不法行為者得利用此等科技製作深度偽造（deepfake）[39]、合成資料或其他高度逼真之偽造內容。此等科技可能易受操縱，恐損及產出、聲明及其他相關資訊之可靠性。</w:t>
      </w:r>
    </w:p>
    <w:p>
      <w:pPr>
        <w:spacing w:after="60" w:before="160"/>
        <w:jc w:val="both"/>
      </w:pPr>
      <w:r>
        <w:rPr>
          <w:rFonts w:ascii="Calibri" w:cs="Calibri" w:eastAsia="Calibri" w:hAnsi="Calibri"/>
          <w:b w:val="false"/>
          <w:bCs w:val="false"/>
          <w:i w:val="false"/>
          <w:iCs w:val="false"/>
          <w:sz w:val="22"/>
          <w:szCs w:val="22"/>
        </w:rPr>
        <w:t xml:space="preserve">29. In addition, the regulatory environment for technologies continues to evolve rapidly across various jurisdictions. Accordingly, PAs should maintain an up-to-date understanding of applicable regulatory requirements[40] and ensure ongoing compliance with them as technologies and regulatory frameworks continue to develop.</w:t>
      </w:r>
    </w:p>
    <w:p>
      <w:pPr>
        <w:spacing w:after="200" w:before="60"/>
        <w:jc w:val="both"/>
      </w:pPr>
      <w:r>
        <w:rPr>
          <w:rFonts w:ascii="標楷體" w:cs="標楷體" w:eastAsia="標楷體" w:hAnsi="標楷體"/>
          <w:b w:val="false"/>
          <w:bCs w:val="false"/>
          <w:sz w:val="22"/>
          <w:szCs w:val="22"/>
        </w:rPr>
        <w:t xml:space="preserve">29. 此外，各法域之科技監管環境持續快速演變。因此，專業會計師應隨時掌握適用之法規要求[40]，並於科技與監管架構持續發展之際，確保對其持續遵循。</w:t>
      </w:r>
    </w:p>
    <w:p>
      <w:pPr>
        <w:spacing w:after="40" w:before="360"/>
      </w:pPr>
      <w:r>
        <w:rPr>
          <w:rFonts w:ascii="Calibri" w:cs="Calibri" w:eastAsia="Calibri" w:hAnsi="Calibri"/>
          <w:b/>
          <w:bCs/>
          <w:sz w:val="26"/>
          <w:szCs w:val="26"/>
        </w:rPr>
        <w:t xml:space="preserve">D. CONCLUSION</w:t>
      </w:r>
    </w:p>
    <w:p>
      <w:pPr>
        <w:spacing w:after="200" w:before="40"/>
      </w:pPr>
      <w:r>
        <w:rPr>
          <w:rFonts w:ascii="標楷體" w:cs="標楷體" w:eastAsia="標楷體" w:hAnsi="標楷體"/>
          <w:b/>
          <w:bCs/>
          <w:sz w:val="26"/>
          <w:szCs w:val="26"/>
        </w:rPr>
        <w:t xml:space="preserve">D. 結論</w:t>
      </w:r>
    </w:p>
    <w:p>
      <w:pPr>
        <w:spacing w:after="60" w:before="160"/>
        <w:jc w:val="both"/>
      </w:pPr>
      <w:r>
        <w:rPr>
          <w:rFonts w:ascii="Calibri" w:cs="Calibri" w:eastAsia="Calibri" w:hAnsi="Calibri"/>
          <w:b w:val="false"/>
          <w:bCs w:val="false"/>
          <w:i w:val="false"/>
          <w:iCs w:val="false"/>
          <w:sz w:val="22"/>
          <w:szCs w:val="22"/>
        </w:rPr>
        <w:t xml:space="preserve">30. The IESBA will continue providing ethical guidance to assist PAs in addressing technology-related threats, while continuing its technology-focused work in the years ahead. The IESBA will also continue to coordinate with the IAASB regarding its technology-related activities to reinforce the connectivity and interoperability of the IESBA Code and the IAASB’s QM and engagement standards.</w:t>
      </w:r>
    </w:p>
    <w:p>
      <w:pPr>
        <w:spacing w:after="200" w:before="60"/>
        <w:jc w:val="both"/>
      </w:pPr>
      <w:r>
        <w:rPr>
          <w:rFonts w:ascii="標楷體" w:cs="標楷體" w:eastAsia="標楷體" w:hAnsi="標楷體"/>
          <w:b w:val="false"/>
          <w:bCs w:val="false"/>
          <w:sz w:val="22"/>
          <w:szCs w:val="22"/>
        </w:rPr>
        <w:t xml:space="preserve">30. IESBA將持續提供職業道德指引，協助專業會計師因應科技相關威脅，並於未來數年持續推動其科技相關工作。IESBA亦將持續就其科技相關活動與IAASB協調，以強化IESBA守則與IAASB品質管理及案件準則間之連結性與互通性。</w:t>
      </w:r>
    </w:p>
    <w:p>
      <w:pPr>
        <w:spacing w:after="60" w:before="160"/>
        <w:jc w:val="both"/>
      </w:pPr>
      <w:r>
        <w:rPr>
          <w:rFonts w:ascii="Calibri" w:cs="Calibri" w:eastAsia="Calibri" w:hAnsi="Calibri"/>
          <w:b w:val="false"/>
          <w:bCs w:val="false"/>
          <w:i w:val="false"/>
          <w:iCs w:val="false"/>
          <w:sz w:val="22"/>
          <w:szCs w:val="22"/>
        </w:rPr>
        <w:t xml:space="preserve">31. As technology rapidly reshapes the global financial system and the accountancy profession, it is critical that these developments are addressed in a manner that enables PAs to fulfill their responsibility to act in the public interest and sustain confidence in the profession. This evolving landscape underscores the importance of adaptability, continuous learning,[41] and a strong ethical foundation to ensure that technological advancement supports, rather than undermines, the integrity of, and public trust in, the profession.</w:t>
      </w:r>
    </w:p>
    <w:p>
      <w:pPr>
        <w:spacing w:after="200" w:before="60"/>
        <w:jc w:val="both"/>
      </w:pPr>
      <w:r>
        <w:rPr>
          <w:rFonts w:ascii="標楷體" w:cs="標楷體" w:eastAsia="標楷體" w:hAnsi="標楷體"/>
          <w:b w:val="false"/>
          <w:bCs w:val="false"/>
          <w:sz w:val="22"/>
          <w:szCs w:val="22"/>
        </w:rPr>
        <w:t xml:space="preserve">31. 隨著科技快速重塑全球金融體系與會計專業，至關重要者，係以能使專業會計師履行其為公共利益行事之責任並維繫對本專業信心之方式，因應此等發展。此一持續演變之環境凸顯調適力、終身學習[41]及穩固職業道德基礎之重要性，以確保科技進步係支持而非損害本專業之誠信及公眾對本專業之信任。</w:t>
      </w:r>
    </w:p>
    <w:p>
      <w:pPr>
        <w:spacing w:after="60" w:before="160"/>
        <w:jc w:val="both"/>
      </w:pPr>
      <w:r>
        <w:rPr>
          <w:rFonts w:ascii="Calibri" w:cs="Calibri" w:eastAsia="Calibri" w:hAnsi="Calibri"/>
          <w:b w:val="false"/>
          <w:bCs w:val="false"/>
          <w:i w:val="false"/>
          <w:iCs w:val="false"/>
          <w:sz w:val="22"/>
          <w:szCs w:val="22"/>
        </w:rPr>
        <w:t xml:space="preserve">32. Ultimately, regardless of the level of automation or technological sophistication, PAs remain responsible for the judgments and decisions made in their work.</w:t>
      </w:r>
    </w:p>
    <w:p>
      <w:pPr>
        <w:spacing w:after="200" w:before="60"/>
        <w:jc w:val="both"/>
      </w:pPr>
      <w:r>
        <w:rPr>
          <w:rFonts w:ascii="標楷體" w:cs="標楷體" w:eastAsia="標楷體" w:hAnsi="標楷體"/>
          <w:b w:val="false"/>
          <w:bCs w:val="false"/>
          <w:sz w:val="22"/>
          <w:szCs w:val="22"/>
        </w:rPr>
        <w:t xml:space="preserve">32. 最終，無論自動化或科技複雜程度如何，專業會計師仍須對其工作中所作之判斷與決策負責。</w:t>
      </w:r>
    </w:p>
    <w:p>
      <w:pPr>
        <w:spacing w:after="60" w:before="160"/>
        <w:jc w:val="both"/>
      </w:pPr>
      <w:r>
        <w:rPr>
          <w:rFonts w:ascii="Calibri" w:cs="Calibri" w:eastAsia="Calibri" w:hAnsi="Calibri"/>
          <w:b w:val="false"/>
          <w:bCs w:val="false"/>
          <w:i w:val="false"/>
          <w:iCs w:val="false"/>
          <w:sz w:val="22"/>
          <w:szCs w:val="22"/>
        </w:rPr>
        <w:t xml:space="preserve">33. The IESBA Technology Focus page provides a centralized source of information on IESBA’s work related to technology, including publications, guidance materials, thought leadership, and updates on emerging technology developments and their implications for ethics and independence.</w:t>
      </w:r>
    </w:p>
    <w:p>
      <w:pPr>
        <w:spacing w:after="200" w:before="60"/>
        <w:jc w:val="both"/>
      </w:pPr>
      <w:r>
        <w:rPr>
          <w:rFonts w:ascii="標楷體" w:cs="標楷體" w:eastAsia="標楷體" w:hAnsi="標楷體"/>
          <w:b w:val="false"/>
          <w:bCs w:val="false"/>
          <w:sz w:val="22"/>
          <w:szCs w:val="22"/>
        </w:rPr>
        <w:t xml:space="preserve">33. IESBA科技專區網頁（Technology Focus page）提供IESBA科技相關工作之集中資訊來源，包括出版物、指引資料、思想領導文章，以及新興科技發展及其對職業道德與獨立性影響之最新資訊。</w:t>
      </w:r>
    </w:p>
    <w:p>
      <w:pPr>
        <w:spacing w:after="40" w:before="360"/>
      </w:pPr>
      <w:r>
        <w:rPr>
          <w:rFonts w:ascii="Calibri" w:cs="Calibri" w:eastAsia="Calibri" w:hAnsi="Calibri"/>
          <w:b/>
          <w:bCs/>
          <w:sz w:val="26"/>
          <w:szCs w:val="26"/>
        </w:rPr>
        <w:t xml:space="preserve">APPENDIX 1</w:t>
      </w:r>
    </w:p>
    <w:p>
      <w:pPr>
        <w:spacing w:after="200" w:before="40"/>
      </w:pPr>
      <w:r>
        <w:rPr>
          <w:rFonts w:ascii="標楷體" w:cs="標楷體" w:eastAsia="標楷體" w:hAnsi="標楷體"/>
          <w:b/>
          <w:bCs/>
          <w:sz w:val="26"/>
          <w:szCs w:val="26"/>
        </w:rPr>
        <w:t xml:space="preserve">附錄一</w:t>
      </w:r>
    </w:p>
    <w:p>
      <w:pPr>
        <w:spacing w:after="40" w:before="280"/>
      </w:pPr>
      <w:r>
        <w:rPr>
          <w:rFonts w:ascii="Calibri" w:cs="Calibri" w:eastAsia="Calibri" w:hAnsi="Calibri"/>
          <w:b/>
          <w:bCs/>
          <w:sz w:val="23"/>
          <w:szCs w:val="23"/>
        </w:rPr>
        <w:t xml:space="preserve">Illustrative Mapping of Technologies Against Characteristics that May Give Rise to Circumstances that Create or Amplify Threats</w:t>
      </w:r>
    </w:p>
    <w:p>
      <w:pPr>
        <w:spacing w:after="160" w:before="40"/>
      </w:pPr>
      <w:r>
        <w:rPr>
          <w:rFonts w:ascii="標楷體" w:cs="標楷體" w:eastAsia="標楷體" w:hAnsi="標楷體"/>
          <w:b/>
          <w:bCs/>
          <w:sz w:val="23"/>
          <w:szCs w:val="23"/>
        </w:rPr>
        <w:t xml:space="preserve">科技與可能產生或加劇威脅之特徵之例示對照</w:t>
      </w:r>
    </w:p>
    <w:p>
      <w:pPr>
        <w:spacing w:after="60" w:before="160"/>
        <w:jc w:val="both"/>
      </w:pPr>
      <w:r>
        <w:rPr>
          <w:rFonts w:ascii="Calibri" w:cs="Calibri" w:eastAsia="Calibri" w:hAnsi="Calibri"/>
          <w:b w:val="false"/>
          <w:bCs w:val="false"/>
          <w:i w:val="false"/>
          <w:iCs w:val="false"/>
          <w:sz w:val="22"/>
          <w:szCs w:val="22"/>
        </w:rPr>
        <w:t xml:space="preserve">The table below provides an illustrative and non-exhaustive mapping of select technologies against characteristics that may give rise to circumstances that create or amplify threats to compliance with the fundamental principles. The purpose of the table is not to suggest that the presence of a particular characteristic will necessarily give rise to circumstances that result in a threat. Rather, the table is intended to help PAs and other stakeholders identify characteristics that technologies exhibit which, depending on the facts and circumstances, may lead to or increase the significance, scale, speed, unpredictability, or complexity of ethical risks.</w:t>
      </w:r>
    </w:p>
    <w:p>
      <w:pPr>
        <w:spacing w:after="200" w:before="60"/>
        <w:jc w:val="both"/>
      </w:pPr>
      <w:r>
        <w:rPr>
          <w:rFonts w:ascii="標楷體" w:cs="標楷體" w:eastAsia="標楷體" w:hAnsi="標楷體"/>
          <w:b w:val="false"/>
          <w:bCs w:val="false"/>
          <w:sz w:val="22"/>
          <w:szCs w:val="22"/>
        </w:rPr>
        <w:t xml:space="preserve">下表就部分科技與可能產生或加劇對遵循基本原則之威脅之特徵，提供例示性且非詳盡之對照。本表之目的並非表示特定特徵之存在必然導致構成威脅之情況；而係協助專業會計師及其他利害關係人辨識科技所展現之特徵——視事實及情況而定，該等特徵可能導致或提高職業道德風險之重大性、規模、速度、不可預測性或複雜性。</w:t>
      </w:r>
    </w:p>
    <w:p>
      <w:pPr>
        <w:spacing w:after="60" w:before="160"/>
        <w:jc w:val="both"/>
      </w:pPr>
      <w:r>
        <w:rPr>
          <w:rFonts w:ascii="Calibri" w:cs="Calibri" w:eastAsia="Calibri" w:hAnsi="Calibri"/>
          <w:b w:val="false"/>
          <w:bCs w:val="false"/>
          <w:i w:val="false"/>
          <w:iCs w:val="false"/>
          <w:sz w:val="22"/>
          <w:szCs w:val="22"/>
        </w:rPr>
        <w:t xml:space="preserve">Not all implementations of a technology will exhibit these characteristics to the same extent, and emerging or evolving uses may alter the relevance or significance of particular characteristics over time. PAs need to exercise professional judgment in interpreting the table and evaluating the ethical implications of specific technologies within their particular context.</w:t>
      </w:r>
    </w:p>
    <w:p>
      <w:pPr>
        <w:spacing w:after="200" w:before="60"/>
        <w:jc w:val="both"/>
      </w:pPr>
      <w:r>
        <w:rPr>
          <w:rFonts w:ascii="標楷體" w:cs="標楷體" w:eastAsia="標楷體" w:hAnsi="標楷體"/>
          <w:b w:val="false"/>
          <w:bCs w:val="false"/>
          <w:sz w:val="22"/>
          <w:szCs w:val="22"/>
        </w:rPr>
        <w:t xml:space="preserve">並非所有科技之導入均會以相同程度展現此等特徵，且新興或演變中之用途可能隨時間改變特定特徵之攸關性或重要性。專業會計師須運用專業判斷解讀本表，並於其特定情境中評估特定科技之職業道德影響。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shd w:fill="E8EEF7" w:val="clear"/>
            <w:tcMar>
              <w:top w:type="dxa" w:w="60"/>
              <w:left w:type="dxa" w:w="100"/>
              <w:bottom w:type="dxa" w:w="60"/>
              <w:right w:type="dxa" w:w="100"/>
            </w:tcMar>
            <w:vAlign w:val="center"/>
          </w:tcPr>
          <w:p>
            <w:pPr>
              <w:spacing w:after="20" w:before="40"/>
            </w:pPr>
            <w:r>
              <w:rPr>
                <w:rFonts w:ascii="Calibri" w:cs="Calibri" w:eastAsia="Calibri" w:hAnsi="Calibri"/>
                <w:b/>
                <w:bCs/>
                <w:sz w:val="18"/>
                <w:szCs w:val="18"/>
              </w:rPr>
              <w:t xml:space="preserve">Technology</w:t>
            </w:r>
          </w:p>
          <w:p>
            <w:pPr>
              <w:spacing w:after="40" w:before="20"/>
            </w:pPr>
            <w:r>
              <w:rPr>
                <w:rFonts w:ascii="標楷體" w:cs="標楷體" w:eastAsia="標楷體" w:hAnsi="標楷體"/>
                <w:b/>
                <w:bCs/>
                <w:sz w:val="18"/>
                <w:szCs w:val="18"/>
              </w:rPr>
              <w:t xml:space="preserve">科技</w:t>
            </w:r>
          </w:p>
        </w:tc>
        <w:tc>
          <w:tcPr>
            <w:shd w:fill="E8EEF7" w:val="clear"/>
            <w:tcMar>
              <w:top w:type="dxa" w:w="60"/>
              <w:left w:type="dxa" w:w="100"/>
              <w:bottom w:type="dxa" w:w="60"/>
              <w:right w:type="dxa" w:w="100"/>
            </w:tcMar>
            <w:vAlign w:val="center"/>
          </w:tcPr>
          <w:p>
            <w:pPr>
              <w:spacing w:after="20" w:before="40"/>
            </w:pPr>
            <w:r>
              <w:rPr>
                <w:rFonts w:ascii="Calibri" w:cs="Calibri" w:eastAsia="Calibri" w:hAnsi="Calibri"/>
                <w:b/>
                <w:bCs/>
                <w:sz w:val="18"/>
                <w:szCs w:val="18"/>
              </w:rPr>
              <w:t xml:space="preserve">Opacity</w:t>
            </w:r>
          </w:p>
          <w:p>
            <w:pPr>
              <w:spacing w:after="40" w:before="20"/>
            </w:pPr>
            <w:r>
              <w:rPr>
                <w:rFonts w:ascii="標楷體" w:cs="標楷體" w:eastAsia="標楷體" w:hAnsi="標楷體"/>
                <w:b/>
                <w:bCs/>
                <w:sz w:val="18"/>
                <w:szCs w:val="18"/>
              </w:rPr>
              <w:t xml:space="preserve">不透明性</w:t>
            </w:r>
          </w:p>
        </w:tc>
        <w:tc>
          <w:tcPr>
            <w:shd w:fill="E8EEF7" w:val="clear"/>
            <w:tcMar>
              <w:top w:type="dxa" w:w="60"/>
              <w:left w:type="dxa" w:w="100"/>
              <w:bottom w:type="dxa" w:w="60"/>
              <w:right w:type="dxa" w:w="100"/>
            </w:tcMar>
            <w:vAlign w:val="center"/>
          </w:tcPr>
          <w:p>
            <w:pPr>
              <w:spacing w:after="20" w:before="40"/>
            </w:pPr>
            <w:r>
              <w:rPr>
                <w:rFonts w:ascii="Calibri" w:cs="Calibri" w:eastAsia="Calibri" w:hAnsi="Calibri"/>
                <w:b/>
                <w:bCs/>
                <w:sz w:val="18"/>
                <w:szCs w:val="18"/>
              </w:rPr>
              <w:t xml:space="preserve">Non-determinism</w:t>
            </w:r>
          </w:p>
          <w:p>
            <w:pPr>
              <w:spacing w:after="40" w:before="20"/>
            </w:pPr>
            <w:r>
              <w:rPr>
                <w:rFonts w:ascii="標楷體" w:cs="標楷體" w:eastAsia="標楷體" w:hAnsi="標楷體"/>
                <w:b/>
                <w:bCs/>
                <w:sz w:val="18"/>
                <w:szCs w:val="18"/>
              </w:rPr>
              <w:t xml:space="preserve">非決定性</w:t>
            </w:r>
          </w:p>
        </w:tc>
        <w:tc>
          <w:tcPr>
            <w:shd w:fill="E8EEF7" w:val="clear"/>
            <w:tcMar>
              <w:top w:type="dxa" w:w="60"/>
              <w:left w:type="dxa" w:w="100"/>
              <w:bottom w:type="dxa" w:w="60"/>
              <w:right w:type="dxa" w:w="100"/>
            </w:tcMar>
            <w:vAlign w:val="center"/>
          </w:tcPr>
          <w:p>
            <w:pPr>
              <w:spacing w:after="20" w:before="40"/>
            </w:pPr>
            <w:r>
              <w:rPr>
                <w:rFonts w:ascii="Calibri" w:cs="Calibri" w:eastAsia="Calibri" w:hAnsi="Calibri"/>
                <w:b/>
                <w:bCs/>
                <w:sz w:val="18"/>
                <w:szCs w:val="18"/>
              </w:rPr>
              <w:t xml:space="preserve">Data dependence</w:t>
            </w:r>
          </w:p>
          <w:p>
            <w:pPr>
              <w:spacing w:after="40" w:before="20"/>
            </w:pPr>
            <w:r>
              <w:rPr>
                <w:rFonts w:ascii="標楷體" w:cs="標楷體" w:eastAsia="標楷體" w:hAnsi="標楷體"/>
                <w:b/>
                <w:bCs/>
                <w:sz w:val="18"/>
                <w:szCs w:val="18"/>
              </w:rPr>
              <w:t xml:space="preserve">資料依賴性</w:t>
            </w:r>
          </w:p>
        </w:tc>
        <w:tc>
          <w:tcPr>
            <w:shd w:fill="E8EEF7" w:val="clear"/>
            <w:tcMar>
              <w:top w:type="dxa" w:w="60"/>
              <w:left w:type="dxa" w:w="100"/>
              <w:bottom w:type="dxa" w:w="60"/>
              <w:right w:type="dxa" w:w="100"/>
            </w:tcMar>
            <w:vAlign w:val="center"/>
          </w:tcPr>
          <w:p>
            <w:pPr>
              <w:spacing w:after="20" w:before="40"/>
            </w:pPr>
            <w:r>
              <w:rPr>
                <w:rFonts w:ascii="Calibri" w:cs="Calibri" w:eastAsia="Calibri" w:hAnsi="Calibri"/>
                <w:b/>
                <w:bCs/>
                <w:sz w:val="18"/>
                <w:szCs w:val="18"/>
              </w:rPr>
              <w:t xml:space="preserve">Perpetual Adaptivity</w:t>
            </w:r>
          </w:p>
          <w:p>
            <w:pPr>
              <w:spacing w:after="40" w:before="20"/>
            </w:pPr>
            <w:r>
              <w:rPr>
                <w:rFonts w:ascii="標楷體" w:cs="標楷體" w:eastAsia="標楷體" w:hAnsi="標楷體"/>
                <w:b/>
                <w:bCs/>
                <w:sz w:val="18"/>
                <w:szCs w:val="18"/>
              </w:rPr>
              <w:t xml:space="preserve">持續調適性</w:t>
            </w:r>
          </w:p>
        </w:tc>
        <w:tc>
          <w:tcPr>
            <w:shd w:fill="E8EEF7" w:val="clear"/>
            <w:tcMar>
              <w:top w:type="dxa" w:w="60"/>
              <w:left w:type="dxa" w:w="100"/>
              <w:bottom w:type="dxa" w:w="60"/>
              <w:right w:type="dxa" w:w="100"/>
            </w:tcMar>
            <w:vAlign w:val="center"/>
          </w:tcPr>
          <w:p>
            <w:pPr>
              <w:spacing w:after="20" w:before="40"/>
            </w:pPr>
            <w:r>
              <w:rPr>
                <w:rFonts w:ascii="Calibri" w:cs="Calibri" w:eastAsia="Calibri" w:hAnsi="Calibri"/>
                <w:b/>
                <w:bCs/>
                <w:sz w:val="18"/>
                <w:szCs w:val="18"/>
              </w:rPr>
              <w:t xml:space="preserve">Autonomy</w:t>
            </w:r>
          </w:p>
          <w:p>
            <w:pPr>
              <w:spacing w:after="40" w:before="20"/>
            </w:pPr>
            <w:r>
              <w:rPr>
                <w:rFonts w:ascii="標楷體" w:cs="標楷體" w:eastAsia="標楷體" w:hAnsi="標楷體"/>
                <w:b/>
                <w:bCs/>
                <w:sz w:val="18"/>
                <w:szCs w:val="18"/>
              </w:rPr>
              <w:t xml:space="preserve">自主性</w:t>
            </w:r>
          </w:p>
        </w:tc>
        <w:tc>
          <w:tcPr>
            <w:shd w:fill="E8EEF7" w:val="clear"/>
            <w:tcMar>
              <w:top w:type="dxa" w:w="60"/>
              <w:left w:type="dxa" w:w="100"/>
              <w:bottom w:type="dxa" w:w="60"/>
              <w:right w:type="dxa" w:w="100"/>
            </w:tcMar>
            <w:vAlign w:val="center"/>
          </w:tcPr>
          <w:p>
            <w:pPr>
              <w:spacing w:after="20" w:before="40"/>
            </w:pPr>
            <w:r>
              <w:rPr>
                <w:rFonts w:ascii="Calibri" w:cs="Calibri" w:eastAsia="Calibri" w:hAnsi="Calibri"/>
                <w:b/>
                <w:bCs/>
                <w:sz w:val="18"/>
                <w:szCs w:val="18"/>
              </w:rPr>
              <w:t xml:space="preserve">Scalability</w:t>
            </w:r>
          </w:p>
          <w:p>
            <w:pPr>
              <w:spacing w:after="40" w:before="20"/>
            </w:pPr>
            <w:r>
              <w:rPr>
                <w:rFonts w:ascii="標楷體" w:cs="標楷體" w:eastAsia="標楷體" w:hAnsi="標楷體"/>
                <w:b/>
                <w:bCs/>
                <w:sz w:val="18"/>
                <w:szCs w:val="18"/>
              </w:rPr>
              <w:t xml:space="preserve">可擴展性</w:t>
            </w:r>
          </w:p>
        </w:tc>
        <w:tc>
          <w:tcPr>
            <w:shd w:fill="E8EEF7" w:val="clear"/>
            <w:tcMar>
              <w:top w:type="dxa" w:w="60"/>
              <w:left w:type="dxa" w:w="100"/>
              <w:bottom w:type="dxa" w:w="60"/>
              <w:right w:type="dxa" w:w="100"/>
            </w:tcMar>
            <w:vAlign w:val="center"/>
          </w:tcPr>
          <w:p>
            <w:pPr>
              <w:spacing w:after="20" w:before="40"/>
            </w:pPr>
            <w:r>
              <w:rPr>
                <w:rFonts w:ascii="Calibri" w:cs="Calibri" w:eastAsia="Calibri" w:hAnsi="Calibri"/>
                <w:b/>
                <w:bCs/>
                <w:sz w:val="18"/>
                <w:szCs w:val="18"/>
              </w:rPr>
              <w:t xml:space="preserve">Speed</w:t>
            </w:r>
          </w:p>
          <w:p>
            <w:pPr>
              <w:spacing w:after="40" w:before="20"/>
            </w:pPr>
            <w:r>
              <w:rPr>
                <w:rFonts w:ascii="標楷體" w:cs="標楷體" w:eastAsia="標楷體" w:hAnsi="標楷體"/>
                <w:b/>
                <w:bCs/>
                <w:sz w:val="18"/>
                <w:szCs w:val="18"/>
              </w:rPr>
              <w:t xml:space="preserve">速度</w:t>
            </w:r>
          </w:p>
        </w:tc>
      </w:tr>
      <w:tr>
        <w:tc>
          <w:tcPr>
            <w:tcMar>
              <w:top w:type="dxa" w:w="60"/>
              <w:left w:type="dxa" w:w="100"/>
              <w:bottom w:type="dxa" w:w="60"/>
              <w:right w:type="dxa" w:w="100"/>
            </w:tcMar>
            <w:vAlign w:val="center"/>
          </w:tcPr>
          <w:p>
            <w:pPr>
              <w:spacing w:after="20" w:before="40"/>
            </w:pPr>
            <w:r>
              <w:rPr>
                <w:rFonts w:ascii="Calibri" w:cs="Calibri" w:eastAsia="Calibri" w:hAnsi="Calibri"/>
                <w:b w:val="false"/>
                <w:bCs w:val="false"/>
                <w:sz w:val="18"/>
                <w:szCs w:val="18"/>
              </w:rPr>
              <w:t xml:space="preserve">Agentic AI</w:t>
            </w:r>
          </w:p>
          <w:p>
            <w:pPr>
              <w:spacing w:after="40" w:before="20"/>
            </w:pPr>
            <w:r>
              <w:rPr>
                <w:rFonts w:ascii="標楷體" w:cs="標楷體" w:eastAsia="標楷體" w:hAnsi="標楷體"/>
                <w:b w:val="false"/>
                <w:bCs w:val="false"/>
                <w:sz w:val="18"/>
                <w:szCs w:val="18"/>
              </w:rPr>
              <w:t xml:space="preserve">代理型AI</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r>
      <w:tr>
        <w:tc>
          <w:tcPr>
            <w:tcMar>
              <w:top w:type="dxa" w:w="60"/>
              <w:left w:type="dxa" w:w="100"/>
              <w:bottom w:type="dxa" w:w="60"/>
              <w:right w:type="dxa" w:w="100"/>
            </w:tcMar>
            <w:vAlign w:val="center"/>
          </w:tcPr>
          <w:p>
            <w:pPr>
              <w:spacing w:after="20" w:before="40"/>
            </w:pPr>
            <w:r>
              <w:rPr>
                <w:rFonts w:ascii="Calibri" w:cs="Calibri" w:eastAsia="Calibri" w:hAnsi="Calibri"/>
                <w:b w:val="false"/>
                <w:bCs w:val="false"/>
                <w:sz w:val="18"/>
                <w:szCs w:val="18"/>
              </w:rPr>
              <w:t xml:space="preserve">Distributed Ledger Technologies</w:t>
            </w:r>
          </w:p>
          <w:p>
            <w:pPr>
              <w:spacing w:after="40" w:before="20"/>
            </w:pPr>
            <w:r>
              <w:rPr>
                <w:rFonts w:ascii="標楷體" w:cs="標楷體" w:eastAsia="標楷體" w:hAnsi="標楷體"/>
                <w:b w:val="false"/>
                <w:bCs w:val="false"/>
                <w:sz w:val="18"/>
                <w:szCs w:val="18"/>
              </w:rPr>
              <w:t xml:space="preserve">分散式帳本技術</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r>
      <w:tr>
        <w:tc>
          <w:tcPr>
            <w:tcMar>
              <w:top w:type="dxa" w:w="60"/>
              <w:left w:type="dxa" w:w="100"/>
              <w:bottom w:type="dxa" w:w="60"/>
              <w:right w:type="dxa" w:w="100"/>
            </w:tcMar>
            <w:vAlign w:val="center"/>
          </w:tcPr>
          <w:p>
            <w:pPr>
              <w:spacing w:after="20" w:before="40"/>
            </w:pPr>
            <w:r>
              <w:rPr>
                <w:rFonts w:ascii="Calibri" w:cs="Calibri" w:eastAsia="Calibri" w:hAnsi="Calibri"/>
                <w:b w:val="false"/>
                <w:bCs w:val="false"/>
                <w:sz w:val="18"/>
                <w:szCs w:val="18"/>
              </w:rPr>
              <w:t xml:space="preserve">Generative AI</w:t>
            </w:r>
          </w:p>
          <w:p>
            <w:pPr>
              <w:spacing w:after="40" w:before="20"/>
            </w:pPr>
            <w:r>
              <w:rPr>
                <w:rFonts w:ascii="標楷體" w:cs="標楷體" w:eastAsia="標楷體" w:hAnsi="標楷體"/>
                <w:b w:val="false"/>
                <w:bCs w:val="false"/>
                <w:sz w:val="18"/>
                <w:szCs w:val="18"/>
              </w:rPr>
              <w:t xml:space="preserve">生成式AI</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r>
      <w:tr>
        <w:tc>
          <w:tcPr>
            <w:tcMar>
              <w:top w:type="dxa" w:w="60"/>
              <w:left w:type="dxa" w:w="100"/>
              <w:bottom w:type="dxa" w:w="60"/>
              <w:right w:type="dxa" w:w="100"/>
            </w:tcMar>
            <w:vAlign w:val="center"/>
          </w:tcPr>
          <w:p>
            <w:pPr>
              <w:spacing w:after="20" w:before="40"/>
            </w:pPr>
            <w:r>
              <w:rPr>
                <w:rFonts w:ascii="Calibri" w:cs="Calibri" w:eastAsia="Calibri" w:hAnsi="Calibri"/>
                <w:b w:val="false"/>
                <w:bCs w:val="false"/>
                <w:sz w:val="18"/>
                <w:szCs w:val="18"/>
              </w:rPr>
              <w:t xml:space="preserve">Machine Learning</w:t>
            </w:r>
          </w:p>
          <w:p>
            <w:pPr>
              <w:spacing w:after="40" w:before="20"/>
            </w:pPr>
            <w:r>
              <w:rPr>
                <w:rFonts w:ascii="標楷體" w:cs="標楷體" w:eastAsia="標楷體" w:hAnsi="標楷體"/>
                <w:b w:val="false"/>
                <w:bCs w:val="false"/>
                <w:sz w:val="18"/>
                <w:szCs w:val="18"/>
              </w:rPr>
              <w:t xml:space="preserve">機器學習</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r>
      <w:tr>
        <w:tc>
          <w:tcPr>
            <w:tcMar>
              <w:top w:type="dxa" w:w="60"/>
              <w:left w:type="dxa" w:w="100"/>
              <w:bottom w:type="dxa" w:w="60"/>
              <w:right w:type="dxa" w:w="100"/>
            </w:tcMar>
            <w:vAlign w:val="center"/>
          </w:tcPr>
          <w:p>
            <w:pPr>
              <w:spacing w:after="20" w:before="40"/>
            </w:pPr>
            <w:r>
              <w:rPr>
                <w:rFonts w:ascii="Calibri" w:cs="Calibri" w:eastAsia="Calibri" w:hAnsi="Calibri"/>
                <w:b w:val="false"/>
                <w:bCs w:val="false"/>
                <w:sz w:val="18"/>
                <w:szCs w:val="18"/>
              </w:rPr>
              <w:t xml:space="preserve">Quantum Computing</w:t>
            </w:r>
          </w:p>
          <w:p>
            <w:pPr>
              <w:spacing w:after="40" w:before="20"/>
            </w:pPr>
            <w:r>
              <w:rPr>
                <w:rFonts w:ascii="標楷體" w:cs="標楷體" w:eastAsia="標楷體" w:hAnsi="標楷體"/>
                <w:b w:val="false"/>
                <w:bCs w:val="false"/>
                <w:sz w:val="18"/>
                <w:szCs w:val="18"/>
              </w:rPr>
              <w:t xml:space="preserve">量子運算</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r>
      <w:tr>
        <w:tc>
          <w:tcPr>
            <w:tcMar>
              <w:top w:type="dxa" w:w="60"/>
              <w:left w:type="dxa" w:w="100"/>
              <w:bottom w:type="dxa" w:w="60"/>
              <w:right w:type="dxa" w:w="100"/>
            </w:tcMar>
            <w:vAlign w:val="center"/>
          </w:tcPr>
          <w:p>
            <w:pPr>
              <w:spacing w:after="20" w:before="40"/>
            </w:pPr>
            <w:r>
              <w:rPr>
                <w:rFonts w:ascii="Calibri" w:cs="Calibri" w:eastAsia="Calibri" w:hAnsi="Calibri"/>
                <w:b w:val="false"/>
                <w:bCs w:val="false"/>
                <w:sz w:val="18"/>
                <w:szCs w:val="18"/>
              </w:rPr>
              <w:t xml:space="preserve">Robotic Process Automation</w:t>
            </w:r>
          </w:p>
          <w:p>
            <w:pPr>
              <w:spacing w:after="40" w:before="20"/>
            </w:pPr>
            <w:r>
              <w:rPr>
                <w:rFonts w:ascii="標楷體" w:cs="標楷體" w:eastAsia="標楷體" w:hAnsi="標楷體"/>
                <w:b w:val="false"/>
                <w:bCs w:val="false"/>
                <w:sz w:val="18"/>
                <w:szCs w:val="18"/>
              </w:rPr>
              <w:t xml:space="preserve">機器人流程自動化</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c>
          <w:tcPr>
            <w:tcMar>
              <w:top w:type="dxa" w:w="40"/>
              <w:left w:type="dxa" w:w="60"/>
              <w:bottom w:type="dxa" w:w="40"/>
              <w:right w:type="dxa" w:w="60"/>
            </w:tcMar>
            <w:vAlign w:val="center"/>
          </w:tcPr>
          <w:p>
            <w:pPr>
              <w:spacing w:after="40" w:before="40"/>
              <w:jc w:val="center"/>
            </w:pPr>
            <w:r>
              <w:rPr>
                <w:rFonts w:ascii="Calibri" w:cs="Calibri" w:eastAsia="Calibri" w:hAnsi="Calibri"/>
                <w:sz w:val="20"/>
                <w:szCs w:val="20"/>
              </w:rPr>
              <w:t xml:space="preserve">✓</w:t>
            </w:r>
          </w:p>
        </w:tc>
      </w:tr>
    </w:tbl>
    <w:p>
      <w:pPr>
        <w:spacing w:after="40" w:before="360"/>
      </w:pPr>
      <w:r>
        <w:rPr>
          <w:rFonts w:ascii="Calibri" w:cs="Calibri" w:eastAsia="Calibri" w:hAnsi="Calibri"/>
          <w:b/>
          <w:bCs/>
          <w:sz w:val="26"/>
          <w:szCs w:val="26"/>
        </w:rPr>
        <w:t xml:space="preserve">APPENDIX 2</w:t>
      </w:r>
    </w:p>
    <w:p>
      <w:pPr>
        <w:spacing w:after="200" w:before="40"/>
      </w:pPr>
      <w:r>
        <w:rPr>
          <w:rFonts w:ascii="標楷體" w:cs="標楷體" w:eastAsia="標楷體" w:hAnsi="標楷體"/>
          <w:b/>
          <w:bCs/>
          <w:sz w:val="26"/>
          <w:szCs w:val="26"/>
        </w:rPr>
        <w:t xml:space="preserve">附錄二</w:t>
      </w:r>
    </w:p>
    <w:p>
      <w:pPr>
        <w:spacing w:after="40" w:before="280"/>
      </w:pPr>
      <w:r>
        <w:rPr>
          <w:rFonts w:ascii="Calibri" w:cs="Calibri" w:eastAsia="Calibri" w:hAnsi="Calibri"/>
          <w:b/>
          <w:bCs/>
          <w:sz w:val="23"/>
          <w:szCs w:val="23"/>
        </w:rPr>
        <w:t xml:space="preserve">Characteristics of Technologies and Potential Circumstances that Create or Amplify Threats</w:t>
      </w:r>
    </w:p>
    <w:p>
      <w:pPr>
        <w:spacing w:after="160" w:before="40"/>
      </w:pPr>
      <w:r>
        <w:rPr>
          <w:rFonts w:ascii="標楷體" w:cs="標楷體" w:eastAsia="標楷體" w:hAnsi="標楷體"/>
          <w:b/>
          <w:bCs/>
          <w:sz w:val="23"/>
          <w:szCs w:val="23"/>
        </w:rPr>
        <w:t xml:space="preserve">科技特徵與可能產生或加劇威脅之情況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8EEF7" w:val="clear"/>
            <w:tcMar>
              <w:top w:type="dxa" w:w="60"/>
              <w:left w:type="dxa" w:w="100"/>
              <w:bottom w:type="dxa" w:w="60"/>
              <w:right w:type="dxa" w:w="100"/>
            </w:tcMar>
            <w:vAlign w:val="center"/>
          </w:tcPr>
          <w:p>
            <w:pPr>
              <w:spacing w:after="20" w:before="40"/>
            </w:pPr>
            <w:r>
              <w:rPr>
                <w:rFonts w:ascii="Calibri" w:cs="Calibri" w:eastAsia="Calibri" w:hAnsi="Calibri"/>
                <w:b/>
                <w:bCs/>
                <w:sz w:val="18"/>
                <w:szCs w:val="18"/>
              </w:rPr>
              <w:t xml:space="preserve">Technology Characteristics</w:t>
            </w:r>
          </w:p>
          <w:p>
            <w:pPr>
              <w:spacing w:after="40" w:before="20"/>
            </w:pPr>
            <w:r>
              <w:rPr>
                <w:rFonts w:ascii="標楷體" w:cs="標楷體" w:eastAsia="標楷體" w:hAnsi="標楷體"/>
                <w:b/>
                <w:bCs/>
                <w:sz w:val="18"/>
                <w:szCs w:val="18"/>
              </w:rPr>
              <w:t xml:space="preserve">科技特徵</w:t>
            </w:r>
          </w:p>
        </w:tc>
        <w:tc>
          <w:tcPr>
            <w:shd w:fill="E8EEF7" w:val="clear"/>
            <w:tcMar>
              <w:top w:type="dxa" w:w="60"/>
              <w:left w:type="dxa" w:w="100"/>
              <w:bottom w:type="dxa" w:w="60"/>
              <w:right w:type="dxa" w:w="100"/>
            </w:tcMar>
            <w:vAlign w:val="center"/>
          </w:tcPr>
          <w:p>
            <w:pPr>
              <w:spacing w:after="20" w:before="40"/>
            </w:pPr>
            <w:r>
              <w:rPr>
                <w:rFonts w:ascii="Calibri" w:cs="Calibri" w:eastAsia="Calibri" w:hAnsi="Calibri"/>
                <w:b/>
                <w:bCs/>
                <w:sz w:val="18"/>
                <w:szCs w:val="18"/>
              </w:rPr>
              <w:t xml:space="preserve">Potential circumstances creating or amplifying threats</w:t>
            </w:r>
          </w:p>
          <w:p>
            <w:pPr>
              <w:spacing w:after="40" w:before="20"/>
            </w:pPr>
            <w:r>
              <w:rPr>
                <w:rFonts w:ascii="標楷體" w:cs="標楷體" w:eastAsia="標楷體" w:hAnsi="標楷體"/>
                <w:b/>
                <w:bCs/>
                <w:sz w:val="18"/>
                <w:szCs w:val="18"/>
              </w:rPr>
              <w:t xml:space="preserve">可能產生或加劇威脅之情況</w:t>
            </w:r>
          </w:p>
        </w:tc>
        <w:tc>
          <w:tcPr>
            <w:shd w:fill="E8EEF7" w:val="clear"/>
            <w:tcMar>
              <w:top w:type="dxa" w:w="60"/>
              <w:left w:type="dxa" w:w="100"/>
              <w:bottom w:type="dxa" w:w="60"/>
              <w:right w:type="dxa" w:w="100"/>
            </w:tcMar>
            <w:vAlign w:val="center"/>
          </w:tcPr>
          <w:p>
            <w:pPr>
              <w:spacing w:after="20" w:before="40"/>
            </w:pPr>
            <w:r>
              <w:rPr>
                <w:rFonts w:ascii="Calibri" w:cs="Calibri" w:eastAsia="Calibri" w:hAnsi="Calibri"/>
                <w:b/>
                <w:bCs/>
                <w:sz w:val="18"/>
                <w:szCs w:val="18"/>
              </w:rPr>
              <w:t xml:space="preserve">Examples of Fundamental Principle impacted</w:t>
            </w:r>
          </w:p>
          <w:p>
            <w:pPr>
              <w:spacing w:after="40" w:before="20"/>
            </w:pPr>
            <w:r>
              <w:rPr>
                <w:rFonts w:ascii="標楷體" w:cs="標楷體" w:eastAsia="標楷體" w:hAnsi="標楷體"/>
                <w:b/>
                <w:bCs/>
                <w:sz w:val="18"/>
                <w:szCs w:val="18"/>
              </w:rPr>
              <w:t xml:space="preserve">受影響基本原則之例示</w:t>
            </w:r>
          </w:p>
        </w:tc>
        <w:tc>
          <w:tcPr>
            <w:shd w:fill="E8EEF7" w:val="clear"/>
            <w:tcMar>
              <w:top w:type="dxa" w:w="60"/>
              <w:left w:type="dxa" w:w="100"/>
              <w:bottom w:type="dxa" w:w="60"/>
              <w:right w:type="dxa" w:w="100"/>
            </w:tcMar>
            <w:vAlign w:val="center"/>
          </w:tcPr>
          <w:p>
            <w:pPr>
              <w:spacing w:after="20" w:before="40"/>
            </w:pPr>
            <w:r>
              <w:rPr>
                <w:rFonts w:ascii="Calibri" w:cs="Calibri" w:eastAsia="Calibri" w:hAnsi="Calibri"/>
                <w:b/>
                <w:bCs/>
                <w:sz w:val="18"/>
                <w:szCs w:val="18"/>
              </w:rPr>
              <w:t xml:space="preserve">Examples of threat[42]</w:t>
            </w:r>
          </w:p>
          <w:p>
            <w:pPr>
              <w:spacing w:after="40" w:before="20"/>
            </w:pPr>
            <w:r>
              <w:rPr>
                <w:rFonts w:ascii="標楷體" w:cs="標楷體" w:eastAsia="標楷體" w:hAnsi="標楷體"/>
                <w:b/>
                <w:bCs/>
                <w:sz w:val="18"/>
                <w:szCs w:val="18"/>
              </w:rPr>
              <w:t xml:space="preserve">威脅類型之例示[42]</w:t>
            </w:r>
          </w:p>
        </w:tc>
      </w:tr>
      <w:tr>
        <w:tc>
          <w:tcPr>
            <w:tcMar>
              <w:top w:type="dxa" w:w="60"/>
              <w:left w:type="dxa" w:w="100"/>
              <w:bottom w:type="dxa" w:w="60"/>
              <w:right w:type="dxa" w:w="100"/>
            </w:tcMar>
            <w:vAlign w:val="center"/>
          </w:tcPr>
          <w:p>
            <w:pPr>
              <w:spacing w:after="20" w:before="40"/>
            </w:pPr>
            <w:r>
              <w:rPr>
                <w:rFonts w:ascii="Calibri" w:cs="Calibri" w:eastAsia="Calibri" w:hAnsi="Calibri"/>
                <w:b/>
                <w:bCs/>
                <w:sz w:val="18"/>
                <w:szCs w:val="18"/>
              </w:rPr>
              <w:t xml:space="preserve">Opacity</w:t>
            </w:r>
          </w:p>
          <w:p>
            <w:pPr>
              <w:spacing w:after="40" w:before="20"/>
            </w:pPr>
            <w:r>
              <w:rPr>
                <w:rFonts w:ascii="標楷體" w:cs="標楷體" w:eastAsia="標楷體" w:hAnsi="標楷體"/>
                <w:b/>
                <w:bCs/>
                <w:sz w:val="18"/>
                <w:szCs w:val="18"/>
              </w:rPr>
              <w:t xml:space="preserve">不透明性</w:t>
            </w:r>
          </w:p>
        </w:tc>
        <w:tc>
          <w:tcPr>
            <w:tcMar>
              <w:top w:type="dxa" w:w="60"/>
              <w:left w:type="dxa" w:w="100"/>
              <w:bottom w:type="dxa" w:w="60"/>
              <w:right w:type="dxa" w:w="100"/>
            </w:tcMar>
            <w:vAlign w:val="center"/>
          </w:tcPr>
          <w:p>
            <w:pPr>
              <w:spacing w:after="20" w:before="40"/>
            </w:pPr>
            <w:r>
              <w:rPr>
                <w:rFonts w:ascii="Calibri" w:cs="Calibri" w:eastAsia="Calibri" w:hAnsi="Calibri"/>
                <w:b w:val="false"/>
                <w:bCs w:val="false"/>
                <w:sz w:val="18"/>
                <w:szCs w:val="18"/>
              </w:rPr>
              <w:t xml:space="preserve">• Limited explainability of outputs and decisions  • Inability to understand how conclusions were reached  • Difficulty challenging or validating results  • Overreliance on vendor assurances  • Limited transparency into vendor controls</w:t>
            </w:r>
          </w:p>
          <w:p>
            <w:pPr>
              <w:spacing w:after="40" w:before="20"/>
            </w:pPr>
            <w:r>
              <w:rPr>
                <w:rFonts w:ascii="標楷體" w:cs="標楷體" w:eastAsia="標楷體" w:hAnsi="標楷體"/>
                <w:b w:val="false"/>
                <w:bCs w:val="false"/>
                <w:sz w:val="18"/>
                <w:szCs w:val="18"/>
              </w:rPr>
              <w:t xml:space="preserve">• 產出與決策之可解釋性受限 • 無法理解結論係如何達成 • 難以質疑或驗證結果 • 過度依賴供應商之保證 • 對供應商控制之透明度有限</w:t>
            </w:r>
          </w:p>
        </w:tc>
        <w:tc>
          <w:tcPr>
            <w:tcMar>
              <w:top w:type="dxa" w:w="60"/>
              <w:left w:type="dxa" w:w="100"/>
              <w:bottom w:type="dxa" w:w="60"/>
              <w:right w:type="dxa" w:w="100"/>
            </w:tcMar>
            <w:vAlign w:val="center"/>
          </w:tcPr>
          <w:p>
            <w:pPr>
              <w:spacing w:after="20" w:before="40"/>
            </w:pPr>
            <w:r>
              <w:rPr>
                <w:rFonts w:ascii="Calibri" w:cs="Calibri" w:eastAsia="Calibri" w:hAnsi="Calibri"/>
                <w:b w:val="false"/>
                <w:bCs w:val="false"/>
                <w:sz w:val="18"/>
                <w:szCs w:val="18"/>
              </w:rPr>
              <w:t xml:space="preserve">• Professional competence and due care  • Integrity  • Objectivity  • Professional behavior</w:t>
            </w:r>
          </w:p>
          <w:p>
            <w:pPr>
              <w:spacing w:after="40" w:before="20"/>
            </w:pPr>
            <w:r>
              <w:rPr>
                <w:rFonts w:ascii="標楷體" w:cs="標楷體" w:eastAsia="標楷體" w:hAnsi="標楷體"/>
                <w:b w:val="false"/>
                <w:bCs w:val="false"/>
                <w:sz w:val="18"/>
                <w:szCs w:val="18"/>
              </w:rPr>
              <w:t xml:space="preserve">• 專業能力及應有之注意 • 正直 • 客觀 • 專業行為</w:t>
            </w:r>
          </w:p>
        </w:tc>
        <w:tc>
          <w:tcPr>
            <w:tcMar>
              <w:top w:type="dxa" w:w="60"/>
              <w:left w:type="dxa" w:w="100"/>
              <w:bottom w:type="dxa" w:w="60"/>
              <w:right w:type="dxa" w:w="100"/>
            </w:tcMar>
            <w:vAlign w:val="center"/>
          </w:tcPr>
          <w:p>
            <w:pPr>
              <w:spacing w:after="20" w:before="40"/>
            </w:pPr>
            <w:r>
              <w:rPr>
                <w:rFonts w:ascii="Calibri" w:cs="Calibri" w:eastAsia="Calibri" w:hAnsi="Calibri"/>
                <w:b w:val="false"/>
                <w:bCs w:val="false"/>
                <w:sz w:val="18"/>
                <w:szCs w:val="18"/>
              </w:rPr>
              <w:t xml:space="preserve">Intimidation / Self-interest</w:t>
            </w:r>
          </w:p>
          <w:p>
            <w:pPr>
              <w:spacing w:after="40" w:before="20"/>
            </w:pPr>
            <w:r>
              <w:rPr>
                <w:rFonts w:ascii="標楷體" w:cs="標楷體" w:eastAsia="標楷體" w:hAnsi="標楷體"/>
                <w:b w:val="false"/>
                <w:bCs w:val="false"/>
                <w:sz w:val="18"/>
                <w:szCs w:val="18"/>
              </w:rPr>
              <w:t xml:space="preserve">脅迫／自我利益</w:t>
            </w:r>
          </w:p>
        </w:tc>
      </w:tr>
      <w:tr>
        <w:tc>
          <w:tcPr>
            <w:tcMar>
              <w:top w:type="dxa" w:w="60"/>
              <w:left w:type="dxa" w:w="100"/>
              <w:bottom w:type="dxa" w:w="60"/>
              <w:right w:type="dxa" w:w="100"/>
            </w:tcMar>
            <w:vAlign w:val="center"/>
          </w:tcPr>
          <w:p>
            <w:pPr>
              <w:spacing w:after="20" w:before="40"/>
            </w:pPr>
            <w:r>
              <w:rPr>
                <w:rFonts w:ascii="Calibri" w:cs="Calibri" w:eastAsia="Calibri" w:hAnsi="Calibri"/>
                <w:b/>
                <w:bCs/>
                <w:sz w:val="18"/>
                <w:szCs w:val="18"/>
              </w:rPr>
              <w:t xml:space="preserve">Non-determinism</w:t>
            </w:r>
          </w:p>
          <w:p>
            <w:pPr>
              <w:spacing w:after="40" w:before="20"/>
            </w:pPr>
            <w:r>
              <w:rPr>
                <w:rFonts w:ascii="標楷體" w:cs="標楷體" w:eastAsia="標楷體" w:hAnsi="標楷體"/>
                <w:b/>
                <w:bCs/>
                <w:sz w:val="18"/>
                <w:szCs w:val="18"/>
              </w:rPr>
              <w:t xml:space="preserve">非決定性</w:t>
            </w:r>
          </w:p>
        </w:tc>
        <w:tc>
          <w:tcPr>
            <w:tcMar>
              <w:top w:type="dxa" w:w="60"/>
              <w:left w:type="dxa" w:w="100"/>
              <w:bottom w:type="dxa" w:w="60"/>
              <w:right w:type="dxa" w:w="100"/>
            </w:tcMar>
            <w:vAlign w:val="center"/>
          </w:tcPr>
          <w:p>
            <w:pPr>
              <w:spacing w:after="20" w:before="40"/>
            </w:pPr>
            <w:r>
              <w:rPr>
                <w:rFonts w:ascii="Calibri" w:cs="Calibri" w:eastAsia="Calibri" w:hAnsi="Calibri"/>
                <w:b w:val="false"/>
                <w:bCs w:val="false"/>
                <w:sz w:val="18"/>
                <w:szCs w:val="18"/>
              </w:rPr>
              <w:t xml:space="preserve">• Identical or similar input producing different outputs  • Unpredictable responses  • Inconsistent advice or conclusions  • Difficulty reproducing evidence or audit trails</w:t>
            </w:r>
          </w:p>
          <w:p>
            <w:pPr>
              <w:spacing w:after="40" w:before="20"/>
            </w:pPr>
            <w:r>
              <w:rPr>
                <w:rFonts w:ascii="標楷體" w:cs="標楷體" w:eastAsia="標楷體" w:hAnsi="標楷體"/>
                <w:b w:val="false"/>
                <w:bCs w:val="false"/>
                <w:sz w:val="18"/>
                <w:szCs w:val="18"/>
              </w:rPr>
              <w:t xml:space="preserve">• 相同或相似之輸入產生不同產出 • 反應難以預測 • 建議或結論不一致 • 難以重製證據或查核軌跡</w:t>
            </w:r>
          </w:p>
        </w:tc>
        <w:tc>
          <w:tcPr>
            <w:tcMar>
              <w:top w:type="dxa" w:w="60"/>
              <w:left w:type="dxa" w:w="100"/>
              <w:bottom w:type="dxa" w:w="60"/>
              <w:right w:type="dxa" w:w="100"/>
            </w:tcMar>
            <w:vAlign w:val="center"/>
          </w:tcPr>
          <w:p>
            <w:pPr>
              <w:spacing w:after="20" w:before="40"/>
            </w:pPr>
            <w:r>
              <w:rPr>
                <w:rFonts w:ascii="Calibri" w:cs="Calibri" w:eastAsia="Calibri" w:hAnsi="Calibri"/>
                <w:b w:val="false"/>
                <w:bCs w:val="false"/>
                <w:sz w:val="18"/>
                <w:szCs w:val="18"/>
              </w:rPr>
              <w:t xml:space="preserve">• Professional competence and due care  • Integrity  • Objectivity  • Professional behavior</w:t>
            </w:r>
          </w:p>
          <w:p>
            <w:pPr>
              <w:spacing w:after="40" w:before="20"/>
            </w:pPr>
            <w:r>
              <w:rPr>
                <w:rFonts w:ascii="標楷體" w:cs="標楷體" w:eastAsia="標楷體" w:hAnsi="標楷體"/>
                <w:b w:val="false"/>
                <w:bCs w:val="false"/>
                <w:sz w:val="18"/>
                <w:szCs w:val="18"/>
              </w:rPr>
              <w:t xml:space="preserve">• 專業能力及應有之注意 • 正直 • 客觀 • 專業行為</w:t>
            </w:r>
          </w:p>
        </w:tc>
        <w:tc>
          <w:tcPr>
            <w:tcMar>
              <w:top w:type="dxa" w:w="60"/>
              <w:left w:type="dxa" w:w="100"/>
              <w:bottom w:type="dxa" w:w="60"/>
              <w:right w:type="dxa" w:w="100"/>
            </w:tcMar>
            <w:vAlign w:val="center"/>
          </w:tcPr>
          <w:p>
            <w:pPr>
              <w:spacing w:after="20" w:before="40"/>
            </w:pPr>
            <w:r>
              <w:rPr>
                <w:rFonts w:ascii="Calibri" w:cs="Calibri" w:eastAsia="Calibri" w:hAnsi="Calibri"/>
                <w:b w:val="false"/>
                <w:bCs w:val="false"/>
                <w:sz w:val="18"/>
                <w:szCs w:val="18"/>
              </w:rPr>
              <w:t xml:space="preserve">Intimidation / Self-interest</w:t>
            </w:r>
          </w:p>
          <w:p>
            <w:pPr>
              <w:spacing w:after="40" w:before="20"/>
            </w:pPr>
            <w:r>
              <w:rPr>
                <w:rFonts w:ascii="標楷體" w:cs="標楷體" w:eastAsia="標楷體" w:hAnsi="標楷體"/>
                <w:b w:val="false"/>
                <w:bCs w:val="false"/>
                <w:sz w:val="18"/>
                <w:szCs w:val="18"/>
              </w:rPr>
              <w:t xml:space="preserve">脅迫／自我利益</w:t>
            </w:r>
          </w:p>
        </w:tc>
      </w:tr>
      <w:tr>
        <w:tc>
          <w:tcPr>
            <w:tcMar>
              <w:top w:type="dxa" w:w="60"/>
              <w:left w:type="dxa" w:w="100"/>
              <w:bottom w:type="dxa" w:w="60"/>
              <w:right w:type="dxa" w:w="100"/>
            </w:tcMar>
            <w:vAlign w:val="center"/>
          </w:tcPr>
          <w:p>
            <w:pPr>
              <w:spacing w:after="20" w:before="40"/>
            </w:pPr>
            <w:r>
              <w:rPr>
                <w:rFonts w:ascii="Calibri" w:cs="Calibri" w:eastAsia="Calibri" w:hAnsi="Calibri"/>
                <w:b/>
                <w:bCs/>
                <w:sz w:val="18"/>
                <w:szCs w:val="18"/>
              </w:rPr>
              <w:t xml:space="preserve">Perpetual Adaptivity</w:t>
            </w:r>
          </w:p>
          <w:p>
            <w:pPr>
              <w:spacing w:after="40" w:before="20"/>
            </w:pPr>
            <w:r>
              <w:rPr>
                <w:rFonts w:ascii="標楷體" w:cs="標楷體" w:eastAsia="標楷體" w:hAnsi="標楷體"/>
                <w:b/>
                <w:bCs/>
                <w:sz w:val="18"/>
                <w:szCs w:val="18"/>
              </w:rPr>
              <w:t xml:space="preserve">持續調適性</w:t>
            </w:r>
          </w:p>
        </w:tc>
        <w:tc>
          <w:tcPr>
            <w:tcMar>
              <w:top w:type="dxa" w:w="60"/>
              <w:left w:type="dxa" w:w="100"/>
              <w:bottom w:type="dxa" w:w="60"/>
              <w:right w:type="dxa" w:w="100"/>
            </w:tcMar>
            <w:vAlign w:val="center"/>
          </w:tcPr>
          <w:p>
            <w:pPr>
              <w:spacing w:after="20" w:before="40"/>
            </w:pPr>
            <w:r>
              <w:rPr>
                <w:rFonts w:ascii="Calibri" w:cs="Calibri" w:eastAsia="Calibri" w:hAnsi="Calibri"/>
                <w:b w:val="false"/>
                <w:bCs w:val="false"/>
                <w:sz w:val="18"/>
                <w:szCs w:val="18"/>
              </w:rPr>
              <w:t xml:space="preserve">• System behavior changes after deployment without explicit reprogramming  • Controls becoming outdated  • Risk assessments no longer valid  • Evolving outputs reducing reliability</w:t>
            </w:r>
          </w:p>
          <w:p>
            <w:pPr>
              <w:spacing w:after="40" w:before="20"/>
            </w:pPr>
            <w:r>
              <w:rPr>
                <w:rFonts w:ascii="標楷體" w:cs="標楷體" w:eastAsia="標楷體" w:hAnsi="標楷體"/>
                <w:b w:val="false"/>
                <w:bCs w:val="false"/>
                <w:sz w:val="18"/>
                <w:szCs w:val="18"/>
              </w:rPr>
              <w:t xml:space="preserve">• 系統行為於部署後未經明確重新編程即改變 • 控制逐漸過時 • 風險評估不再有效 • 產出持續演變致可靠性降低</w:t>
            </w:r>
          </w:p>
        </w:tc>
        <w:tc>
          <w:tcPr>
            <w:tcMar>
              <w:top w:type="dxa" w:w="60"/>
              <w:left w:type="dxa" w:w="100"/>
              <w:bottom w:type="dxa" w:w="60"/>
              <w:right w:type="dxa" w:w="100"/>
            </w:tcMar>
            <w:vAlign w:val="center"/>
          </w:tcPr>
          <w:p>
            <w:pPr>
              <w:spacing w:after="20" w:before="40"/>
            </w:pPr>
            <w:r>
              <w:rPr>
                <w:rFonts w:ascii="Calibri" w:cs="Calibri" w:eastAsia="Calibri" w:hAnsi="Calibri"/>
                <w:b w:val="false"/>
                <w:bCs w:val="false"/>
                <w:sz w:val="18"/>
                <w:szCs w:val="18"/>
              </w:rPr>
              <w:t xml:space="preserve">• Professional competence and due care  • Integrity  • Objectivity  • Professional behavior</w:t>
            </w:r>
          </w:p>
          <w:p>
            <w:pPr>
              <w:spacing w:after="40" w:before="20"/>
            </w:pPr>
            <w:r>
              <w:rPr>
                <w:rFonts w:ascii="標楷體" w:cs="標楷體" w:eastAsia="標楷體" w:hAnsi="標楷體"/>
                <w:b w:val="false"/>
                <w:bCs w:val="false"/>
                <w:sz w:val="18"/>
                <w:szCs w:val="18"/>
              </w:rPr>
              <w:t xml:space="preserve">• 專業能力及應有之注意 • 正直 • 客觀 • 專業行為</w:t>
            </w:r>
          </w:p>
        </w:tc>
        <w:tc>
          <w:tcPr>
            <w:tcMar>
              <w:top w:type="dxa" w:w="60"/>
              <w:left w:type="dxa" w:w="100"/>
              <w:bottom w:type="dxa" w:w="60"/>
              <w:right w:type="dxa" w:w="100"/>
            </w:tcMar>
            <w:vAlign w:val="center"/>
          </w:tcPr>
          <w:p>
            <w:pPr>
              <w:spacing w:after="20" w:before="40"/>
            </w:pPr>
            <w:r>
              <w:rPr>
                <w:rFonts w:ascii="Calibri" w:cs="Calibri" w:eastAsia="Calibri" w:hAnsi="Calibri"/>
                <w:b w:val="false"/>
                <w:bCs w:val="false"/>
                <w:sz w:val="18"/>
                <w:szCs w:val="18"/>
              </w:rPr>
              <w:t xml:space="preserve">Intimidation / Self-interest</w:t>
            </w:r>
          </w:p>
          <w:p>
            <w:pPr>
              <w:spacing w:after="40" w:before="20"/>
            </w:pPr>
            <w:r>
              <w:rPr>
                <w:rFonts w:ascii="標楷體" w:cs="標楷體" w:eastAsia="標楷體" w:hAnsi="標楷體"/>
                <w:b w:val="false"/>
                <w:bCs w:val="false"/>
                <w:sz w:val="18"/>
                <w:szCs w:val="18"/>
              </w:rPr>
              <w:t xml:space="preserve">脅迫／自我利益</w:t>
            </w:r>
          </w:p>
        </w:tc>
      </w:tr>
      <w:tr>
        <w:tc>
          <w:tcPr>
            <w:tcMar>
              <w:top w:type="dxa" w:w="60"/>
              <w:left w:type="dxa" w:w="100"/>
              <w:bottom w:type="dxa" w:w="60"/>
              <w:right w:type="dxa" w:w="100"/>
            </w:tcMar>
            <w:vAlign w:val="center"/>
          </w:tcPr>
          <w:p>
            <w:pPr>
              <w:spacing w:after="20" w:before="40"/>
            </w:pPr>
            <w:r>
              <w:rPr>
                <w:rFonts w:ascii="Calibri" w:cs="Calibri" w:eastAsia="Calibri" w:hAnsi="Calibri"/>
                <w:b/>
                <w:bCs/>
                <w:sz w:val="18"/>
                <w:szCs w:val="18"/>
              </w:rPr>
              <w:t xml:space="preserve">Autonomy</w:t>
            </w:r>
          </w:p>
          <w:p>
            <w:pPr>
              <w:spacing w:after="40" w:before="20"/>
            </w:pPr>
            <w:r>
              <w:rPr>
                <w:rFonts w:ascii="標楷體" w:cs="標楷體" w:eastAsia="標楷體" w:hAnsi="標楷體"/>
                <w:b/>
                <w:bCs/>
                <w:sz w:val="18"/>
                <w:szCs w:val="18"/>
              </w:rPr>
              <w:t xml:space="preserve">自主性</w:t>
            </w:r>
          </w:p>
        </w:tc>
        <w:tc>
          <w:tcPr>
            <w:tcMar>
              <w:top w:type="dxa" w:w="60"/>
              <w:left w:type="dxa" w:w="100"/>
              <w:bottom w:type="dxa" w:w="60"/>
              <w:right w:type="dxa" w:w="100"/>
            </w:tcMar>
            <w:vAlign w:val="center"/>
          </w:tcPr>
          <w:p>
            <w:pPr>
              <w:spacing w:after="20" w:before="40"/>
            </w:pPr>
            <w:r>
              <w:rPr>
                <w:rFonts w:ascii="Calibri" w:cs="Calibri" w:eastAsia="Calibri" w:hAnsi="Calibri"/>
                <w:b w:val="false"/>
                <w:bCs w:val="false"/>
                <w:sz w:val="18"/>
                <w:szCs w:val="18"/>
              </w:rPr>
              <w:t xml:space="preserve">• Reduced human intervention or approval  • Excessive delegation of judgment to systems  • Diminished professional skepticism  • Accountability gaps regarding decisions made by technology</w:t>
            </w:r>
          </w:p>
          <w:p>
            <w:pPr>
              <w:spacing w:after="40" w:before="20"/>
            </w:pPr>
            <w:r>
              <w:rPr>
                <w:rFonts w:ascii="標楷體" w:cs="標楷體" w:eastAsia="標楷體" w:hAnsi="標楷體"/>
                <w:b w:val="false"/>
                <w:bCs w:val="false"/>
                <w:sz w:val="18"/>
                <w:szCs w:val="18"/>
              </w:rPr>
              <w:t xml:space="preserve">• 人為介入或核准減少 • 判斷過度委由系統 • 職業懷疑態度弱化 • 科技所作決策之課責落差</w:t>
            </w:r>
          </w:p>
        </w:tc>
        <w:tc>
          <w:tcPr>
            <w:tcMar>
              <w:top w:type="dxa" w:w="60"/>
              <w:left w:type="dxa" w:w="100"/>
              <w:bottom w:type="dxa" w:w="60"/>
              <w:right w:type="dxa" w:w="100"/>
            </w:tcMar>
            <w:vAlign w:val="center"/>
          </w:tcPr>
          <w:p>
            <w:pPr>
              <w:spacing w:after="20" w:before="40"/>
            </w:pPr>
            <w:r>
              <w:rPr>
                <w:rFonts w:ascii="Calibri" w:cs="Calibri" w:eastAsia="Calibri" w:hAnsi="Calibri"/>
                <w:b w:val="false"/>
                <w:bCs w:val="false"/>
                <w:sz w:val="18"/>
                <w:szCs w:val="18"/>
              </w:rPr>
              <w:t xml:space="preserve">• Professional competence and due care  • Objectivity  • Integrity  • Confidentiality  • Professional behavior</w:t>
            </w:r>
          </w:p>
          <w:p>
            <w:pPr>
              <w:spacing w:after="40" w:before="20"/>
            </w:pPr>
            <w:r>
              <w:rPr>
                <w:rFonts w:ascii="標楷體" w:cs="標楷體" w:eastAsia="標楷體" w:hAnsi="標楷體"/>
                <w:b w:val="false"/>
                <w:bCs w:val="false"/>
                <w:sz w:val="18"/>
                <w:szCs w:val="18"/>
              </w:rPr>
              <w:t xml:space="preserve">• 專業能力及應有之注意 • 客觀 • 正直 • 保密 • 專業行為</w:t>
            </w:r>
          </w:p>
        </w:tc>
        <w:tc>
          <w:tcPr>
            <w:tcMar>
              <w:top w:type="dxa" w:w="60"/>
              <w:left w:type="dxa" w:w="100"/>
              <w:bottom w:type="dxa" w:w="60"/>
              <w:right w:type="dxa" w:w="100"/>
            </w:tcMar>
            <w:vAlign w:val="center"/>
          </w:tcPr>
          <w:p>
            <w:pPr>
              <w:spacing w:after="20" w:before="40"/>
            </w:pPr>
            <w:r>
              <w:rPr>
                <w:rFonts w:ascii="Calibri" w:cs="Calibri" w:eastAsia="Calibri" w:hAnsi="Calibri"/>
                <w:b w:val="false"/>
                <w:bCs w:val="false"/>
                <w:sz w:val="18"/>
                <w:szCs w:val="18"/>
              </w:rPr>
              <w:t xml:space="preserve">Self-interest / Advocacy</w:t>
            </w:r>
          </w:p>
          <w:p>
            <w:pPr>
              <w:spacing w:after="40" w:before="20"/>
            </w:pPr>
            <w:r>
              <w:rPr>
                <w:rFonts w:ascii="標楷體" w:cs="標楷體" w:eastAsia="標楷體" w:hAnsi="標楷體"/>
                <w:b w:val="false"/>
                <w:bCs w:val="false"/>
                <w:sz w:val="18"/>
                <w:szCs w:val="18"/>
              </w:rPr>
              <w:t xml:space="preserve">自我利益／辯護</w:t>
            </w:r>
          </w:p>
        </w:tc>
      </w:tr>
      <w:tr>
        <w:tc>
          <w:tcPr>
            <w:tcMar>
              <w:top w:type="dxa" w:w="60"/>
              <w:left w:type="dxa" w:w="100"/>
              <w:bottom w:type="dxa" w:w="60"/>
              <w:right w:type="dxa" w:w="100"/>
            </w:tcMar>
            <w:vAlign w:val="center"/>
          </w:tcPr>
          <w:p>
            <w:pPr>
              <w:spacing w:after="20" w:before="40"/>
            </w:pPr>
            <w:r>
              <w:rPr>
                <w:rFonts w:ascii="Calibri" w:cs="Calibri" w:eastAsia="Calibri" w:hAnsi="Calibri"/>
                <w:b/>
                <w:bCs/>
                <w:sz w:val="18"/>
                <w:szCs w:val="18"/>
              </w:rPr>
              <w:t xml:space="preserve">Data dependence</w:t>
            </w:r>
          </w:p>
          <w:p>
            <w:pPr>
              <w:spacing w:after="40" w:before="20"/>
            </w:pPr>
            <w:r>
              <w:rPr>
                <w:rFonts w:ascii="標楷體" w:cs="標楷體" w:eastAsia="標楷體" w:hAnsi="標楷體"/>
                <w:b/>
                <w:bCs/>
                <w:sz w:val="18"/>
                <w:szCs w:val="18"/>
              </w:rPr>
              <w:t xml:space="preserve">資料依賴性</w:t>
            </w:r>
          </w:p>
        </w:tc>
        <w:tc>
          <w:tcPr>
            <w:tcMar>
              <w:top w:type="dxa" w:w="60"/>
              <w:left w:type="dxa" w:w="100"/>
              <w:bottom w:type="dxa" w:w="60"/>
              <w:right w:type="dxa" w:w="100"/>
            </w:tcMar>
            <w:vAlign w:val="center"/>
          </w:tcPr>
          <w:p>
            <w:pPr>
              <w:spacing w:after="20" w:before="40"/>
            </w:pPr>
            <w:r>
              <w:rPr>
                <w:rFonts w:ascii="Calibri" w:cs="Calibri" w:eastAsia="Calibri" w:hAnsi="Calibri"/>
                <w:b w:val="false"/>
                <w:bCs w:val="false"/>
                <w:sz w:val="18"/>
                <w:szCs w:val="18"/>
              </w:rPr>
              <w:t xml:space="preserve">• Biased, incomplete, inaccurate, or outdated data influencing outputs  • Privacy breaches  • Unauthorized data use  • Embedded historical bias affecting recommendations</w:t>
            </w:r>
          </w:p>
          <w:p>
            <w:pPr>
              <w:spacing w:after="40" w:before="20"/>
            </w:pPr>
            <w:r>
              <w:rPr>
                <w:rFonts w:ascii="標楷體" w:cs="標楷體" w:eastAsia="標楷體" w:hAnsi="標楷體"/>
                <w:b w:val="false"/>
                <w:bCs w:val="false"/>
                <w:sz w:val="18"/>
                <w:szCs w:val="18"/>
              </w:rPr>
              <w:t xml:space="preserve">• 偏誤、不完整、不正確或過時之資料影響產出 • 隱私侵害 • 未經授權之資料使用 • 內嵌之歷史偏誤影響建議</w:t>
            </w:r>
          </w:p>
        </w:tc>
        <w:tc>
          <w:tcPr>
            <w:tcMar>
              <w:top w:type="dxa" w:w="60"/>
              <w:left w:type="dxa" w:w="100"/>
              <w:bottom w:type="dxa" w:w="60"/>
              <w:right w:type="dxa" w:w="100"/>
            </w:tcMar>
            <w:vAlign w:val="center"/>
          </w:tcPr>
          <w:p>
            <w:pPr>
              <w:spacing w:after="20" w:before="40"/>
            </w:pPr>
            <w:r>
              <w:rPr>
                <w:rFonts w:ascii="Calibri" w:cs="Calibri" w:eastAsia="Calibri" w:hAnsi="Calibri"/>
                <w:b w:val="false"/>
                <w:bCs w:val="false"/>
                <w:sz w:val="18"/>
                <w:szCs w:val="18"/>
              </w:rPr>
              <w:t xml:space="preserve">• Objectivity  • Confidentiality  • Integrity  • Professional behavior</w:t>
            </w:r>
          </w:p>
          <w:p>
            <w:pPr>
              <w:spacing w:after="40" w:before="20"/>
            </w:pPr>
            <w:r>
              <w:rPr>
                <w:rFonts w:ascii="標楷體" w:cs="標楷體" w:eastAsia="標楷體" w:hAnsi="標楷體"/>
                <w:b w:val="false"/>
                <w:bCs w:val="false"/>
                <w:sz w:val="18"/>
                <w:szCs w:val="18"/>
              </w:rPr>
              <w:t xml:space="preserve">• 客觀 • 保密 • 正直 • 專業行為</w:t>
            </w:r>
          </w:p>
        </w:tc>
        <w:tc>
          <w:tcPr>
            <w:tcMar>
              <w:top w:type="dxa" w:w="60"/>
              <w:left w:type="dxa" w:w="100"/>
              <w:bottom w:type="dxa" w:w="60"/>
              <w:right w:type="dxa" w:w="100"/>
            </w:tcMar>
            <w:vAlign w:val="center"/>
          </w:tcPr>
          <w:p>
            <w:pPr>
              <w:spacing w:after="20" w:before="40"/>
            </w:pPr>
            <w:r>
              <w:rPr>
                <w:rFonts w:ascii="Calibri" w:cs="Calibri" w:eastAsia="Calibri" w:hAnsi="Calibri"/>
                <w:b w:val="false"/>
                <w:bCs w:val="false"/>
                <w:sz w:val="18"/>
                <w:szCs w:val="18"/>
              </w:rPr>
              <w:t xml:space="preserve">Self-interest / Advocacy</w:t>
            </w:r>
          </w:p>
          <w:p>
            <w:pPr>
              <w:spacing w:after="40" w:before="20"/>
            </w:pPr>
            <w:r>
              <w:rPr>
                <w:rFonts w:ascii="標楷體" w:cs="標楷體" w:eastAsia="標楷體" w:hAnsi="標楷體"/>
                <w:b w:val="false"/>
                <w:bCs w:val="false"/>
                <w:sz w:val="18"/>
                <w:szCs w:val="18"/>
              </w:rPr>
              <w:t xml:space="preserve">自我利益／辯護</w:t>
            </w:r>
          </w:p>
        </w:tc>
      </w:tr>
      <w:tr>
        <w:tc>
          <w:tcPr>
            <w:tcMar>
              <w:top w:type="dxa" w:w="60"/>
              <w:left w:type="dxa" w:w="100"/>
              <w:bottom w:type="dxa" w:w="60"/>
              <w:right w:type="dxa" w:w="100"/>
            </w:tcMar>
            <w:vAlign w:val="center"/>
          </w:tcPr>
          <w:p>
            <w:pPr>
              <w:spacing w:after="20" w:before="40"/>
            </w:pPr>
            <w:r>
              <w:rPr>
                <w:rFonts w:ascii="Calibri" w:cs="Calibri" w:eastAsia="Calibri" w:hAnsi="Calibri"/>
                <w:b/>
                <w:bCs/>
                <w:sz w:val="18"/>
                <w:szCs w:val="18"/>
              </w:rPr>
              <w:t xml:space="preserve">Scalability</w:t>
            </w:r>
          </w:p>
          <w:p>
            <w:pPr>
              <w:spacing w:after="40" w:before="20"/>
            </w:pPr>
            <w:r>
              <w:rPr>
                <w:rFonts w:ascii="標楷體" w:cs="標楷體" w:eastAsia="標楷體" w:hAnsi="標楷體"/>
                <w:b/>
                <w:bCs/>
                <w:sz w:val="18"/>
                <w:szCs w:val="18"/>
              </w:rPr>
              <w:t xml:space="preserve">可擴展性</w:t>
            </w:r>
          </w:p>
        </w:tc>
        <w:tc>
          <w:tcPr>
            <w:tcMar>
              <w:top w:type="dxa" w:w="60"/>
              <w:left w:type="dxa" w:w="100"/>
              <w:bottom w:type="dxa" w:w="60"/>
              <w:right w:type="dxa" w:w="100"/>
            </w:tcMar>
            <w:vAlign w:val="center"/>
          </w:tcPr>
          <w:p>
            <w:pPr>
              <w:spacing w:after="20" w:before="40"/>
            </w:pPr>
            <w:r>
              <w:rPr>
                <w:rFonts w:ascii="Calibri" w:cs="Calibri" w:eastAsia="Calibri" w:hAnsi="Calibri"/>
                <w:b w:val="false"/>
                <w:bCs w:val="false"/>
                <w:sz w:val="18"/>
                <w:szCs w:val="18"/>
              </w:rPr>
              <w:t xml:space="preserve">• Errors, bias, or inappropriate outputs replicated rapidly across large populations or transactions  • Widespread impact before detection  • Amplified compliance failures</w:t>
            </w:r>
          </w:p>
          <w:p>
            <w:pPr>
              <w:spacing w:after="40" w:before="20"/>
            </w:pPr>
            <w:r>
              <w:rPr>
                <w:rFonts w:ascii="標楷體" w:cs="標楷體" w:eastAsia="標楷體" w:hAnsi="標楷體"/>
                <w:b w:val="false"/>
                <w:bCs w:val="false"/>
                <w:sz w:val="18"/>
                <w:szCs w:val="18"/>
              </w:rPr>
              <w:t xml:space="preserve">• 錯誤、偏誤或不當產出於大量母體或交易間快速複製 • 於偵測前即造成廣泛影響 • 法遵缺失遭放大</w:t>
            </w:r>
          </w:p>
        </w:tc>
        <w:tc>
          <w:tcPr>
            <w:tcMar>
              <w:top w:type="dxa" w:w="60"/>
              <w:left w:type="dxa" w:w="100"/>
              <w:bottom w:type="dxa" w:w="60"/>
              <w:right w:type="dxa" w:w="100"/>
            </w:tcMar>
            <w:vAlign w:val="center"/>
          </w:tcPr>
          <w:p>
            <w:pPr>
              <w:spacing w:after="20" w:before="40"/>
            </w:pPr>
            <w:r>
              <w:rPr>
                <w:rFonts w:ascii="Calibri" w:cs="Calibri" w:eastAsia="Calibri" w:hAnsi="Calibri"/>
                <w:b w:val="false"/>
                <w:bCs w:val="false"/>
                <w:sz w:val="18"/>
                <w:szCs w:val="18"/>
              </w:rPr>
              <w:t xml:space="preserve">• Professional competence and due care  • Objectivity  • Integrity  • Professional behavior</w:t>
            </w:r>
          </w:p>
          <w:p>
            <w:pPr>
              <w:spacing w:after="40" w:before="20"/>
            </w:pPr>
            <w:r>
              <w:rPr>
                <w:rFonts w:ascii="標楷體" w:cs="標楷體" w:eastAsia="標楷體" w:hAnsi="標楷體"/>
                <w:b w:val="false"/>
                <w:bCs w:val="false"/>
                <w:sz w:val="18"/>
                <w:szCs w:val="18"/>
              </w:rPr>
              <w:t xml:space="preserve">• 專業能力及應有之注意 • 客觀 • 正直 • 專業行為</w:t>
            </w:r>
          </w:p>
        </w:tc>
        <w:tc>
          <w:tcPr>
            <w:tcMar>
              <w:top w:type="dxa" w:w="60"/>
              <w:left w:type="dxa" w:w="100"/>
              <w:bottom w:type="dxa" w:w="60"/>
              <w:right w:type="dxa" w:w="100"/>
            </w:tcMar>
            <w:vAlign w:val="center"/>
          </w:tcPr>
          <w:p>
            <w:pPr>
              <w:spacing w:after="20" w:before="40"/>
            </w:pPr>
            <w:r>
              <w:rPr>
                <w:rFonts w:ascii="Calibri" w:cs="Calibri" w:eastAsia="Calibri" w:hAnsi="Calibri"/>
                <w:b w:val="false"/>
                <w:bCs w:val="false"/>
                <w:sz w:val="18"/>
                <w:szCs w:val="18"/>
              </w:rPr>
              <w:t xml:space="preserve">Intimidation / Self-interest</w:t>
            </w:r>
          </w:p>
          <w:p>
            <w:pPr>
              <w:spacing w:after="40" w:before="20"/>
            </w:pPr>
            <w:r>
              <w:rPr>
                <w:rFonts w:ascii="標楷體" w:cs="標楷體" w:eastAsia="標楷體" w:hAnsi="標楷體"/>
                <w:b w:val="false"/>
                <w:bCs w:val="false"/>
                <w:sz w:val="18"/>
                <w:szCs w:val="18"/>
              </w:rPr>
              <w:t xml:space="preserve">脅迫／自我利益</w:t>
            </w:r>
          </w:p>
        </w:tc>
      </w:tr>
      <w:tr>
        <w:tc>
          <w:tcPr>
            <w:tcMar>
              <w:top w:type="dxa" w:w="60"/>
              <w:left w:type="dxa" w:w="100"/>
              <w:bottom w:type="dxa" w:w="60"/>
              <w:right w:type="dxa" w:w="100"/>
            </w:tcMar>
            <w:vAlign w:val="center"/>
          </w:tcPr>
          <w:p>
            <w:pPr>
              <w:spacing w:after="20" w:before="40"/>
            </w:pPr>
            <w:r>
              <w:rPr>
                <w:rFonts w:ascii="Calibri" w:cs="Calibri" w:eastAsia="Calibri" w:hAnsi="Calibri"/>
                <w:b/>
                <w:bCs/>
                <w:sz w:val="18"/>
                <w:szCs w:val="18"/>
              </w:rPr>
              <w:t xml:space="preserve">Speed of processing and decision making</w:t>
            </w:r>
          </w:p>
          <w:p>
            <w:pPr>
              <w:spacing w:after="40" w:before="20"/>
            </w:pPr>
            <w:r>
              <w:rPr>
                <w:rFonts w:ascii="標楷體" w:cs="標楷體" w:eastAsia="標楷體" w:hAnsi="標楷體"/>
                <w:b/>
                <w:bCs/>
                <w:sz w:val="18"/>
                <w:szCs w:val="18"/>
              </w:rPr>
              <w:t xml:space="preserve">處理與決策速度</w:t>
            </w:r>
          </w:p>
        </w:tc>
        <w:tc>
          <w:tcPr>
            <w:tcMar>
              <w:top w:type="dxa" w:w="60"/>
              <w:left w:type="dxa" w:w="100"/>
              <w:bottom w:type="dxa" w:w="60"/>
              <w:right w:type="dxa" w:w="100"/>
            </w:tcMar>
            <w:vAlign w:val="center"/>
          </w:tcPr>
          <w:p>
            <w:pPr>
              <w:spacing w:after="20" w:before="40"/>
            </w:pPr>
            <w:r>
              <w:rPr>
                <w:rFonts w:ascii="Calibri" w:cs="Calibri" w:eastAsia="Calibri" w:hAnsi="Calibri"/>
                <w:b w:val="false"/>
                <w:bCs w:val="false"/>
                <w:sz w:val="18"/>
                <w:szCs w:val="18"/>
              </w:rPr>
              <w:t xml:space="preserve">• Reduced time for human review or challenge  • Automation bias  • Pressure to accept outputs without sufficient scrutiny  • Insufficient due diligence</w:t>
            </w:r>
          </w:p>
          <w:p>
            <w:pPr>
              <w:spacing w:after="40" w:before="20"/>
            </w:pPr>
            <w:r>
              <w:rPr>
                <w:rFonts w:ascii="標楷體" w:cs="標楷體" w:eastAsia="標楷體" w:hAnsi="標楷體"/>
                <w:b w:val="false"/>
                <w:bCs w:val="false"/>
                <w:sz w:val="18"/>
                <w:szCs w:val="18"/>
              </w:rPr>
              <w:t xml:space="preserve">• 人為覆核或質疑之時間減少 • 自動化偏誤 • 被迫於欠缺充分審視下接受產出之壓力 • 盡職調查不足</w:t>
            </w:r>
          </w:p>
        </w:tc>
        <w:tc>
          <w:tcPr>
            <w:tcMar>
              <w:top w:type="dxa" w:w="60"/>
              <w:left w:type="dxa" w:w="100"/>
              <w:bottom w:type="dxa" w:w="60"/>
              <w:right w:type="dxa" w:w="100"/>
            </w:tcMar>
            <w:vAlign w:val="center"/>
          </w:tcPr>
          <w:p>
            <w:pPr>
              <w:spacing w:after="20" w:before="40"/>
            </w:pPr>
            <w:r>
              <w:rPr>
                <w:rFonts w:ascii="Calibri" w:cs="Calibri" w:eastAsia="Calibri" w:hAnsi="Calibri"/>
                <w:b w:val="false"/>
                <w:bCs w:val="false"/>
                <w:sz w:val="18"/>
                <w:szCs w:val="18"/>
              </w:rPr>
              <w:t xml:space="preserve">• Professional competence and due care  • Objectivity  • Integrity  • Professional behavior</w:t>
            </w:r>
          </w:p>
          <w:p>
            <w:pPr>
              <w:spacing w:after="40" w:before="20"/>
            </w:pPr>
            <w:r>
              <w:rPr>
                <w:rFonts w:ascii="標楷體" w:cs="標楷體" w:eastAsia="標楷體" w:hAnsi="標楷體"/>
                <w:b w:val="false"/>
                <w:bCs w:val="false"/>
                <w:sz w:val="18"/>
                <w:szCs w:val="18"/>
              </w:rPr>
              <w:t xml:space="preserve">• 專業能力及應有之注意 • 客觀 • 正直 • 專業行為</w:t>
            </w:r>
          </w:p>
        </w:tc>
        <w:tc>
          <w:tcPr>
            <w:tcMar>
              <w:top w:type="dxa" w:w="60"/>
              <w:left w:type="dxa" w:w="100"/>
              <w:bottom w:type="dxa" w:w="60"/>
              <w:right w:type="dxa" w:w="100"/>
            </w:tcMar>
            <w:vAlign w:val="center"/>
          </w:tcPr>
          <w:p>
            <w:pPr>
              <w:spacing w:after="20" w:before="40"/>
            </w:pPr>
            <w:r>
              <w:rPr>
                <w:rFonts w:ascii="Calibri" w:cs="Calibri" w:eastAsia="Calibri" w:hAnsi="Calibri"/>
                <w:b w:val="false"/>
                <w:bCs w:val="false"/>
                <w:sz w:val="18"/>
                <w:szCs w:val="18"/>
              </w:rPr>
              <w:t xml:space="preserve">Intimidation / Self-interest / Advocacy</w:t>
            </w:r>
          </w:p>
          <w:p>
            <w:pPr>
              <w:spacing w:after="40" w:before="20"/>
            </w:pPr>
            <w:r>
              <w:rPr>
                <w:rFonts w:ascii="標楷體" w:cs="標楷體" w:eastAsia="標楷體" w:hAnsi="標楷體"/>
                <w:b w:val="false"/>
                <w:bCs w:val="false"/>
                <w:sz w:val="18"/>
                <w:szCs w:val="18"/>
              </w:rPr>
              <w:t xml:space="preserve">脅迫／自我利益／辯護</w:t>
            </w:r>
          </w:p>
        </w:tc>
      </w:tr>
    </w:tbl>
    <w:p>
      <w:pPr>
        <w:spacing w:after="40" w:before="360"/>
      </w:pPr>
      <w:r>
        <w:rPr>
          <w:rFonts w:ascii="Calibri" w:cs="Calibri" w:eastAsia="Calibri" w:hAnsi="Calibri"/>
          <w:b/>
          <w:bCs/>
          <w:sz w:val="26"/>
          <w:szCs w:val="26"/>
        </w:rPr>
        <w:t xml:space="preserve">FOOTNOTES</w:t>
      </w:r>
    </w:p>
    <w:p>
      <w:pPr>
        <w:spacing w:after="200" w:before="40"/>
      </w:pPr>
      <w:r>
        <w:rPr>
          <w:rFonts w:ascii="標楷體" w:cs="標楷體" w:eastAsia="標楷體" w:hAnsi="標楷體"/>
          <w:b/>
          <w:bCs/>
          <w:sz w:val="26"/>
          <w:szCs w:val="26"/>
        </w:rPr>
        <w:t xml:space="preserve">註釋</w:t>
      </w:r>
    </w:p>
    <w:p>
      <w:pPr>
        <w:spacing w:after="20" w:before="60"/>
        <w:jc w:val="both"/>
      </w:pPr>
      <w:r>
        <w:rPr>
          <w:rFonts w:ascii="Calibri" w:cs="Calibri" w:eastAsia="Calibri" w:hAnsi="Calibri"/>
          <w:b w:val="false"/>
          <w:bCs w:val="false"/>
          <w:i w:val="false"/>
          <w:iCs w:val="false"/>
          <w:sz w:val="18"/>
          <w:szCs w:val="18"/>
        </w:rPr>
        <w:t xml:space="preserve">1. References to the Code in this publication are to the 2025 version of the Code incorporating approved pronouncements effective in December 2026, i.e., Sustainability and Using the Work of an External Expert, except where otherwise stated.</w:t>
      </w:r>
    </w:p>
    <w:p>
      <w:pPr>
        <w:spacing w:after="100" w:before="20"/>
        <w:jc w:val="both"/>
      </w:pPr>
      <w:r>
        <w:rPr>
          <w:rFonts w:ascii="標楷體" w:cs="標楷體" w:eastAsia="標楷體" w:hAnsi="標楷體"/>
          <w:b w:val="false"/>
          <w:bCs w:val="false"/>
          <w:sz w:val="18"/>
          <w:szCs w:val="18"/>
        </w:rPr>
        <w:t xml:space="preserve">1. 本出版物所引用之守則，除另有說明外，係指2025年版守則，並納入2026年12月生效之已核定公告，即「永續」及「使用外部專家之工作」。</w:t>
      </w:r>
    </w:p>
    <w:p>
      <w:pPr>
        <w:spacing w:after="20" w:before="60"/>
        <w:jc w:val="both"/>
      </w:pPr>
      <w:r>
        <w:rPr>
          <w:rFonts w:ascii="Calibri" w:cs="Calibri" w:eastAsia="Calibri" w:hAnsi="Calibri"/>
          <w:b w:val="false"/>
          <w:bCs w:val="false"/>
          <w:i w:val="false"/>
          <w:iCs w:val="false"/>
          <w:sz w:val="18"/>
          <w:szCs w:val="18"/>
        </w:rPr>
        <w:t xml:space="preserve">2. Rules-based technologies are systems that use predefined “if-then” rules to make decisions, solve problems and automate reasoning in a transparent and interpretable manner.</w:t>
      </w:r>
    </w:p>
    <w:p>
      <w:pPr>
        <w:spacing w:after="100" w:before="20"/>
        <w:jc w:val="both"/>
      </w:pPr>
      <w:r>
        <w:rPr>
          <w:rFonts w:ascii="標楷體" w:cs="標楷體" w:eastAsia="標楷體" w:hAnsi="標楷體"/>
          <w:b w:val="false"/>
          <w:bCs w:val="false"/>
          <w:sz w:val="18"/>
          <w:szCs w:val="18"/>
        </w:rPr>
        <w:t xml:space="preserve">2. 規則式科技係使用預先定義之「若—則」規則，以透明且可解釋之方式作成決策、解決問題及自動化推理之系統。</w:t>
      </w:r>
    </w:p>
    <w:p>
      <w:pPr>
        <w:spacing w:after="20" w:before="60"/>
        <w:jc w:val="both"/>
      </w:pPr>
      <w:r>
        <w:rPr>
          <w:rFonts w:ascii="Calibri" w:cs="Calibri" w:eastAsia="Calibri" w:hAnsi="Calibri"/>
          <w:b w:val="false"/>
          <w:bCs w:val="false"/>
          <w:i w:val="false"/>
          <w:iCs w:val="false"/>
          <w:sz w:val="18"/>
          <w:szCs w:val="18"/>
        </w:rPr>
        <w:t xml:space="preserve">3. This publication uses the term “emerging technologies” to refer to new or rapidly evolving computer software and/or hardware technologies that are not yet fully mature, standardized, or widely adopted.</w:t>
      </w:r>
    </w:p>
    <w:p>
      <w:pPr>
        <w:spacing w:after="100" w:before="20"/>
        <w:jc w:val="both"/>
      </w:pPr>
      <w:r>
        <w:rPr>
          <w:rFonts w:ascii="標楷體" w:cs="標楷體" w:eastAsia="標楷體" w:hAnsi="標楷體"/>
          <w:b w:val="false"/>
          <w:bCs w:val="false"/>
          <w:sz w:val="18"/>
          <w:szCs w:val="18"/>
        </w:rPr>
        <w:t xml:space="preserve">3. 本出版物所稱「新興科技」，係指尚未完全成熟、標準化或廣泛採用之新的或快速演變之電腦軟體及／或硬體技術。</w:t>
      </w:r>
    </w:p>
    <w:p>
      <w:pPr>
        <w:spacing w:after="20" w:before="60"/>
        <w:jc w:val="both"/>
      </w:pPr>
      <w:r>
        <w:rPr>
          <w:rFonts w:ascii="Calibri" w:cs="Calibri" w:eastAsia="Calibri" w:hAnsi="Calibri"/>
          <w:b w:val="false"/>
          <w:bCs w:val="false"/>
          <w:i w:val="false"/>
          <w:iCs w:val="false"/>
          <w:sz w:val="18"/>
          <w:szCs w:val="18"/>
        </w:rPr>
        <w:t xml:space="preserve">4. For firms and PAs that perform audits and other assurance engagements, these technologies also have implications for their quality management responsibilities at the firm and engagement levels. The International Auditing and Assurance Standards Board (IAASB) has established a Technology Quality Management (QM) Workstream to develop non-authoritative material that clarifies and supports the consistent and effective application of the IAASB’s QM standards in circumstances where technological tools enabled by emerging technologies are used in engagements (see Workstream Action Plan (March 2026)).</w:t>
      </w:r>
    </w:p>
    <w:p>
      <w:pPr>
        <w:spacing w:after="100" w:before="20"/>
        <w:jc w:val="both"/>
      </w:pPr>
      <w:r>
        <w:rPr>
          <w:rFonts w:ascii="標楷體" w:cs="標楷體" w:eastAsia="標楷體" w:hAnsi="標楷體"/>
          <w:b w:val="false"/>
          <w:bCs w:val="false"/>
          <w:sz w:val="18"/>
          <w:szCs w:val="18"/>
        </w:rPr>
        <w:t xml:space="preserve">4. 對執行查核及其他確信案件之事務所及專業會計師而言，此等科技對其於事務所層級及案件層級之品質管理責任亦有影響。國際審計及確信準則理事會（IAASB）已成立科技品質管理（QM）工作流，以制定非權威性資料，釐清並支持於案件中使用新興科技賦能之科技工具時，一致且有效地適用IAASB品質管理準則（參見工作流行動計畫，2026年3月）。</w:t>
      </w:r>
    </w:p>
    <w:p>
      <w:pPr>
        <w:spacing w:after="20" w:before="60"/>
        <w:jc w:val="both"/>
      </w:pPr>
      <w:r>
        <w:rPr>
          <w:rFonts w:ascii="Calibri" w:cs="Calibri" w:eastAsia="Calibri" w:hAnsi="Calibri"/>
          <w:b w:val="false"/>
          <w:bCs w:val="false"/>
          <w:i w:val="false"/>
          <w:iCs w:val="false"/>
          <w:sz w:val="18"/>
          <w:szCs w:val="18"/>
        </w:rPr>
        <w:t xml:space="preserve">5. These technologies move at different speeds along the maturity curve. Some remain experimental, while others are rapidly becoming embedded in core operations.</w:t>
      </w:r>
    </w:p>
    <w:p>
      <w:pPr>
        <w:spacing w:after="100" w:before="20"/>
        <w:jc w:val="both"/>
      </w:pPr>
      <w:r>
        <w:rPr>
          <w:rFonts w:ascii="標楷體" w:cs="標楷體" w:eastAsia="標楷體" w:hAnsi="標楷體"/>
          <w:b w:val="false"/>
          <w:bCs w:val="false"/>
          <w:sz w:val="18"/>
          <w:szCs w:val="18"/>
        </w:rPr>
        <w:t xml:space="preserve">5. 此等科技沿成熟度曲線以不同速度發展。部分仍屬實驗性質，其他則正快速嵌入核心營運。</w:t>
      </w:r>
    </w:p>
    <w:p>
      <w:pPr>
        <w:spacing w:after="20" w:before="60"/>
        <w:jc w:val="both"/>
      </w:pPr>
      <w:r>
        <w:rPr>
          <w:rFonts w:ascii="Calibri" w:cs="Calibri" w:eastAsia="Calibri" w:hAnsi="Calibri"/>
          <w:b w:val="false"/>
          <w:bCs w:val="false"/>
          <w:i w:val="false"/>
          <w:iCs w:val="false"/>
          <w:sz w:val="18"/>
          <w:szCs w:val="18"/>
        </w:rPr>
        <w:t xml:space="preserve">6. Effective organizational governance enhances compliance with the Code, including through controls over the identification and use of technologies, oversight of data quality, and mechanisms to ensure meaningful human review of outputs.</w:t>
      </w:r>
    </w:p>
    <w:p>
      <w:pPr>
        <w:spacing w:after="100" w:before="20"/>
        <w:jc w:val="both"/>
      </w:pPr>
      <w:r>
        <w:rPr>
          <w:rFonts w:ascii="標楷體" w:cs="標楷體" w:eastAsia="標楷體" w:hAnsi="標楷體"/>
          <w:b w:val="false"/>
          <w:bCs w:val="false"/>
          <w:sz w:val="18"/>
          <w:szCs w:val="18"/>
        </w:rPr>
        <w:t xml:space="preserve">6. 有效之組織治理有助於守則之遵循，包括透過對科技辨識與使用之控制、對資料品質之監督，以及確保對產出進行具實質意義人為覆核之機制。</w:t>
      </w:r>
    </w:p>
    <w:p>
      <w:pPr>
        <w:spacing w:after="20" w:before="60"/>
        <w:jc w:val="both"/>
      </w:pPr>
      <w:r>
        <w:rPr>
          <w:rFonts w:ascii="Calibri" w:cs="Calibri" w:eastAsia="Calibri" w:hAnsi="Calibri"/>
          <w:b w:val="false"/>
          <w:bCs w:val="false"/>
          <w:i w:val="false"/>
          <w:iCs w:val="false"/>
          <w:sz w:val="18"/>
          <w:szCs w:val="18"/>
        </w:rPr>
        <w:t xml:space="preserve">7. Threats to compliance with the fundamental principles fall into one or more of the following categories: self-interest, self-review, advocacy, familiarity or intimidation (paragraph 120.6 A3 of the Code).</w:t>
      </w:r>
    </w:p>
    <w:p>
      <w:pPr>
        <w:spacing w:after="100" w:before="20"/>
        <w:jc w:val="both"/>
      </w:pPr>
      <w:r>
        <w:rPr>
          <w:rFonts w:ascii="標楷體" w:cs="標楷體" w:eastAsia="標楷體" w:hAnsi="標楷體"/>
          <w:b w:val="false"/>
          <w:bCs w:val="false"/>
          <w:sz w:val="18"/>
          <w:szCs w:val="18"/>
        </w:rPr>
        <w:t xml:space="preserve">7. 對遵循基本原則之威脅可分為下列一類或多類：自我利益、自我評估、辯護、熟悉或脅迫（守則第120.6 A3段）。</w:t>
      </w:r>
    </w:p>
    <w:p>
      <w:pPr>
        <w:spacing w:after="20" w:before="60"/>
        <w:jc w:val="both"/>
      </w:pPr>
      <w:r>
        <w:rPr>
          <w:rFonts w:ascii="Calibri" w:cs="Calibri" w:eastAsia="Calibri" w:hAnsi="Calibri"/>
          <w:b w:val="false"/>
          <w:bCs w:val="false"/>
          <w:i w:val="false"/>
          <w:iCs w:val="false"/>
          <w:sz w:val="18"/>
          <w:szCs w:val="18"/>
        </w:rPr>
        <w:t xml:space="preserve">8. The five fundamental principles are integrity, objectivity, professional competence and due care, confidentiality, and professional behavior (paragraph 110.1 A1).</w:t>
      </w:r>
    </w:p>
    <w:p>
      <w:pPr>
        <w:spacing w:after="100" w:before="20"/>
        <w:jc w:val="both"/>
      </w:pPr>
      <w:r>
        <w:rPr>
          <w:rFonts w:ascii="標楷體" w:cs="標楷體" w:eastAsia="標楷體" w:hAnsi="標楷體"/>
          <w:b w:val="false"/>
          <w:bCs w:val="false"/>
          <w:sz w:val="18"/>
          <w:szCs w:val="18"/>
        </w:rPr>
        <w:t xml:space="preserve">8. 五項基本原則為正直、客觀、專業能力及應有之注意、保密及專業行為（第110.1 A1段）。</w:t>
      </w:r>
    </w:p>
    <w:p>
      <w:pPr>
        <w:spacing w:after="20" w:before="60"/>
        <w:jc w:val="both"/>
      </w:pPr>
      <w:r>
        <w:rPr>
          <w:rFonts w:ascii="Calibri" w:cs="Calibri" w:eastAsia="Calibri" w:hAnsi="Calibri"/>
          <w:b w:val="false"/>
          <w:bCs w:val="false"/>
          <w:i w:val="false"/>
          <w:iCs w:val="false"/>
          <w:sz w:val="18"/>
          <w:szCs w:val="18"/>
        </w:rPr>
        <w:t xml:space="preserve">9. All relevant information concerning the technology-related revisions to the Code can be found on the IESBA Technology Focus Page.</w:t>
      </w:r>
    </w:p>
    <w:p>
      <w:pPr>
        <w:spacing w:after="100" w:before="20"/>
        <w:jc w:val="both"/>
      </w:pPr>
      <w:r>
        <w:rPr>
          <w:rFonts w:ascii="標楷體" w:cs="標楷體" w:eastAsia="標楷體" w:hAnsi="標楷體"/>
          <w:b w:val="false"/>
          <w:bCs w:val="false"/>
          <w:sz w:val="18"/>
          <w:szCs w:val="18"/>
        </w:rPr>
        <w:t xml:space="preserve">9. 有關守則科技相關修正之所有相關資訊，可於IESBA科技專區網頁查閱。</w:t>
      </w:r>
    </w:p>
    <w:p>
      <w:pPr>
        <w:spacing w:after="20" w:before="60"/>
        <w:jc w:val="both"/>
      </w:pPr>
      <w:r>
        <w:rPr>
          <w:rFonts w:ascii="Calibri" w:cs="Calibri" w:eastAsia="Calibri" w:hAnsi="Calibri"/>
          <w:b w:val="false"/>
          <w:bCs w:val="false"/>
          <w:i w:val="false"/>
          <w:iCs w:val="false"/>
          <w:sz w:val="18"/>
          <w:szCs w:val="18"/>
        </w:rPr>
        <w:t xml:space="preserve">10. This may be particularly relevant for firms and PAs that perform audits and other assurance engagements. The IAASB’s planned Technology QM guide series will specifically focus on Gen AI-enabled technological tools that are used in engagements.</w:t>
      </w:r>
    </w:p>
    <w:p>
      <w:pPr>
        <w:spacing w:after="100" w:before="20"/>
        <w:jc w:val="both"/>
      </w:pPr>
      <w:r>
        <w:rPr>
          <w:rFonts w:ascii="標楷體" w:cs="標楷體" w:eastAsia="標楷體" w:hAnsi="標楷體"/>
          <w:b w:val="false"/>
          <w:bCs w:val="false"/>
          <w:sz w:val="18"/>
          <w:szCs w:val="18"/>
        </w:rPr>
        <w:t xml:space="preserve">10. 此對執行查核及其他確信案件之事務所及專業會計師而言可能特別攸關。IAASB規劃之科技品質管理指引系列，將特別聚焦於案件中使用之生成式AI賦能科技工具。</w:t>
      </w:r>
    </w:p>
    <w:p>
      <w:pPr>
        <w:spacing w:after="20" w:before="60"/>
        <w:jc w:val="both"/>
      </w:pPr>
      <w:r>
        <w:rPr>
          <w:rFonts w:ascii="Calibri" w:cs="Calibri" w:eastAsia="Calibri" w:hAnsi="Calibri"/>
          <w:b w:val="false"/>
          <w:bCs w:val="false"/>
          <w:i w:val="false"/>
          <w:iCs w:val="false"/>
          <w:sz w:val="18"/>
          <w:szCs w:val="18"/>
        </w:rPr>
        <w:t xml:space="preserve">11. The IAASB has identified and used certain of these characteristics in its work (without aiming to be comprehensive), and has recognized that various characteristics of emerging technologies may affect how quality risks are identified and addressed from a QM perspective.</w:t>
      </w:r>
    </w:p>
    <w:p>
      <w:pPr>
        <w:spacing w:after="100" w:before="20"/>
        <w:jc w:val="both"/>
      </w:pPr>
      <w:r>
        <w:rPr>
          <w:rFonts w:ascii="標楷體" w:cs="標楷體" w:eastAsia="標楷體" w:hAnsi="標楷體"/>
          <w:b w:val="false"/>
          <w:bCs w:val="false"/>
          <w:sz w:val="18"/>
          <w:szCs w:val="18"/>
        </w:rPr>
        <w:t xml:space="preserve">11. IAASB已於其工作中辨識並使用其中若干特徵（未以詳盡為目的），並認知新興科技之各項特徵可能影響自品質管理觀點如何辨識及因應品質風險。</w:t>
      </w:r>
    </w:p>
    <w:p>
      <w:pPr>
        <w:spacing w:after="20" w:before="60"/>
        <w:jc w:val="both"/>
      </w:pPr>
      <w:r>
        <w:rPr>
          <w:rFonts w:ascii="Calibri" w:cs="Calibri" w:eastAsia="Calibri" w:hAnsi="Calibri"/>
          <w:b w:val="false"/>
          <w:bCs w:val="false"/>
          <w:i w:val="false"/>
          <w:iCs w:val="false"/>
          <w:sz w:val="18"/>
          <w:szCs w:val="18"/>
        </w:rPr>
        <w:t xml:space="preserve">12. Consistent with paragraph 300.3 in Part 3 of the Code, references to a PA in this publication in the context of PAs in public practice include individual PAs in public practice and their firms.</w:t>
      </w:r>
    </w:p>
    <w:p>
      <w:pPr>
        <w:spacing w:after="100" w:before="20"/>
        <w:jc w:val="both"/>
      </w:pPr>
      <w:r>
        <w:rPr>
          <w:rFonts w:ascii="標楷體" w:cs="標楷體" w:eastAsia="標楷體" w:hAnsi="標楷體"/>
          <w:b w:val="false"/>
          <w:bCs w:val="false"/>
          <w:sz w:val="18"/>
          <w:szCs w:val="18"/>
        </w:rPr>
        <w:t xml:space="preserve">12. 依守則第三部分第300.3段，本出版物於執業之專業會計師脈絡下所稱之專業會計師，包括個別執業之專業會計師及其事務所。</w:t>
      </w:r>
    </w:p>
    <w:p>
      <w:pPr>
        <w:spacing w:after="20" w:before="60"/>
        <w:jc w:val="both"/>
      </w:pPr>
      <w:r>
        <w:rPr>
          <w:rFonts w:ascii="Calibri" w:cs="Calibri" w:eastAsia="Calibri" w:hAnsi="Calibri"/>
          <w:b w:val="false"/>
          <w:bCs w:val="false"/>
          <w:i w:val="false"/>
          <w:iCs w:val="false"/>
          <w:sz w:val="18"/>
          <w:szCs w:val="18"/>
        </w:rPr>
        <w:t xml:space="preserve">13. Paragraph 100.6 A1.</w:t>
      </w:r>
    </w:p>
    <w:p>
      <w:pPr>
        <w:spacing w:after="100" w:before="20"/>
        <w:jc w:val="both"/>
      </w:pPr>
      <w:r>
        <w:rPr>
          <w:rFonts w:ascii="標楷體" w:cs="標楷體" w:eastAsia="標楷體" w:hAnsi="標楷體"/>
          <w:b w:val="false"/>
          <w:bCs w:val="false"/>
          <w:sz w:val="18"/>
          <w:szCs w:val="18"/>
        </w:rPr>
        <w:t xml:space="preserve">13. 第100.6 A1段。</w:t>
      </w:r>
    </w:p>
    <w:p>
      <w:pPr>
        <w:spacing w:after="20" w:before="60"/>
        <w:jc w:val="both"/>
      </w:pPr>
      <w:r>
        <w:rPr>
          <w:rFonts w:ascii="Calibri" w:cs="Calibri" w:eastAsia="Calibri" w:hAnsi="Calibri"/>
          <w:b w:val="false"/>
          <w:bCs w:val="false"/>
          <w:i w:val="false"/>
          <w:iCs w:val="false"/>
          <w:sz w:val="18"/>
          <w:szCs w:val="18"/>
        </w:rPr>
        <w:t xml:space="preserve">14. Section 120.</w:t>
      </w:r>
    </w:p>
    <w:p>
      <w:pPr>
        <w:spacing w:after="100" w:before="20"/>
        <w:jc w:val="both"/>
      </w:pPr>
      <w:r>
        <w:rPr>
          <w:rFonts w:ascii="標楷體" w:cs="標楷體" w:eastAsia="標楷體" w:hAnsi="標楷體"/>
          <w:b w:val="false"/>
          <w:bCs w:val="false"/>
          <w:sz w:val="18"/>
          <w:szCs w:val="18"/>
        </w:rPr>
        <w:t xml:space="preserve">14. 第120節。</w:t>
      </w:r>
    </w:p>
    <w:p>
      <w:pPr>
        <w:spacing w:after="20" w:before="60"/>
        <w:jc w:val="both"/>
      </w:pPr>
      <w:r>
        <w:rPr>
          <w:rFonts w:ascii="Calibri" w:cs="Calibri" w:eastAsia="Calibri" w:hAnsi="Calibri"/>
          <w:b w:val="false"/>
          <w:bCs w:val="false"/>
          <w:i w:val="false"/>
          <w:iCs w:val="false"/>
          <w:sz w:val="18"/>
          <w:szCs w:val="18"/>
        </w:rPr>
        <w:t xml:space="preserve">15. Paragraph 120.5 A9: The reasonable and informed third party test is a consideration by the PA about whether the same conclusions would likely be reached by another party. Such consideration is made from the perspective of a reasonable and informed third party, who weighs all the relevant facts and circumstances that the accountant knows, or could reasonably be expected to know, at the time the conclusions are made. The reasonable and informed third party does not need to be an accountant, but would possess the relevant knowledge and experience to understand and evaluate the appropriateness of the accountant’s conclusions in an impartial manner.</w:t>
      </w:r>
    </w:p>
    <w:p>
      <w:pPr>
        <w:spacing w:after="100" w:before="20"/>
        <w:jc w:val="both"/>
      </w:pPr>
      <w:r>
        <w:rPr>
          <w:rFonts w:ascii="標楷體" w:cs="標楷體" w:eastAsia="標楷體" w:hAnsi="標楷體"/>
          <w:b w:val="false"/>
          <w:bCs w:val="false"/>
          <w:sz w:val="18"/>
          <w:szCs w:val="18"/>
        </w:rPr>
        <w:t xml:space="preserve">15. 第120.5 A9段：理性且資訊充分之第三方測試，係專業會計師考量另一方是否可能達成相同結論。該考量係從理性且資訊充分之第三方之觀點作成，該第三方權衡會計師於作成結論當時所知悉、或可合理預期知悉之所有攸關事實及情況。理性且資訊充分之第三方無須為會計師，惟應具備相關知識與經驗，足以公正地理解及評估會計師結論之適當性。</w:t>
      </w:r>
    </w:p>
    <w:p>
      <w:pPr>
        <w:spacing w:after="20" w:before="60"/>
        <w:jc w:val="both"/>
      </w:pPr>
      <w:r>
        <w:rPr>
          <w:rFonts w:ascii="Calibri" w:cs="Calibri" w:eastAsia="Calibri" w:hAnsi="Calibri"/>
          <w:b w:val="false"/>
          <w:bCs w:val="false"/>
          <w:i w:val="false"/>
          <w:iCs w:val="false"/>
          <w:sz w:val="18"/>
          <w:szCs w:val="18"/>
        </w:rPr>
        <w:t xml:space="preserve">16. Paragraphs 120.5 A1 – A2.</w:t>
      </w:r>
    </w:p>
    <w:p>
      <w:pPr>
        <w:spacing w:after="100" w:before="20"/>
        <w:jc w:val="both"/>
      </w:pPr>
      <w:r>
        <w:rPr>
          <w:rFonts w:ascii="標楷體" w:cs="標楷體" w:eastAsia="標楷體" w:hAnsi="標楷體"/>
          <w:b w:val="false"/>
          <w:bCs w:val="false"/>
          <w:sz w:val="18"/>
          <w:szCs w:val="18"/>
        </w:rPr>
        <w:t xml:space="preserve">16. 第120.5 A1至A2段。</w:t>
      </w:r>
    </w:p>
    <w:p>
      <w:pPr>
        <w:spacing w:after="20" w:before="60"/>
        <w:jc w:val="both"/>
      </w:pPr>
      <w:r>
        <w:rPr>
          <w:rFonts w:ascii="Calibri" w:cs="Calibri" w:eastAsia="Calibri" w:hAnsi="Calibri"/>
          <w:b w:val="false"/>
          <w:bCs w:val="false"/>
          <w:i w:val="false"/>
          <w:iCs w:val="false"/>
          <w:sz w:val="18"/>
          <w:szCs w:val="18"/>
        </w:rPr>
        <w:t xml:space="preserve">17. Paragraphs R220.8 and R320.11.</w:t>
      </w:r>
    </w:p>
    <w:p>
      <w:pPr>
        <w:spacing w:after="100" w:before="20"/>
        <w:jc w:val="both"/>
      </w:pPr>
      <w:r>
        <w:rPr>
          <w:rFonts w:ascii="標楷體" w:cs="標楷體" w:eastAsia="標楷體" w:hAnsi="標楷體"/>
          <w:b w:val="false"/>
          <w:bCs w:val="false"/>
          <w:sz w:val="18"/>
          <w:szCs w:val="18"/>
        </w:rPr>
        <w:t xml:space="preserve">17. 第R220.8段及第R320.11段。</w:t>
      </w:r>
    </w:p>
    <w:p>
      <w:pPr>
        <w:spacing w:after="20" w:before="60"/>
        <w:jc w:val="both"/>
      </w:pPr>
      <w:r>
        <w:rPr>
          <w:rFonts w:ascii="Calibri" w:cs="Calibri" w:eastAsia="Calibri" w:hAnsi="Calibri"/>
          <w:b w:val="false"/>
          <w:bCs w:val="false"/>
          <w:i w:val="false"/>
          <w:iCs w:val="false"/>
          <w:sz w:val="18"/>
          <w:szCs w:val="18"/>
        </w:rPr>
        <w:t xml:space="preserve">18. A relevant consideration when using the output of technology is whether the PA is in a position to obtain information in relation to the factors necessary to determine whether such use is appropriate (paragraphs 220.12 A4 and 320.12 A1).</w:t>
      </w:r>
    </w:p>
    <w:p>
      <w:pPr>
        <w:spacing w:after="100" w:before="20"/>
        <w:jc w:val="both"/>
      </w:pPr>
      <w:r>
        <w:rPr>
          <w:rFonts w:ascii="標楷體" w:cs="標楷體" w:eastAsia="標楷體" w:hAnsi="標楷體"/>
          <w:b w:val="false"/>
          <w:bCs w:val="false"/>
          <w:sz w:val="18"/>
          <w:szCs w:val="18"/>
        </w:rPr>
        <w:t xml:space="preserve">18. 使用科技產出時之一項攸關考量，係專業會計師是否處於得取得與判斷該使用是否適當所必要因素相關資訊之地位（第220.12 A4段及第320.12 A1段）。</w:t>
      </w:r>
    </w:p>
    <w:p>
      <w:pPr>
        <w:spacing w:after="20" w:before="60"/>
        <w:jc w:val="both"/>
      </w:pPr>
      <w:r>
        <w:rPr>
          <w:rFonts w:ascii="Calibri" w:cs="Calibri" w:eastAsia="Calibri" w:hAnsi="Calibri"/>
          <w:b w:val="false"/>
          <w:bCs w:val="false"/>
          <w:i w:val="false"/>
          <w:iCs w:val="false"/>
          <w:sz w:val="18"/>
          <w:szCs w:val="18"/>
        </w:rPr>
        <w:t xml:space="preserve">19. Paragraphs R120.7 and 120.7 A1.</w:t>
      </w:r>
    </w:p>
    <w:p>
      <w:pPr>
        <w:spacing w:after="100" w:before="20"/>
        <w:jc w:val="both"/>
      </w:pPr>
      <w:r>
        <w:rPr>
          <w:rFonts w:ascii="標楷體" w:cs="標楷體" w:eastAsia="標楷體" w:hAnsi="標楷體"/>
          <w:b w:val="false"/>
          <w:bCs w:val="false"/>
          <w:sz w:val="18"/>
          <w:szCs w:val="18"/>
        </w:rPr>
        <w:t xml:space="preserve">19. 第R120.7段及第120.7 A1段。</w:t>
      </w:r>
    </w:p>
    <w:p>
      <w:pPr>
        <w:spacing w:after="20" w:before="60"/>
        <w:jc w:val="both"/>
      </w:pPr>
      <w:r>
        <w:rPr>
          <w:rFonts w:ascii="Calibri" w:cs="Calibri" w:eastAsia="Calibri" w:hAnsi="Calibri"/>
          <w:b w:val="false"/>
          <w:bCs w:val="false"/>
          <w:i w:val="false"/>
          <w:iCs w:val="false"/>
          <w:sz w:val="18"/>
          <w:szCs w:val="18"/>
        </w:rPr>
        <w:t xml:space="preserve">20. Paragraph 120.8 A1.</w:t>
      </w:r>
    </w:p>
    <w:p>
      <w:pPr>
        <w:spacing w:after="100" w:before="20"/>
        <w:jc w:val="both"/>
      </w:pPr>
      <w:r>
        <w:rPr>
          <w:rFonts w:ascii="標楷體" w:cs="標楷體" w:eastAsia="標楷體" w:hAnsi="標楷體"/>
          <w:b w:val="false"/>
          <w:bCs w:val="false"/>
          <w:sz w:val="18"/>
          <w:szCs w:val="18"/>
        </w:rPr>
        <w:t xml:space="preserve">20. 第120.8 A1段。</w:t>
      </w:r>
    </w:p>
    <w:p>
      <w:pPr>
        <w:spacing w:after="20" w:before="60"/>
        <w:jc w:val="both"/>
      </w:pPr>
      <w:r>
        <w:rPr>
          <w:rFonts w:ascii="Calibri" w:cs="Calibri" w:eastAsia="Calibri" w:hAnsi="Calibri"/>
          <w:b w:val="false"/>
          <w:bCs w:val="false"/>
          <w:i w:val="false"/>
          <w:iCs w:val="false"/>
          <w:sz w:val="18"/>
          <w:szCs w:val="18"/>
        </w:rPr>
        <w:t xml:space="preserve">21. Paragraphs 120.5 A1, R220.8 and R320.11.</w:t>
      </w:r>
    </w:p>
    <w:p>
      <w:pPr>
        <w:spacing w:after="100" w:before="20"/>
        <w:jc w:val="both"/>
      </w:pPr>
      <w:r>
        <w:rPr>
          <w:rFonts w:ascii="標楷體" w:cs="標楷體" w:eastAsia="標楷體" w:hAnsi="標楷體"/>
          <w:b w:val="false"/>
          <w:bCs w:val="false"/>
          <w:sz w:val="18"/>
          <w:szCs w:val="18"/>
        </w:rPr>
        <w:t xml:space="preserve">21. 第120.5 A1段、第R220.8段及第R320.11段。</w:t>
      </w:r>
    </w:p>
    <w:p>
      <w:pPr>
        <w:spacing w:after="20" w:before="60"/>
        <w:jc w:val="both"/>
      </w:pPr>
      <w:r>
        <w:rPr>
          <w:rFonts w:ascii="Calibri" w:cs="Calibri" w:eastAsia="Calibri" w:hAnsi="Calibri"/>
          <w:b w:val="false"/>
          <w:bCs w:val="false"/>
          <w:i w:val="false"/>
          <w:iCs w:val="false"/>
          <w:sz w:val="18"/>
          <w:szCs w:val="18"/>
        </w:rPr>
        <w:t xml:space="preserve">22. Paragraphs 120.5 A5, 220.8 A1 and 320.11 A1.</w:t>
      </w:r>
    </w:p>
    <w:p>
      <w:pPr>
        <w:spacing w:after="100" w:before="20"/>
        <w:jc w:val="both"/>
      </w:pPr>
      <w:r>
        <w:rPr>
          <w:rFonts w:ascii="標楷體" w:cs="標楷體" w:eastAsia="標楷體" w:hAnsi="標楷體"/>
          <w:b w:val="false"/>
          <w:bCs w:val="false"/>
          <w:sz w:val="18"/>
          <w:szCs w:val="18"/>
        </w:rPr>
        <w:t xml:space="preserve">22. 第120.5 A5段、第220.8 A1段及第320.11 A1段。</w:t>
      </w:r>
    </w:p>
    <w:p>
      <w:pPr>
        <w:spacing w:after="20" w:before="60"/>
        <w:jc w:val="both"/>
      </w:pPr>
      <w:r>
        <w:rPr>
          <w:rFonts w:ascii="Calibri" w:cs="Calibri" w:eastAsia="Calibri" w:hAnsi="Calibri"/>
          <w:b w:val="false"/>
          <w:bCs w:val="false"/>
          <w:i w:val="false"/>
          <w:iCs w:val="false"/>
          <w:sz w:val="18"/>
          <w:szCs w:val="18"/>
        </w:rPr>
        <w:t xml:space="preserve">23. Paragraph R120.5.</w:t>
      </w:r>
    </w:p>
    <w:p>
      <w:pPr>
        <w:spacing w:after="100" w:before="20"/>
        <w:jc w:val="both"/>
      </w:pPr>
      <w:r>
        <w:rPr>
          <w:rFonts w:ascii="標楷體" w:cs="標楷體" w:eastAsia="標楷體" w:hAnsi="標楷體"/>
          <w:b w:val="false"/>
          <w:bCs w:val="false"/>
          <w:sz w:val="18"/>
          <w:szCs w:val="18"/>
        </w:rPr>
        <w:t xml:space="preserve">23. 第R120.5段。</w:t>
      </w:r>
    </w:p>
    <w:p>
      <w:pPr>
        <w:spacing w:after="20" w:before="60"/>
        <w:jc w:val="both"/>
      </w:pPr>
      <w:r>
        <w:rPr>
          <w:rFonts w:ascii="Calibri" w:cs="Calibri" w:eastAsia="Calibri" w:hAnsi="Calibri"/>
          <w:b w:val="false"/>
          <w:bCs w:val="false"/>
          <w:i w:val="false"/>
          <w:iCs w:val="false"/>
          <w:sz w:val="18"/>
          <w:szCs w:val="18"/>
        </w:rPr>
        <w:t xml:space="preserve">24. Paragraph R120.9 and 300.7 A7.</w:t>
      </w:r>
    </w:p>
    <w:p>
      <w:pPr>
        <w:spacing w:after="100" w:before="20"/>
        <w:jc w:val="both"/>
      </w:pPr>
      <w:r>
        <w:rPr>
          <w:rFonts w:ascii="標楷體" w:cs="標楷體" w:eastAsia="標楷體" w:hAnsi="標楷體"/>
          <w:b w:val="false"/>
          <w:bCs w:val="false"/>
          <w:sz w:val="18"/>
          <w:szCs w:val="18"/>
        </w:rPr>
        <w:t xml:space="preserve">24. 第R120.9段及第300.7 A7段。</w:t>
      </w:r>
    </w:p>
    <w:p>
      <w:pPr>
        <w:spacing w:after="20" w:before="60"/>
        <w:jc w:val="both"/>
      </w:pPr>
      <w:r>
        <w:rPr>
          <w:rFonts w:ascii="Calibri" w:cs="Calibri" w:eastAsia="Calibri" w:hAnsi="Calibri"/>
          <w:b w:val="false"/>
          <w:bCs w:val="false"/>
          <w:i w:val="false"/>
          <w:iCs w:val="false"/>
          <w:sz w:val="18"/>
          <w:szCs w:val="18"/>
        </w:rPr>
        <w:t xml:space="preserve">25. Paragraph 120.9 A1.</w:t>
      </w:r>
    </w:p>
    <w:p>
      <w:pPr>
        <w:spacing w:after="100" w:before="20"/>
        <w:jc w:val="both"/>
      </w:pPr>
      <w:r>
        <w:rPr>
          <w:rFonts w:ascii="標楷體" w:cs="標楷體" w:eastAsia="標楷體" w:hAnsi="標楷體"/>
          <w:b w:val="false"/>
          <w:bCs w:val="false"/>
          <w:sz w:val="18"/>
          <w:szCs w:val="18"/>
        </w:rPr>
        <w:t xml:space="preserve">25. 第120.9 A1段。</w:t>
      </w:r>
    </w:p>
    <w:p>
      <w:pPr>
        <w:spacing w:after="20" w:before="60"/>
        <w:jc w:val="both"/>
      </w:pPr>
      <w:r>
        <w:rPr>
          <w:rFonts w:ascii="Calibri" w:cs="Calibri" w:eastAsia="Calibri" w:hAnsi="Calibri"/>
          <w:b w:val="false"/>
          <w:bCs w:val="false"/>
          <w:i w:val="false"/>
          <w:iCs w:val="false"/>
          <w:sz w:val="18"/>
          <w:szCs w:val="18"/>
        </w:rPr>
        <w:t xml:space="preserve">26. Paragraphs R120.9 and 300.7 A7.</w:t>
      </w:r>
    </w:p>
    <w:p>
      <w:pPr>
        <w:spacing w:after="100" w:before="20"/>
        <w:jc w:val="both"/>
      </w:pPr>
      <w:r>
        <w:rPr>
          <w:rFonts w:ascii="標楷體" w:cs="標楷體" w:eastAsia="標楷體" w:hAnsi="標楷體"/>
          <w:b w:val="false"/>
          <w:bCs w:val="false"/>
          <w:sz w:val="18"/>
          <w:szCs w:val="18"/>
        </w:rPr>
        <w:t xml:space="preserve">26. 第R120.9段及第300.7 A7段。</w:t>
      </w:r>
    </w:p>
    <w:p>
      <w:pPr>
        <w:spacing w:after="20" w:before="60"/>
        <w:jc w:val="both"/>
      </w:pPr>
      <w:r>
        <w:rPr>
          <w:rFonts w:ascii="Calibri" w:cs="Calibri" w:eastAsia="Calibri" w:hAnsi="Calibri"/>
          <w:b w:val="false"/>
          <w:bCs w:val="false"/>
          <w:i w:val="false"/>
          <w:iCs w:val="false"/>
          <w:sz w:val="18"/>
          <w:szCs w:val="18"/>
        </w:rPr>
        <w:t xml:space="preserve">27. Where its performance degrades due to changes in underlying data patterns.</w:t>
      </w:r>
    </w:p>
    <w:p>
      <w:pPr>
        <w:spacing w:after="100" w:before="20"/>
        <w:jc w:val="both"/>
      </w:pPr>
      <w:r>
        <w:rPr>
          <w:rFonts w:ascii="標楷體" w:cs="標楷體" w:eastAsia="標楷體" w:hAnsi="標楷體"/>
          <w:b w:val="false"/>
          <w:bCs w:val="false"/>
          <w:sz w:val="18"/>
          <w:szCs w:val="18"/>
        </w:rPr>
        <w:t xml:space="preserve">27. 即模型因基礎資料型態改變而效能劣化。</w:t>
      </w:r>
    </w:p>
    <w:p>
      <w:pPr>
        <w:spacing w:after="20" w:before="60"/>
        <w:jc w:val="both"/>
      </w:pPr>
      <w:r>
        <w:rPr>
          <w:rFonts w:ascii="Calibri" w:cs="Calibri" w:eastAsia="Calibri" w:hAnsi="Calibri"/>
          <w:b w:val="false"/>
          <w:bCs w:val="false"/>
          <w:i w:val="false"/>
          <w:iCs w:val="false"/>
          <w:sz w:val="18"/>
          <w:szCs w:val="18"/>
        </w:rPr>
        <w:t xml:space="preserve">28. Paragraph 120.5 A4 – A5.</w:t>
      </w:r>
    </w:p>
    <w:p>
      <w:pPr>
        <w:spacing w:after="100" w:before="20"/>
        <w:jc w:val="both"/>
      </w:pPr>
      <w:r>
        <w:rPr>
          <w:rFonts w:ascii="標楷體" w:cs="標楷體" w:eastAsia="標楷體" w:hAnsi="標楷體"/>
          <w:b w:val="false"/>
          <w:bCs w:val="false"/>
          <w:sz w:val="18"/>
          <w:szCs w:val="18"/>
        </w:rPr>
        <w:t xml:space="preserve">28. 第120.5 A4至A5段。</w:t>
      </w:r>
    </w:p>
    <w:p>
      <w:pPr>
        <w:spacing w:after="20" w:before="60"/>
        <w:jc w:val="both"/>
      </w:pPr>
      <w:r>
        <w:rPr>
          <w:rFonts w:ascii="Calibri" w:cs="Calibri" w:eastAsia="Calibri" w:hAnsi="Calibri"/>
          <w:b w:val="false"/>
          <w:bCs w:val="false"/>
          <w:i w:val="false"/>
          <w:iCs w:val="false"/>
          <w:sz w:val="18"/>
          <w:szCs w:val="18"/>
        </w:rPr>
        <w:t xml:space="preserve">29. Paragraph 120.5 A6 – A8.</w:t>
      </w:r>
    </w:p>
    <w:p>
      <w:pPr>
        <w:spacing w:after="100" w:before="20"/>
        <w:jc w:val="both"/>
      </w:pPr>
      <w:r>
        <w:rPr>
          <w:rFonts w:ascii="標楷體" w:cs="標楷體" w:eastAsia="標楷體" w:hAnsi="標楷體"/>
          <w:b w:val="false"/>
          <w:bCs w:val="false"/>
          <w:sz w:val="18"/>
          <w:szCs w:val="18"/>
        </w:rPr>
        <w:t xml:space="preserve">29. 第120.5 A6至A8段。</w:t>
      </w:r>
    </w:p>
    <w:p>
      <w:pPr>
        <w:spacing w:after="20" w:before="60"/>
        <w:jc w:val="both"/>
      </w:pPr>
      <w:r>
        <w:rPr>
          <w:rFonts w:ascii="Calibri" w:cs="Calibri" w:eastAsia="Calibri" w:hAnsi="Calibri"/>
          <w:b w:val="false"/>
          <w:bCs w:val="false"/>
          <w:i w:val="false"/>
          <w:iCs w:val="false"/>
          <w:sz w:val="18"/>
          <w:szCs w:val="18"/>
        </w:rPr>
        <w:t xml:space="preserve">30. Paragraphs 120.5 A1 – A2.</w:t>
      </w:r>
    </w:p>
    <w:p>
      <w:pPr>
        <w:spacing w:after="100" w:before="20"/>
        <w:jc w:val="both"/>
      </w:pPr>
      <w:r>
        <w:rPr>
          <w:rFonts w:ascii="標楷體" w:cs="標楷體" w:eastAsia="標楷體" w:hAnsi="標楷體"/>
          <w:b w:val="false"/>
          <w:bCs w:val="false"/>
          <w:sz w:val="18"/>
          <w:szCs w:val="18"/>
        </w:rPr>
        <w:t xml:space="preserve">30. 第120.5 A1至A2段。</w:t>
      </w:r>
    </w:p>
    <w:p>
      <w:pPr>
        <w:spacing w:after="20" w:before="60"/>
        <w:jc w:val="both"/>
      </w:pPr>
      <w:r>
        <w:rPr>
          <w:rFonts w:ascii="Calibri" w:cs="Calibri" w:eastAsia="Calibri" w:hAnsi="Calibri"/>
          <w:b w:val="false"/>
          <w:bCs w:val="false"/>
          <w:i w:val="false"/>
          <w:iCs w:val="false"/>
          <w:sz w:val="18"/>
          <w:szCs w:val="18"/>
        </w:rPr>
        <w:t xml:space="preserve">31. Paragraph R113.3.</w:t>
      </w:r>
    </w:p>
    <w:p>
      <w:pPr>
        <w:spacing w:after="100" w:before="20"/>
        <w:jc w:val="both"/>
      </w:pPr>
      <w:r>
        <w:rPr>
          <w:rFonts w:ascii="標楷體" w:cs="標楷體" w:eastAsia="標楷體" w:hAnsi="標楷體"/>
          <w:b w:val="false"/>
          <w:bCs w:val="false"/>
          <w:sz w:val="18"/>
          <w:szCs w:val="18"/>
        </w:rPr>
        <w:t xml:space="preserve">31. 第R113.3段。</w:t>
      </w:r>
    </w:p>
    <w:p>
      <w:pPr>
        <w:spacing w:after="20" w:before="60"/>
        <w:jc w:val="both"/>
      </w:pPr>
      <w:r>
        <w:rPr>
          <w:rFonts w:ascii="Calibri" w:cs="Calibri" w:eastAsia="Calibri" w:hAnsi="Calibri"/>
          <w:b w:val="false"/>
          <w:bCs w:val="false"/>
          <w:i w:val="false"/>
          <w:iCs w:val="false"/>
          <w:sz w:val="18"/>
          <w:szCs w:val="18"/>
        </w:rPr>
        <w:t xml:space="preserve">32. Paragraphs 220.8 A1 and 320.11 A1.</w:t>
      </w:r>
    </w:p>
    <w:p>
      <w:pPr>
        <w:spacing w:after="100" w:before="20"/>
        <w:jc w:val="both"/>
      </w:pPr>
      <w:r>
        <w:rPr>
          <w:rFonts w:ascii="標楷體" w:cs="標楷體" w:eastAsia="標楷體" w:hAnsi="標楷體"/>
          <w:b w:val="false"/>
          <w:bCs w:val="false"/>
          <w:sz w:val="18"/>
          <w:szCs w:val="18"/>
        </w:rPr>
        <w:t xml:space="preserve">32. 第220.8 A1段及第320.11 A1段。</w:t>
      </w:r>
    </w:p>
    <w:p>
      <w:pPr>
        <w:spacing w:after="20" w:before="60"/>
        <w:jc w:val="both"/>
      </w:pPr>
      <w:r>
        <w:rPr>
          <w:rFonts w:ascii="Calibri" w:cs="Calibri" w:eastAsia="Calibri" w:hAnsi="Calibri"/>
          <w:b w:val="false"/>
          <w:bCs w:val="false"/>
          <w:i w:val="false"/>
          <w:iCs w:val="false"/>
          <w:sz w:val="18"/>
          <w:szCs w:val="18"/>
        </w:rPr>
        <w:t xml:space="preserve">33. Paragraph R113.1.</w:t>
      </w:r>
    </w:p>
    <w:p>
      <w:pPr>
        <w:spacing w:after="100" w:before="20"/>
        <w:jc w:val="both"/>
      </w:pPr>
      <w:r>
        <w:rPr>
          <w:rFonts w:ascii="標楷體" w:cs="標楷體" w:eastAsia="標楷體" w:hAnsi="標楷體"/>
          <w:b w:val="false"/>
          <w:bCs w:val="false"/>
          <w:sz w:val="18"/>
          <w:szCs w:val="18"/>
        </w:rPr>
        <w:t xml:space="preserve">33. 第R113.1段。</w:t>
      </w:r>
    </w:p>
    <w:p>
      <w:pPr>
        <w:spacing w:after="20" w:before="60"/>
        <w:jc w:val="both"/>
      </w:pPr>
      <w:r>
        <w:rPr>
          <w:rFonts w:ascii="Calibri" w:cs="Calibri" w:eastAsia="Calibri" w:hAnsi="Calibri"/>
          <w:b w:val="false"/>
          <w:bCs w:val="false"/>
          <w:i w:val="false"/>
          <w:iCs w:val="false"/>
          <w:sz w:val="18"/>
          <w:szCs w:val="18"/>
        </w:rPr>
        <w:t xml:space="preserve">34. Paragraphs 113.1 A2 – A3, 220.12 A4 and 320.12 A1.</w:t>
      </w:r>
    </w:p>
    <w:p>
      <w:pPr>
        <w:spacing w:after="100" w:before="20"/>
        <w:jc w:val="both"/>
      </w:pPr>
      <w:r>
        <w:rPr>
          <w:rFonts w:ascii="標楷體" w:cs="標楷體" w:eastAsia="標楷體" w:hAnsi="標楷體"/>
          <w:b w:val="false"/>
          <w:bCs w:val="false"/>
          <w:sz w:val="18"/>
          <w:szCs w:val="18"/>
        </w:rPr>
        <w:t xml:space="preserve">34. 第113.1 A2至A3段、第220.12 A4段及第320.12 A1段。</w:t>
      </w:r>
    </w:p>
    <w:p>
      <w:pPr>
        <w:spacing w:after="20" w:before="60"/>
        <w:jc w:val="both"/>
      </w:pPr>
      <w:r>
        <w:rPr>
          <w:rFonts w:ascii="Calibri" w:cs="Calibri" w:eastAsia="Calibri" w:hAnsi="Calibri"/>
          <w:b w:val="false"/>
          <w:bCs w:val="false"/>
          <w:i w:val="false"/>
          <w:iCs w:val="false"/>
          <w:sz w:val="18"/>
          <w:szCs w:val="18"/>
        </w:rPr>
        <w:t xml:space="preserve">35. Paragraphs R220.8 – 220.8 A1, R320.11 – 320.11 A1.</w:t>
      </w:r>
    </w:p>
    <w:p>
      <w:pPr>
        <w:spacing w:after="100" w:before="20"/>
        <w:jc w:val="both"/>
      </w:pPr>
      <w:r>
        <w:rPr>
          <w:rFonts w:ascii="標楷體" w:cs="標楷體" w:eastAsia="標楷體" w:hAnsi="標楷體"/>
          <w:b w:val="false"/>
          <w:bCs w:val="false"/>
          <w:sz w:val="18"/>
          <w:szCs w:val="18"/>
        </w:rPr>
        <w:t xml:space="preserve">35. 第R220.8段至第220.8 A1段、第R320.11段至第320.11 A1段。</w:t>
      </w:r>
    </w:p>
    <w:p>
      <w:pPr>
        <w:spacing w:after="20" w:before="60"/>
        <w:jc w:val="both"/>
      </w:pPr>
      <w:r>
        <w:rPr>
          <w:rFonts w:ascii="Calibri" w:cs="Calibri" w:eastAsia="Calibri" w:hAnsi="Calibri"/>
          <w:b w:val="false"/>
          <w:bCs w:val="false"/>
          <w:i w:val="false"/>
          <w:iCs w:val="false"/>
          <w:sz w:val="18"/>
          <w:szCs w:val="18"/>
        </w:rPr>
        <w:t xml:space="preserve">36. Paragraph 120.5 A5.</w:t>
      </w:r>
    </w:p>
    <w:p>
      <w:pPr>
        <w:spacing w:after="100" w:before="20"/>
        <w:jc w:val="both"/>
      </w:pPr>
      <w:r>
        <w:rPr>
          <w:rFonts w:ascii="標楷體" w:cs="標楷體" w:eastAsia="標楷體" w:hAnsi="標楷體"/>
          <w:b w:val="false"/>
          <w:bCs w:val="false"/>
          <w:sz w:val="18"/>
          <w:szCs w:val="18"/>
        </w:rPr>
        <w:t xml:space="preserve">36. 第120.5 A5段。</w:t>
      </w:r>
    </w:p>
    <w:p>
      <w:pPr>
        <w:spacing w:after="20" w:before="60"/>
        <w:jc w:val="both"/>
      </w:pPr>
      <w:r>
        <w:rPr>
          <w:rFonts w:ascii="Calibri" w:cs="Calibri" w:eastAsia="Calibri" w:hAnsi="Calibri"/>
          <w:b w:val="false"/>
          <w:bCs w:val="false"/>
          <w:i w:val="false"/>
          <w:iCs w:val="false"/>
          <w:sz w:val="18"/>
          <w:szCs w:val="18"/>
        </w:rPr>
        <w:t xml:space="preserve">37. For firms that are subject to the IAASB’s QM standards, the matter of guardrails may be addressed within their systems of quality management, which includes the fulfilment of responsibilities in accordance with relevant ethical requirements.</w:t>
      </w:r>
    </w:p>
    <w:p>
      <w:pPr>
        <w:spacing w:after="100" w:before="20"/>
        <w:jc w:val="both"/>
      </w:pPr>
      <w:r>
        <w:rPr>
          <w:rFonts w:ascii="標楷體" w:cs="標楷體" w:eastAsia="標楷體" w:hAnsi="標楷體"/>
          <w:b w:val="false"/>
          <w:bCs w:val="false"/>
          <w:sz w:val="18"/>
          <w:szCs w:val="18"/>
        </w:rPr>
        <w:t xml:space="preserve">37. 對適用IAASB品質管理準則之事務所而言，防護欄事項得於其品質管理系統中處理，其中包括依相關職業道德規定履行責任。</w:t>
      </w:r>
    </w:p>
    <w:p>
      <w:pPr>
        <w:spacing w:after="20" w:before="60"/>
        <w:jc w:val="both"/>
      </w:pPr>
      <w:r>
        <w:rPr>
          <w:rFonts w:ascii="Calibri" w:cs="Calibri" w:eastAsia="Calibri" w:hAnsi="Calibri"/>
          <w:b w:val="false"/>
          <w:bCs w:val="false"/>
          <w:i w:val="false"/>
          <w:iCs w:val="false"/>
          <w:sz w:val="18"/>
          <w:szCs w:val="18"/>
        </w:rPr>
        <w:t xml:space="preserve">38. Shadow IT occurs when employees use IT resources independently of the organization’s official IT infrastructure to meet specific business needs or improve productivity.</w:t>
      </w:r>
    </w:p>
    <w:p>
      <w:pPr>
        <w:spacing w:after="100" w:before="20"/>
        <w:jc w:val="both"/>
      </w:pPr>
      <w:r>
        <w:rPr>
          <w:rFonts w:ascii="標楷體" w:cs="標楷體" w:eastAsia="標楷體" w:hAnsi="標楷體"/>
          <w:b w:val="false"/>
          <w:bCs w:val="false"/>
          <w:sz w:val="18"/>
          <w:szCs w:val="18"/>
        </w:rPr>
        <w:t xml:space="preserve">38. 影子資訊科技係指員工為滿足特定業務需求或提升生產力，於組織正式資訊科技基礎設施之外自行使用資訊科技資源。</w:t>
      </w:r>
    </w:p>
    <w:p>
      <w:pPr>
        <w:spacing w:after="20" w:before="60"/>
        <w:jc w:val="both"/>
      </w:pPr>
      <w:r>
        <w:rPr>
          <w:rFonts w:ascii="Calibri" w:cs="Calibri" w:eastAsia="Calibri" w:hAnsi="Calibri"/>
          <w:b w:val="false"/>
          <w:bCs w:val="false"/>
          <w:i w:val="false"/>
          <w:iCs w:val="false"/>
          <w:sz w:val="18"/>
          <w:szCs w:val="18"/>
        </w:rPr>
        <w:t xml:space="preserve">39. AI-generated synthetic media such as videos, images, or audio that are created or modified to convincingly imitate real people or events.</w:t>
      </w:r>
    </w:p>
    <w:p>
      <w:pPr>
        <w:spacing w:after="100" w:before="20"/>
        <w:jc w:val="both"/>
      </w:pPr>
      <w:r>
        <w:rPr>
          <w:rFonts w:ascii="標楷體" w:cs="標楷體" w:eastAsia="標楷體" w:hAnsi="標楷體"/>
          <w:b w:val="false"/>
          <w:bCs w:val="false"/>
          <w:sz w:val="18"/>
          <w:szCs w:val="18"/>
        </w:rPr>
        <w:t xml:space="preserve">39. 指以AI生成之合成媒體，例如經製作或修改以逼真模仿真實人物或事件之影片、影像或音訊。</w:t>
      </w:r>
    </w:p>
    <w:p>
      <w:pPr>
        <w:spacing w:after="20" w:before="60"/>
        <w:jc w:val="both"/>
      </w:pPr>
      <w:r>
        <w:rPr>
          <w:rFonts w:ascii="Calibri" w:cs="Calibri" w:eastAsia="Calibri" w:hAnsi="Calibri"/>
          <w:b w:val="false"/>
          <w:bCs w:val="false"/>
          <w:i w:val="false"/>
          <w:iCs w:val="false"/>
          <w:sz w:val="18"/>
          <w:szCs w:val="18"/>
        </w:rPr>
        <w:t xml:space="preserve">40. Paragraph R115.1. For example, laws and regulations relating to privacy, data protection, cybersecurity, anti-money laundering, consumer protection, intellectual property, or the use of digital assets and automated decision-making systems.</w:t>
      </w:r>
    </w:p>
    <w:p>
      <w:pPr>
        <w:spacing w:after="100" w:before="20"/>
        <w:jc w:val="both"/>
      </w:pPr>
      <w:r>
        <w:rPr>
          <w:rFonts w:ascii="標楷體" w:cs="標楷體" w:eastAsia="標楷體" w:hAnsi="標楷體"/>
          <w:b w:val="false"/>
          <w:bCs w:val="false"/>
          <w:sz w:val="18"/>
          <w:szCs w:val="18"/>
        </w:rPr>
        <w:t xml:space="preserve">40. 第R115.1段。例如有關隱私、資料保護、網路安全、洗錢防制、消費者保護、智慧財產，或數位資產與自動化決策系統使用之法令。</w:t>
      </w:r>
    </w:p>
    <w:p>
      <w:pPr>
        <w:spacing w:after="20" w:before="60"/>
        <w:jc w:val="both"/>
      </w:pPr>
      <w:r>
        <w:rPr>
          <w:rFonts w:ascii="Calibri" w:cs="Calibri" w:eastAsia="Calibri" w:hAnsi="Calibri"/>
          <w:b w:val="false"/>
          <w:bCs w:val="false"/>
          <w:i w:val="false"/>
          <w:iCs w:val="false"/>
          <w:sz w:val="18"/>
          <w:szCs w:val="18"/>
        </w:rPr>
        <w:t xml:space="preserve">41. A PA is required to maintain professional competence by having a continuing awareness and understanding of technical, professional and technology-related developments relevant to the professional activities undertaken by the PA (paragraph 113.1 A3).</w:t>
      </w:r>
    </w:p>
    <w:p>
      <w:pPr>
        <w:spacing w:after="100" w:before="20"/>
        <w:jc w:val="both"/>
      </w:pPr>
      <w:r>
        <w:rPr>
          <w:rFonts w:ascii="標楷體" w:cs="標楷體" w:eastAsia="標楷體" w:hAnsi="標楷體"/>
          <w:b w:val="false"/>
          <w:bCs w:val="false"/>
          <w:sz w:val="18"/>
          <w:szCs w:val="18"/>
        </w:rPr>
        <w:t xml:space="preserve">41. 專業會計師須持續知悉並理解與其所從事專業活動攸關之技術、專業及科技相關發展，以維持專業能力（第113.1 A3段）。</w:t>
      </w:r>
    </w:p>
    <w:p>
      <w:pPr>
        <w:spacing w:after="20" w:before="60"/>
        <w:jc w:val="both"/>
      </w:pPr>
      <w:r>
        <w:rPr>
          <w:rFonts w:ascii="Calibri" w:cs="Calibri" w:eastAsia="Calibri" w:hAnsi="Calibri"/>
          <w:b w:val="false"/>
          <w:bCs w:val="false"/>
          <w:i w:val="false"/>
          <w:iCs w:val="false"/>
          <w:sz w:val="18"/>
          <w:szCs w:val="18"/>
        </w:rPr>
        <w:t xml:space="preserve">42. For a description of types of threat, see paragraph 120.6 A3. For practical guidance in identifying threats, refer to Exploring the IESBA Code Installment 2 of 12.</w:t>
      </w:r>
    </w:p>
    <w:p>
      <w:pPr>
        <w:spacing w:after="100" w:before="20"/>
        <w:jc w:val="both"/>
      </w:pPr>
      <w:r>
        <w:rPr>
          <w:rFonts w:ascii="標楷體" w:cs="標楷體" w:eastAsia="標楷體" w:hAnsi="標楷體"/>
          <w:b w:val="false"/>
          <w:bCs w:val="false"/>
          <w:sz w:val="18"/>
          <w:szCs w:val="18"/>
        </w:rPr>
        <w:t xml:space="preserve">42. 有關威脅類型之說明，參見第120.6 A3段。有關辨識威脅之實務指引，參閱《探索IESBA守則》第2冊（共12冊）。</w:t>
      </w:r>
    </w:p>
    <w:p>
      <w:pPr>
        <w:spacing w:after="40" w:before="280"/>
      </w:pPr>
      <w:r>
        <w:rPr>
          <w:rFonts w:ascii="Calibri" w:cs="Calibri" w:eastAsia="Calibri" w:hAnsi="Calibri"/>
          <w:b/>
          <w:bCs/>
          <w:sz w:val="23"/>
          <w:szCs w:val="23"/>
        </w:rPr>
        <w:t xml:space="preserve">Copyright</w:t>
      </w:r>
    </w:p>
    <w:p>
      <w:pPr>
        <w:spacing w:after="160" w:before="40"/>
      </w:pPr>
      <w:r>
        <w:rPr>
          <w:rFonts w:ascii="標楷體" w:cs="標楷體" w:eastAsia="標楷體" w:hAnsi="標楷體"/>
          <w:b/>
          <w:bCs/>
          <w:sz w:val="23"/>
          <w:szCs w:val="23"/>
        </w:rPr>
        <w:t xml:space="preserve">著作權聲明</w:t>
      </w:r>
    </w:p>
    <w:p>
      <w:pPr>
        <w:spacing w:after="60" w:before="160"/>
        <w:jc w:val="both"/>
      </w:pPr>
      <w:r>
        <w:rPr>
          <w:rFonts w:ascii="Calibri" w:cs="Calibri" w:eastAsia="Calibri" w:hAnsi="Calibri"/>
          <w:b w:val="false"/>
          <w:bCs w:val="false"/>
          <w:i w:val="false"/>
          <w:iCs w:val="false"/>
          <w:sz w:val="22"/>
          <w:szCs w:val="22"/>
        </w:rPr>
        <w:t xml:space="preserve">Copyright © July 2026 by the International Federation of Accountants (IFAC). All rights reserved. Written permission is required to translate, reproduce, store or transmit, or to make similar uses of this document, save for where the document is being used for individual, non-commercial use only.</w:t>
      </w:r>
    </w:p>
    <w:p>
      <w:pPr>
        <w:spacing w:after="200" w:before="60"/>
        <w:jc w:val="both"/>
      </w:pPr>
      <w:r>
        <w:rPr>
          <w:rFonts w:ascii="標楷體" w:cs="標楷體" w:eastAsia="標楷體" w:hAnsi="標楷體"/>
          <w:b w:val="false"/>
          <w:bCs w:val="false"/>
          <w:sz w:val="22"/>
          <w:szCs w:val="22"/>
        </w:rPr>
        <w:t xml:space="preserve">著作權所有 © 2026年7月 國際會計師聯合會（IFAC），保留一切權利。除供個人非商業用途使用外，翻譯、重製、儲存、傳輸或類似使用本文件，均須取得書面許可。本譯本僅供個人研讀之非商業用途。</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2026-07-20T02:02:36.887Z</dcterms:created>
  <dcterms:modified xsi:type="dcterms:W3CDTF">2026-07-20T02:02:36.888Z</dcterms:modified>
</cp:coreProperties>
</file>

<file path=docProps/custom.xml><?xml version="1.0" encoding="utf-8"?>
<Properties xmlns="http://schemas.openxmlformats.org/officeDocument/2006/custom-properties" xmlns:vt="http://schemas.openxmlformats.org/officeDocument/2006/docPropsVTypes"/>
</file>