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4D4E4" w14:textId="49DEC9D7" w:rsidR="00CB139A" w:rsidRPr="00CB139A" w:rsidRDefault="00CB139A" w:rsidP="009F0910">
      <w:pPr>
        <w:jc w:val="center"/>
        <w:rPr>
          <w:rFonts w:ascii="Calibri" w:hAnsi="Calibri" w:cs="Calibri"/>
          <w:color w:val="4C94D8" w:themeColor="text2" w:themeTint="80"/>
          <w:sz w:val="36"/>
          <w:szCs w:val="36"/>
          <w:u w:val="single"/>
        </w:rPr>
      </w:pPr>
      <w:r w:rsidRPr="00CB139A">
        <w:rPr>
          <w:rFonts w:ascii="Calibri" w:hAnsi="Calibri" w:cs="Calibri"/>
          <w:color w:val="4C94D8" w:themeColor="text2" w:themeTint="80"/>
          <w:sz w:val="36"/>
          <w:szCs w:val="36"/>
          <w:u w:val="single"/>
        </w:rPr>
        <w:t>FINANCIAL SERVICES REPORT</w:t>
      </w:r>
    </w:p>
    <w:p w14:paraId="0AF12213" w14:textId="77777777" w:rsidR="009F0910" w:rsidRDefault="009F0910" w:rsidP="00CB139A">
      <w:pPr>
        <w:rPr>
          <w:rFonts w:ascii="Calibri" w:hAnsi="Calibri" w:cs="Calibri"/>
          <w:b/>
          <w:bCs/>
          <w:color w:val="0F4761" w:themeColor="accent1" w:themeShade="BF"/>
          <w:sz w:val="32"/>
          <w:szCs w:val="32"/>
        </w:rPr>
      </w:pPr>
    </w:p>
    <w:p w14:paraId="3C160054" w14:textId="77777777" w:rsidR="009F0910" w:rsidRDefault="00CB139A" w:rsidP="00CB139A">
      <w:pPr>
        <w:rPr>
          <w:rFonts w:ascii="Calibri" w:hAnsi="Calibri" w:cs="Calibri"/>
          <w:color w:val="0F4761" w:themeColor="accent1" w:themeShade="BF"/>
          <w:sz w:val="44"/>
          <w:szCs w:val="44"/>
        </w:rPr>
      </w:pPr>
      <w:r w:rsidRPr="00CB139A">
        <w:rPr>
          <w:rFonts w:ascii="Calibri" w:hAnsi="Calibri" w:cs="Calibri"/>
          <w:b/>
          <w:bCs/>
          <w:color w:val="0F4761" w:themeColor="accent1" w:themeShade="BF"/>
          <w:sz w:val="32"/>
          <w:szCs w:val="32"/>
        </w:rPr>
        <w:t>Domain Exploration</w:t>
      </w:r>
    </w:p>
    <w:p w14:paraId="1D3EE89C" w14:textId="3D388368" w:rsidR="00CB139A" w:rsidRPr="009F0910" w:rsidRDefault="00CB139A" w:rsidP="00CB139A">
      <w:pPr>
        <w:rPr>
          <w:rFonts w:ascii="Calibri" w:hAnsi="Calibri" w:cs="Calibri"/>
          <w:color w:val="0F4761" w:themeColor="accent1" w:themeShade="BF"/>
          <w:sz w:val="44"/>
          <w:szCs w:val="44"/>
        </w:rPr>
      </w:pPr>
      <w:r w:rsidRPr="00CB139A">
        <w:rPr>
          <w:rFonts w:ascii="Calibri" w:hAnsi="Calibri" w:cs="Calibri"/>
          <w:sz w:val="28"/>
          <w:szCs w:val="28"/>
        </w:rPr>
        <w:t>Bank loans serve as pivotal financial instruments facilitating the realization of diverse objectives for individuals and enterprises alike. Yet, borrowers must possess a comprehensive understanding of loan terms, costs, and obligations to foster judicious financial decision-making.</w:t>
      </w:r>
    </w:p>
    <w:p w14:paraId="4ADD561E" w14:textId="56768E53" w:rsidR="00CB139A" w:rsidRPr="00CB139A" w:rsidRDefault="00CB139A" w:rsidP="00CB139A">
      <w:pPr>
        <w:rPr>
          <w:rFonts w:ascii="Calibri" w:hAnsi="Calibri" w:cs="Calibri"/>
          <w:sz w:val="28"/>
          <w:szCs w:val="28"/>
        </w:rPr>
      </w:pPr>
      <w:r w:rsidRPr="00CB139A">
        <w:rPr>
          <w:rFonts w:ascii="Calibri" w:hAnsi="Calibri" w:cs="Calibri"/>
          <w:sz w:val="28"/>
          <w:szCs w:val="28"/>
        </w:rPr>
        <w:t>Financial institutions amass loan data through a myriad of channels and procedures, including:</w:t>
      </w:r>
    </w:p>
    <w:p w14:paraId="283D9A7C" w14:textId="6995E60E" w:rsidR="00CB139A" w:rsidRPr="00CB139A" w:rsidRDefault="00CB139A" w:rsidP="00CB139A">
      <w:pPr>
        <w:pStyle w:val="ListParagraph"/>
        <w:numPr>
          <w:ilvl w:val="0"/>
          <w:numId w:val="3"/>
        </w:numPr>
        <w:rPr>
          <w:rFonts w:ascii="Calibri" w:hAnsi="Calibri" w:cs="Calibri"/>
          <w:sz w:val="28"/>
          <w:szCs w:val="28"/>
        </w:rPr>
      </w:pPr>
      <w:r w:rsidRPr="00CB139A">
        <w:rPr>
          <w:rFonts w:ascii="Calibri" w:hAnsi="Calibri" w:cs="Calibri"/>
          <w:sz w:val="28"/>
          <w:szCs w:val="28"/>
        </w:rPr>
        <w:t>Loan Applications: Soliciting applicants' comprehensive personal and financial details, collected via electronic platforms or traditional paper formats.</w:t>
      </w:r>
    </w:p>
    <w:p w14:paraId="5E5C5BDD" w14:textId="17B122BB" w:rsidR="00CB139A" w:rsidRPr="00CB139A" w:rsidRDefault="00CB139A" w:rsidP="00CB139A">
      <w:pPr>
        <w:pStyle w:val="ListParagraph"/>
        <w:numPr>
          <w:ilvl w:val="0"/>
          <w:numId w:val="3"/>
        </w:numPr>
        <w:rPr>
          <w:rFonts w:ascii="Calibri" w:hAnsi="Calibri" w:cs="Calibri"/>
          <w:sz w:val="28"/>
          <w:szCs w:val="28"/>
        </w:rPr>
      </w:pPr>
      <w:r w:rsidRPr="00CB139A">
        <w:rPr>
          <w:rFonts w:ascii="Calibri" w:hAnsi="Calibri" w:cs="Calibri"/>
          <w:sz w:val="28"/>
          <w:szCs w:val="28"/>
        </w:rPr>
        <w:t xml:space="preserve">Credit Reports: Accessing credit histories from credit bureaus to gauge applicants' creditworthiness, encompassing past credit </w:t>
      </w:r>
      <w:proofErr w:type="spellStart"/>
      <w:r w:rsidRPr="00CB139A">
        <w:rPr>
          <w:rFonts w:ascii="Calibri" w:hAnsi="Calibri" w:cs="Calibri"/>
          <w:sz w:val="28"/>
          <w:szCs w:val="28"/>
        </w:rPr>
        <w:t>behavior</w:t>
      </w:r>
      <w:proofErr w:type="spellEnd"/>
      <w:r w:rsidRPr="00CB139A">
        <w:rPr>
          <w:rFonts w:ascii="Calibri" w:hAnsi="Calibri" w:cs="Calibri"/>
          <w:sz w:val="28"/>
          <w:szCs w:val="28"/>
        </w:rPr>
        <w:t xml:space="preserve"> and outstanding obligations.</w:t>
      </w:r>
    </w:p>
    <w:p w14:paraId="183D1ECE" w14:textId="5DC6B440" w:rsidR="00CB139A" w:rsidRPr="00CB139A" w:rsidRDefault="00CB139A" w:rsidP="00CB139A">
      <w:pPr>
        <w:pStyle w:val="ListParagraph"/>
        <w:numPr>
          <w:ilvl w:val="0"/>
          <w:numId w:val="3"/>
        </w:numPr>
        <w:rPr>
          <w:rFonts w:ascii="Calibri" w:hAnsi="Calibri" w:cs="Calibri"/>
          <w:sz w:val="28"/>
          <w:szCs w:val="28"/>
        </w:rPr>
      </w:pPr>
      <w:r w:rsidRPr="00CB139A">
        <w:rPr>
          <w:rFonts w:ascii="Calibri" w:hAnsi="Calibri" w:cs="Calibri"/>
          <w:sz w:val="28"/>
          <w:szCs w:val="28"/>
        </w:rPr>
        <w:t>Internal Records: Systematically documenting loan transactions, encompassing disbursements, repayments, and alterations in loan statuses within the institution's databases.</w:t>
      </w:r>
    </w:p>
    <w:p w14:paraId="7BD37F6D" w14:textId="20BEEBCB" w:rsidR="00CB139A" w:rsidRPr="00CB139A" w:rsidRDefault="00CB139A" w:rsidP="00CB139A">
      <w:pPr>
        <w:pStyle w:val="ListParagraph"/>
        <w:numPr>
          <w:ilvl w:val="0"/>
          <w:numId w:val="3"/>
        </w:numPr>
        <w:rPr>
          <w:rFonts w:ascii="Calibri" w:hAnsi="Calibri" w:cs="Calibri"/>
          <w:sz w:val="28"/>
          <w:szCs w:val="28"/>
        </w:rPr>
      </w:pPr>
      <w:r w:rsidRPr="00CB139A">
        <w:rPr>
          <w:rFonts w:ascii="Calibri" w:hAnsi="Calibri" w:cs="Calibri"/>
          <w:sz w:val="28"/>
          <w:szCs w:val="28"/>
        </w:rPr>
        <w:t>Online Portals: Offering digital platforms for loan applications, payment processing, and account management, fostering data accumulation for analytical purposes.</w:t>
      </w:r>
    </w:p>
    <w:p w14:paraId="0FC61630" w14:textId="2C603552" w:rsidR="00CB139A" w:rsidRPr="009F0910" w:rsidRDefault="00CB139A" w:rsidP="00CB139A">
      <w:pPr>
        <w:pStyle w:val="ListParagraph"/>
        <w:numPr>
          <w:ilvl w:val="0"/>
          <w:numId w:val="3"/>
        </w:numPr>
        <w:rPr>
          <w:rFonts w:ascii="Calibri" w:hAnsi="Calibri" w:cs="Calibri"/>
          <w:sz w:val="28"/>
          <w:szCs w:val="28"/>
        </w:rPr>
      </w:pPr>
      <w:r w:rsidRPr="00CB139A">
        <w:rPr>
          <w:rFonts w:ascii="Calibri" w:hAnsi="Calibri" w:cs="Calibri"/>
          <w:sz w:val="28"/>
          <w:szCs w:val="28"/>
        </w:rPr>
        <w:t>Third-party Data Sources: Leveraging external data reservoirs, such as income validation services, to augment borrower information and refine risk assessments.</w:t>
      </w:r>
    </w:p>
    <w:p w14:paraId="1AA6A7C3" w14:textId="77777777" w:rsidR="009F0910" w:rsidRDefault="009F0910" w:rsidP="00CB139A">
      <w:pPr>
        <w:rPr>
          <w:rFonts w:ascii="Calibri" w:hAnsi="Calibri" w:cs="Calibri"/>
          <w:sz w:val="28"/>
          <w:szCs w:val="28"/>
        </w:rPr>
      </w:pPr>
    </w:p>
    <w:p w14:paraId="69930482" w14:textId="77777777" w:rsidR="009F0910" w:rsidRDefault="00CB139A" w:rsidP="00CB139A">
      <w:pPr>
        <w:rPr>
          <w:rFonts w:ascii="Calibri" w:hAnsi="Calibri" w:cs="Calibri"/>
          <w:sz w:val="28"/>
          <w:szCs w:val="28"/>
        </w:rPr>
      </w:pPr>
      <w:r w:rsidRPr="00CB139A">
        <w:rPr>
          <w:rFonts w:ascii="Calibri" w:hAnsi="Calibri" w:cs="Calibri"/>
          <w:sz w:val="28"/>
          <w:szCs w:val="28"/>
        </w:rPr>
        <w:t>In addition to traditional channels, modern technological advancements have introduced innovative avenues for data acquisition and analysis in the banking sector. Artificial intelligence, machine learning, and big data analytics offer unprecedented capabilities for extracting actionable insights from vast volumes of loan data. These cutting-edge technologies empower financial institutions to enhance risk management, personalize customer experiences, and drive operational efficiency, ushering in a new era of data-driven decision-making in banking.</w:t>
      </w:r>
      <w:r w:rsidR="009F0910">
        <w:rPr>
          <w:rFonts w:ascii="Calibri" w:hAnsi="Calibri" w:cs="Calibri"/>
          <w:sz w:val="28"/>
          <w:szCs w:val="28"/>
        </w:rPr>
        <w:t xml:space="preserve"> </w:t>
      </w:r>
      <w:r w:rsidR="009F0910" w:rsidRPr="009F0910">
        <w:rPr>
          <w:rFonts w:ascii="Calibri" w:hAnsi="Calibri" w:cs="Calibri"/>
          <w:sz w:val="28"/>
          <w:szCs w:val="28"/>
        </w:rPr>
        <w:t>This technological evolution underscores the importance of leveraging advanced analytics to navigate the complexities of modern banking practices.</w:t>
      </w:r>
    </w:p>
    <w:p w14:paraId="635AEDE6" w14:textId="0BCA43AD" w:rsidR="00CB139A" w:rsidRPr="009F0910" w:rsidRDefault="00CB139A" w:rsidP="00CB139A">
      <w:pPr>
        <w:rPr>
          <w:rFonts w:ascii="Calibri" w:hAnsi="Calibri" w:cs="Calibri"/>
          <w:sz w:val="28"/>
          <w:szCs w:val="28"/>
        </w:rPr>
      </w:pPr>
      <w:r w:rsidRPr="00CB139A">
        <w:rPr>
          <w:rFonts w:ascii="Calibri" w:hAnsi="Calibri" w:cs="Calibri"/>
          <w:b/>
          <w:bCs/>
          <w:color w:val="0F4761" w:themeColor="accent1" w:themeShade="BF"/>
          <w:sz w:val="32"/>
          <w:szCs w:val="32"/>
        </w:rPr>
        <w:lastRenderedPageBreak/>
        <w:t>Loan Approval Process</w:t>
      </w:r>
    </w:p>
    <w:p w14:paraId="7BB1A831" w14:textId="1382E45F" w:rsidR="00CB139A" w:rsidRPr="00CB139A" w:rsidRDefault="00CB139A" w:rsidP="00CB139A">
      <w:pPr>
        <w:rPr>
          <w:rFonts w:ascii="Calibri" w:hAnsi="Calibri" w:cs="Calibri"/>
          <w:sz w:val="28"/>
          <w:szCs w:val="28"/>
        </w:rPr>
      </w:pPr>
      <w:r w:rsidRPr="00CB139A">
        <w:rPr>
          <w:rFonts w:ascii="Calibri" w:hAnsi="Calibri" w:cs="Calibri"/>
          <w:sz w:val="28"/>
          <w:szCs w:val="28"/>
        </w:rPr>
        <w:t>Initiated by the submission of loan applications, the loan approval process traverses several stages:</w:t>
      </w:r>
    </w:p>
    <w:p w14:paraId="698E5224" w14:textId="3AB88B43"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Application Review: Evaluation of submitted documentation, encompassing income statements, credit reports, and identification records.</w:t>
      </w:r>
    </w:p>
    <w:p w14:paraId="13F2101D" w14:textId="1577EBC1"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Identity Verification: Authentication of applicant identity to forestall fraudulent activities and ensure application integrity.</w:t>
      </w:r>
    </w:p>
    <w:p w14:paraId="4860E4A1" w14:textId="584DAF8F"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Credit Check: Scrutiny of credit histories, encompassing credit scores, delinquency records, and historical repayment patterns.</w:t>
      </w:r>
    </w:p>
    <w:p w14:paraId="482FC1E4" w14:textId="7B563F54"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Income Verification: Assessment of income sources to ascertain borrowers' capacity to meet repayment obligations.</w:t>
      </w:r>
    </w:p>
    <w:p w14:paraId="6B2E13A7" w14:textId="54143AE3"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Debt-to-Income Ratio (DTI) Check: Calculation of debt-to-income ratios to gauge financial solvency.</w:t>
      </w:r>
    </w:p>
    <w:p w14:paraId="61B4E6FA" w14:textId="739415D1"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Employment Verification: Validation of employment status and tenure to ascertain stability and capacity for repayment.</w:t>
      </w:r>
    </w:p>
    <w:p w14:paraId="740DE1A7" w14:textId="4216353B"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Collateral Assessment: Evaluation of pledged assets to mitigate lending risks, ensuring adequate asset coverage.</w:t>
      </w:r>
    </w:p>
    <w:p w14:paraId="5396C5E4" w14:textId="771063E3"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Risk Assessment: Comprehensive evaluation of risk factors, encompassing creditworthiness, financial stability, and loan purpose.</w:t>
      </w:r>
    </w:p>
    <w:p w14:paraId="5A32B057" w14:textId="156D1DB5"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Loan Approval or Denial: Decision-making process regarding loan approval, dictating terms and conditions, including loan amounts and interest rates.</w:t>
      </w:r>
    </w:p>
    <w:p w14:paraId="65A3E4C0" w14:textId="1A50AC5D"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Loan Agreement: Provision of a comprehensive loan agreement outlining terms, responsibilities, and repayment structures.</w:t>
      </w:r>
    </w:p>
    <w:p w14:paraId="5B8B9036" w14:textId="5E80420F"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Disbursement of Funds: Transferring of approved funds to borrowers upon agreement finalization.</w:t>
      </w:r>
    </w:p>
    <w:p w14:paraId="14284821" w14:textId="1143B5C5"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 xml:space="preserve">Repayment: </w:t>
      </w:r>
      <w:proofErr w:type="spellStart"/>
      <w:r w:rsidRPr="00CB139A">
        <w:rPr>
          <w:rFonts w:ascii="Calibri" w:hAnsi="Calibri" w:cs="Calibri"/>
          <w:sz w:val="28"/>
          <w:szCs w:val="28"/>
        </w:rPr>
        <w:t>Fulfillment</w:t>
      </w:r>
      <w:proofErr w:type="spellEnd"/>
      <w:r w:rsidRPr="00CB139A">
        <w:rPr>
          <w:rFonts w:ascii="Calibri" w:hAnsi="Calibri" w:cs="Calibri"/>
          <w:sz w:val="28"/>
          <w:szCs w:val="28"/>
        </w:rPr>
        <w:t xml:space="preserve"> of repayment obligations as stipulated within the loan agreement.</w:t>
      </w:r>
    </w:p>
    <w:p w14:paraId="6863CBAA" w14:textId="3BD483CD" w:rsidR="00CB139A" w:rsidRPr="00CB139A" w:rsidRDefault="00CB139A" w:rsidP="00CB139A">
      <w:pPr>
        <w:pStyle w:val="ListParagraph"/>
        <w:numPr>
          <w:ilvl w:val="0"/>
          <w:numId w:val="4"/>
        </w:numPr>
        <w:rPr>
          <w:rFonts w:ascii="Calibri" w:hAnsi="Calibri" w:cs="Calibri"/>
          <w:sz w:val="28"/>
          <w:szCs w:val="28"/>
        </w:rPr>
      </w:pPr>
      <w:r w:rsidRPr="00CB139A">
        <w:rPr>
          <w:rFonts w:ascii="Calibri" w:hAnsi="Calibri" w:cs="Calibri"/>
          <w:sz w:val="28"/>
          <w:szCs w:val="28"/>
        </w:rPr>
        <w:t>Ongoing Monitoring: Continuous surveillance of loan performance, encompassing payment tracking and financial health assessments.</w:t>
      </w:r>
    </w:p>
    <w:p w14:paraId="57892301" w14:textId="77777777" w:rsidR="00CB139A" w:rsidRPr="00CB139A" w:rsidRDefault="00CB139A" w:rsidP="00CB139A">
      <w:pPr>
        <w:rPr>
          <w:rFonts w:ascii="Calibri" w:hAnsi="Calibri" w:cs="Calibri"/>
          <w:sz w:val="28"/>
          <w:szCs w:val="28"/>
        </w:rPr>
      </w:pPr>
    </w:p>
    <w:p w14:paraId="7BC853FD" w14:textId="77777777" w:rsidR="00CB139A" w:rsidRDefault="00CB139A" w:rsidP="00CB139A">
      <w:pPr>
        <w:rPr>
          <w:rFonts w:ascii="Calibri" w:hAnsi="Calibri" w:cs="Calibri"/>
          <w:b/>
          <w:bCs/>
          <w:color w:val="0F4761" w:themeColor="accent1" w:themeShade="BF"/>
          <w:sz w:val="32"/>
          <w:szCs w:val="32"/>
        </w:rPr>
      </w:pPr>
    </w:p>
    <w:p w14:paraId="0B051814" w14:textId="77777777" w:rsidR="00CB139A" w:rsidRDefault="00CB139A" w:rsidP="00CB139A">
      <w:pPr>
        <w:rPr>
          <w:rFonts w:ascii="Calibri" w:hAnsi="Calibri" w:cs="Calibri"/>
          <w:b/>
          <w:bCs/>
          <w:color w:val="0F4761" w:themeColor="accent1" w:themeShade="BF"/>
          <w:sz w:val="32"/>
          <w:szCs w:val="32"/>
        </w:rPr>
      </w:pPr>
    </w:p>
    <w:p w14:paraId="7692B20E" w14:textId="4F4AFE28" w:rsidR="00CB139A" w:rsidRPr="00CB139A" w:rsidRDefault="00CB139A" w:rsidP="00CB139A">
      <w:pPr>
        <w:rPr>
          <w:rFonts w:ascii="Calibri" w:hAnsi="Calibri" w:cs="Calibri"/>
          <w:sz w:val="28"/>
          <w:szCs w:val="28"/>
        </w:rPr>
      </w:pPr>
      <w:r w:rsidRPr="00CB139A">
        <w:rPr>
          <w:rFonts w:ascii="Calibri" w:hAnsi="Calibri" w:cs="Calibri"/>
          <w:b/>
          <w:bCs/>
          <w:color w:val="0F4761" w:themeColor="accent1" w:themeShade="BF"/>
          <w:sz w:val="32"/>
          <w:szCs w:val="32"/>
        </w:rPr>
        <w:lastRenderedPageBreak/>
        <w:t>Rationale for Bank Loan Data Analysis</w:t>
      </w:r>
    </w:p>
    <w:p w14:paraId="60F04A7E" w14:textId="1B4DDA16" w:rsidR="00CB139A" w:rsidRPr="00CB139A" w:rsidRDefault="00CB139A" w:rsidP="00CB139A">
      <w:pPr>
        <w:rPr>
          <w:rFonts w:ascii="Calibri" w:hAnsi="Calibri" w:cs="Calibri"/>
          <w:sz w:val="28"/>
          <w:szCs w:val="28"/>
        </w:rPr>
      </w:pPr>
      <w:r w:rsidRPr="00CB139A">
        <w:rPr>
          <w:rFonts w:ascii="Calibri" w:hAnsi="Calibri" w:cs="Calibri"/>
          <w:sz w:val="28"/>
          <w:szCs w:val="28"/>
        </w:rPr>
        <w:t>Banks undertake rigorous loan data analysis for multifaceted objectives:</w:t>
      </w:r>
    </w:p>
    <w:p w14:paraId="7D66A51A" w14:textId="6C5A91B1"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Risk Assessment: Utilization of data analytics to ascertain lending risks, predict default probabilities, and establish lending terms.</w:t>
      </w:r>
    </w:p>
    <w:p w14:paraId="65D8D4C6" w14:textId="3F002A3F"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Decision-making: Employing data-driven models to inform loan approval processes and optimize lending decisions.</w:t>
      </w:r>
    </w:p>
    <w:p w14:paraId="4A67935C" w14:textId="2B3F8DC4"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Portfolio Management: Monitoring loan portfolios to identify underperforming assets, and optimize loan terms, and pricing strategies.</w:t>
      </w:r>
    </w:p>
    <w:p w14:paraId="028D0BB0" w14:textId="79857749"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Fraud Detection: Leveraging data analysis to identify irregularities and prevent fraudulent activities.</w:t>
      </w:r>
    </w:p>
    <w:p w14:paraId="78061B8D" w14:textId="559C3404"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Regulatory Compliance: Adhering to regulatory requirements through data analysis and reporting.</w:t>
      </w:r>
    </w:p>
    <w:p w14:paraId="1D5BEE68" w14:textId="2187FA8E"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 xml:space="preserve">Customer Insights: Gaining insights into customer </w:t>
      </w:r>
      <w:proofErr w:type="spellStart"/>
      <w:r w:rsidRPr="00CB139A">
        <w:rPr>
          <w:rFonts w:ascii="Calibri" w:hAnsi="Calibri" w:cs="Calibri"/>
          <w:sz w:val="28"/>
          <w:szCs w:val="28"/>
        </w:rPr>
        <w:t>behaviors</w:t>
      </w:r>
      <w:proofErr w:type="spellEnd"/>
      <w:r w:rsidRPr="00CB139A">
        <w:rPr>
          <w:rFonts w:ascii="Calibri" w:hAnsi="Calibri" w:cs="Calibri"/>
          <w:sz w:val="28"/>
          <w:szCs w:val="28"/>
        </w:rPr>
        <w:t xml:space="preserve"> and preferences for tailored product offerings and marketing strategies.</w:t>
      </w:r>
    </w:p>
    <w:p w14:paraId="6AD5D1D6" w14:textId="085D650B"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Profitability Analysis: Assessing loan portfolio profitability through comprehensive data analysis.</w:t>
      </w:r>
    </w:p>
    <w:p w14:paraId="27DFF894" w14:textId="42E8C572"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Market Research: Utilizing data analytics to gauge market trends, competitive dynamics, and customer demand.</w:t>
      </w:r>
    </w:p>
    <w:p w14:paraId="565006BA" w14:textId="7B03DB31"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Credit Risk Management: Continuously monitoring and managing credit risk exposure through data-driven strategies.</w:t>
      </w:r>
    </w:p>
    <w:p w14:paraId="571EF9EA" w14:textId="1CD429EA" w:rsidR="00CB139A" w:rsidRPr="00CB139A" w:rsidRDefault="00CB139A" w:rsidP="00CB139A">
      <w:pPr>
        <w:pStyle w:val="ListParagraph"/>
        <w:numPr>
          <w:ilvl w:val="0"/>
          <w:numId w:val="8"/>
        </w:numPr>
        <w:rPr>
          <w:rFonts w:ascii="Calibri" w:hAnsi="Calibri" w:cs="Calibri"/>
          <w:sz w:val="28"/>
          <w:szCs w:val="28"/>
        </w:rPr>
      </w:pPr>
      <w:r w:rsidRPr="00CB139A">
        <w:rPr>
          <w:rFonts w:ascii="Calibri" w:hAnsi="Calibri" w:cs="Calibri"/>
          <w:sz w:val="28"/>
          <w:szCs w:val="28"/>
        </w:rPr>
        <w:t>Customer Retention: Identifying opportunities to retain customers through targeted refinancing options and product offerings.</w:t>
      </w:r>
    </w:p>
    <w:p w14:paraId="5A6678DF" w14:textId="77777777" w:rsidR="00CB139A" w:rsidRPr="00CB139A" w:rsidRDefault="00CB139A" w:rsidP="00CB139A">
      <w:pPr>
        <w:rPr>
          <w:rFonts w:ascii="Calibri" w:hAnsi="Calibri" w:cs="Calibri"/>
          <w:sz w:val="28"/>
          <w:szCs w:val="28"/>
        </w:rPr>
      </w:pPr>
    </w:p>
    <w:p w14:paraId="434E58FB" w14:textId="77777777" w:rsidR="00CB139A" w:rsidRDefault="00CB139A" w:rsidP="00CB139A">
      <w:pPr>
        <w:rPr>
          <w:rFonts w:ascii="Calibri" w:hAnsi="Calibri" w:cs="Calibri"/>
          <w:color w:val="4C94D8" w:themeColor="text2" w:themeTint="80"/>
          <w:sz w:val="36"/>
          <w:szCs w:val="36"/>
          <w:u w:val="single"/>
        </w:rPr>
      </w:pPr>
    </w:p>
    <w:p w14:paraId="04BE2ABD" w14:textId="24AAB0D3" w:rsidR="00CB139A" w:rsidRPr="00CB139A" w:rsidRDefault="00CB139A" w:rsidP="00CB139A">
      <w:pPr>
        <w:rPr>
          <w:rFonts w:ascii="Calibri" w:hAnsi="Calibri" w:cs="Calibri"/>
          <w:sz w:val="28"/>
          <w:szCs w:val="28"/>
        </w:rPr>
      </w:pPr>
      <w:r w:rsidRPr="00CB139A">
        <w:rPr>
          <w:rFonts w:ascii="Calibri" w:hAnsi="Calibri" w:cs="Calibri"/>
          <w:color w:val="4C94D8" w:themeColor="text2" w:themeTint="80"/>
          <w:sz w:val="36"/>
          <w:szCs w:val="36"/>
          <w:u w:val="single"/>
        </w:rPr>
        <w:t>Conclusion</w:t>
      </w:r>
    </w:p>
    <w:p w14:paraId="03F1DB1B" w14:textId="2FB87638" w:rsidR="00CB139A" w:rsidRPr="00CB139A" w:rsidRDefault="00CB139A" w:rsidP="00CB139A">
      <w:pPr>
        <w:rPr>
          <w:rFonts w:ascii="Calibri" w:hAnsi="Calibri" w:cs="Calibri"/>
          <w:sz w:val="28"/>
          <w:szCs w:val="28"/>
        </w:rPr>
      </w:pPr>
      <w:r w:rsidRPr="00CB139A">
        <w:rPr>
          <w:rFonts w:ascii="Calibri" w:hAnsi="Calibri" w:cs="Calibri"/>
          <w:sz w:val="28"/>
          <w:szCs w:val="28"/>
        </w:rPr>
        <w:t>In conclusion, bank loan data analysis serves as a cornerstone of informed decision-making and strategic management within financial institutions. By harnessing the power of data analytics, banks can mitigate risks, enhance operational efficiency, and optimize lending strategies better to serve the needs of their customers and stakeholders. Moving forward, continued investment in data analytics capabilities will be paramount for banks seeking to navigate evolving market dynamics, regulatory requirements, and customer expectations in the ever-changing landscape of the financial services industry.</w:t>
      </w:r>
    </w:p>
    <w:sectPr w:rsidR="00CB139A" w:rsidRPr="00CB1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49B4"/>
    <w:multiLevelType w:val="hybridMultilevel"/>
    <w:tmpl w:val="83DE6C6E"/>
    <w:lvl w:ilvl="0" w:tplc="167CE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A3E78"/>
    <w:multiLevelType w:val="hybridMultilevel"/>
    <w:tmpl w:val="6E24CC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44292C"/>
    <w:multiLevelType w:val="hybridMultilevel"/>
    <w:tmpl w:val="F2E60810"/>
    <w:lvl w:ilvl="0" w:tplc="167CE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B359B"/>
    <w:multiLevelType w:val="hybridMultilevel"/>
    <w:tmpl w:val="572E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E1A77"/>
    <w:multiLevelType w:val="hybridMultilevel"/>
    <w:tmpl w:val="54C81374"/>
    <w:lvl w:ilvl="0" w:tplc="167CE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949D9"/>
    <w:multiLevelType w:val="hybridMultilevel"/>
    <w:tmpl w:val="096E38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6F86382"/>
    <w:multiLevelType w:val="hybridMultilevel"/>
    <w:tmpl w:val="D4045342"/>
    <w:lvl w:ilvl="0" w:tplc="668214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D63F4"/>
    <w:multiLevelType w:val="hybridMultilevel"/>
    <w:tmpl w:val="A524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58661">
    <w:abstractNumId w:val="3"/>
  </w:num>
  <w:num w:numId="2" w16cid:durableId="1254128008">
    <w:abstractNumId w:val="6"/>
  </w:num>
  <w:num w:numId="3" w16cid:durableId="1441149277">
    <w:abstractNumId w:val="5"/>
  </w:num>
  <w:num w:numId="4" w16cid:durableId="1083453325">
    <w:abstractNumId w:val="7"/>
  </w:num>
  <w:num w:numId="5" w16cid:durableId="1683430451">
    <w:abstractNumId w:val="4"/>
  </w:num>
  <w:num w:numId="6" w16cid:durableId="670106050">
    <w:abstractNumId w:val="0"/>
  </w:num>
  <w:num w:numId="7" w16cid:durableId="1745835583">
    <w:abstractNumId w:val="2"/>
  </w:num>
  <w:num w:numId="8" w16cid:durableId="102374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26"/>
    <w:rsid w:val="009F0910"/>
    <w:rsid w:val="00A27098"/>
    <w:rsid w:val="00AA331A"/>
    <w:rsid w:val="00B259A0"/>
    <w:rsid w:val="00CB139A"/>
    <w:rsid w:val="00E74326"/>
    <w:rsid w:val="00F87916"/>
    <w:rsid w:val="00FF5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F684C"/>
  <w15:chartTrackingRefBased/>
  <w15:docId w15:val="{AB5A9D5F-A75A-477C-AD4B-8DE2F919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3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3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3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326"/>
    <w:rPr>
      <w:rFonts w:eastAsiaTheme="majorEastAsia" w:cstheme="majorBidi"/>
      <w:color w:val="272727" w:themeColor="text1" w:themeTint="D8"/>
    </w:rPr>
  </w:style>
  <w:style w:type="paragraph" w:styleId="Title">
    <w:name w:val="Title"/>
    <w:basedOn w:val="Normal"/>
    <w:next w:val="Normal"/>
    <w:link w:val="TitleChar"/>
    <w:uiPriority w:val="10"/>
    <w:qFormat/>
    <w:rsid w:val="00E74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326"/>
    <w:pPr>
      <w:spacing w:before="160"/>
      <w:jc w:val="center"/>
    </w:pPr>
    <w:rPr>
      <w:i/>
      <w:iCs/>
      <w:color w:val="404040" w:themeColor="text1" w:themeTint="BF"/>
    </w:rPr>
  </w:style>
  <w:style w:type="character" w:customStyle="1" w:styleId="QuoteChar">
    <w:name w:val="Quote Char"/>
    <w:basedOn w:val="DefaultParagraphFont"/>
    <w:link w:val="Quote"/>
    <w:uiPriority w:val="29"/>
    <w:rsid w:val="00E74326"/>
    <w:rPr>
      <w:i/>
      <w:iCs/>
      <w:color w:val="404040" w:themeColor="text1" w:themeTint="BF"/>
    </w:rPr>
  </w:style>
  <w:style w:type="paragraph" w:styleId="ListParagraph">
    <w:name w:val="List Paragraph"/>
    <w:basedOn w:val="Normal"/>
    <w:uiPriority w:val="34"/>
    <w:qFormat/>
    <w:rsid w:val="00E74326"/>
    <w:pPr>
      <w:ind w:left="720"/>
      <w:contextualSpacing/>
    </w:pPr>
  </w:style>
  <w:style w:type="character" w:styleId="IntenseEmphasis">
    <w:name w:val="Intense Emphasis"/>
    <w:basedOn w:val="DefaultParagraphFont"/>
    <w:uiPriority w:val="21"/>
    <w:qFormat/>
    <w:rsid w:val="00E74326"/>
    <w:rPr>
      <w:i/>
      <w:iCs/>
      <w:color w:val="0F4761" w:themeColor="accent1" w:themeShade="BF"/>
    </w:rPr>
  </w:style>
  <w:style w:type="paragraph" w:styleId="IntenseQuote">
    <w:name w:val="Intense Quote"/>
    <w:basedOn w:val="Normal"/>
    <w:next w:val="Normal"/>
    <w:link w:val="IntenseQuoteChar"/>
    <w:uiPriority w:val="30"/>
    <w:qFormat/>
    <w:rsid w:val="00E74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326"/>
    <w:rPr>
      <w:i/>
      <w:iCs/>
      <w:color w:val="0F4761" w:themeColor="accent1" w:themeShade="BF"/>
    </w:rPr>
  </w:style>
  <w:style w:type="character" w:styleId="IntenseReference">
    <w:name w:val="Intense Reference"/>
    <w:basedOn w:val="DefaultParagraphFont"/>
    <w:uiPriority w:val="32"/>
    <w:qFormat/>
    <w:rsid w:val="00E74326"/>
    <w:rPr>
      <w:b/>
      <w:bCs/>
      <w:smallCaps/>
      <w:color w:val="0F4761" w:themeColor="accent1" w:themeShade="BF"/>
      <w:spacing w:val="5"/>
    </w:rPr>
  </w:style>
  <w:style w:type="paragraph" w:styleId="NormalWeb">
    <w:name w:val="Normal (Web)"/>
    <w:basedOn w:val="Normal"/>
    <w:uiPriority w:val="99"/>
    <w:semiHidden/>
    <w:unhideWhenUsed/>
    <w:rsid w:val="00E743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665</Words>
  <Characters>4863</Characters>
  <Application>Microsoft Office Word</Application>
  <DocSecurity>0</DocSecurity>
  <Lines>101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Bagal</dc:creator>
  <cp:keywords/>
  <dc:description/>
  <cp:lastModifiedBy>viraj bhutada</cp:lastModifiedBy>
  <cp:revision>2</cp:revision>
  <dcterms:created xsi:type="dcterms:W3CDTF">2024-05-15T06:47:00Z</dcterms:created>
  <dcterms:modified xsi:type="dcterms:W3CDTF">2024-05-15T06:47:00Z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b099d72f656284a7752a36fe744e7efd816c70bfffb8befa7e2b4e5001f9f71f</vt:lpwstr>
  </property>
</Properties>
</file>