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mlos-presentation-guide"/>
    <w:p>
      <w:pPr>
        <w:pStyle w:val="Heading1"/>
      </w:pPr>
      <w:r>
        <w:t xml:space="preserve">mLOS Presentation Guide</w:t>
      </w:r>
    </w:p>
    <w:p>
      <w:pPr>
        <w:pStyle w:val="FirstParagraph"/>
      </w:pPr>
      <w:r>
        <w:rPr>
          <w:i/>
          <w:iCs/>
        </w:rPr>
        <w:t xml:space="preserve">Note: This Markdown file is the documentation of record for the mLOS</w:t>
      </w:r>
      <w:r>
        <w:rPr>
          <w:i/>
          <w:iCs/>
        </w:rPr>
        <w:t xml:space="preserve"> </w:t>
      </w:r>
      <w:r>
        <w:rPr>
          <w:i/>
          <w:iCs/>
        </w:rPr>
        <w:t xml:space="preserve">presentation guide, version 20260828_001. Read it in any markdown reader,</w:t>
      </w:r>
      <w:r>
        <w:rPr>
          <w:i/>
          <w:iCs/>
        </w:rPr>
        <w:t xml:space="preserve"> </w:t>
      </w:r>
      <w:r>
        <w:rPr>
          <w:i/>
          <w:iCs/>
        </w:rPr>
        <w:t xml:space="preserve">Obsidian among them. The companion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presentation_guide.docx</w:t>
      </w:r>
      <w:r>
        <w:rPr>
          <w:i/>
          <w:iCs/>
        </w:rPr>
        <w:t xml:space="preserve"> </w:t>
      </w:r>
      <w:r>
        <w:rPr>
          <w:i/>
          <w:iCs/>
        </w:rPr>
        <w:t xml:space="preserve">is tracked here,</w:t>
      </w:r>
      <w:r>
        <w:rPr>
          <w:i/>
          <w:iCs/>
        </w:rPr>
        <w:t xml:space="preserve"> </w:t>
      </w:r>
      <w:r>
        <w:rPr>
          <w:i/>
          <w:iCs/>
        </w:rPr>
        <w:t xml:space="preserve">but it is rebuilt only for a release, so it carries the version it was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from: where the two differ, this file is the current one and the Word copy</w:t>
      </w:r>
      <w:r>
        <w:rPr>
          <w:i/>
          <w:iCs/>
        </w:rPr>
        <w:t xml:space="preserve"> </w:t>
      </w:r>
      <w:r>
        <w:rPr>
          <w:i/>
          <w:iCs/>
        </w:rPr>
        <w:t xml:space="preserve">lags it.</w:t>
      </w:r>
    </w:p>
    <w:p>
      <w:pPr>
        <w:pStyle w:val="BodyText"/>
      </w:pPr>
      <w:r>
        <w:rPr>
          <w:i/>
          <w:iCs/>
        </w:rPr>
        <w:t xml:space="preserve">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presentation_guide.md</w:t>
      </w:r>
      <w:r>
        <w:rPr>
          <w:i/>
          <w:iCs/>
        </w:rPr>
        <w:t xml:space="preserve"> </w:t>
      </w:r>
      <w:r>
        <w:rPr>
          <w:i/>
          <w:iCs/>
        </w:rPr>
        <w:t xml:space="preserve">at commit 10ba4bc (2026-08-27). Where that is not the newest commit touching the file, this Word copy is behind it.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pStyle w:val="Compact"/>
        <w:numPr>
          <w:ilvl w:val="0"/>
          <w:numId w:val="1001"/>
        </w:numPr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pStyle w:val="Compact"/>
        <w:numPr>
          <w:ilvl w:val="0"/>
          <w:numId w:val="1001"/>
        </w:numPr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pStyle w:val="Compact"/>
        <w:numPr>
          <w:ilvl w:val="1"/>
          <w:numId w:val="1002"/>
        </w:numPr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pStyle w:val="Compact"/>
        <w:numPr>
          <w:ilvl w:val="1"/>
          <w:numId w:val="1002"/>
        </w:numPr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pStyle w:val="Compact"/>
        <w:numPr>
          <w:ilvl w:val="1"/>
          <w:numId w:val="1002"/>
        </w:numPr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pStyle w:val="Compact"/>
        <w:numPr>
          <w:ilvl w:val="1"/>
          <w:numId w:val="1002"/>
        </w:numPr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pStyle w:val="Compact"/>
        <w:numPr>
          <w:ilvl w:val="1"/>
          <w:numId w:val="1002"/>
        </w:numPr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pStyle w:val="Compact"/>
        <w:numPr>
          <w:ilvl w:val="1"/>
          <w:numId w:val="1002"/>
        </w:numPr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pStyle w:val="Compact"/>
        <w:numPr>
          <w:ilvl w:val="0"/>
          <w:numId w:val="1001"/>
        </w:numPr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pStyle w:val="Compact"/>
        <w:numPr>
          <w:ilvl w:val="1"/>
          <w:numId w:val="1003"/>
        </w:numPr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pStyle w:val="Compact"/>
        <w:numPr>
          <w:ilvl w:val="1"/>
          <w:numId w:val="1003"/>
        </w:numPr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pStyle w:val="Compact"/>
        <w:numPr>
          <w:ilvl w:val="1"/>
          <w:numId w:val="1003"/>
        </w:numPr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pStyle w:val="Compact"/>
        <w:numPr>
          <w:ilvl w:val="1"/>
          <w:numId w:val="1003"/>
        </w:numPr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pStyle w:val="Compact"/>
        <w:numPr>
          <w:ilvl w:val="1"/>
          <w:numId w:val="1003"/>
        </w:numPr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pStyle w:val="Compact"/>
        <w:numPr>
          <w:ilvl w:val="1"/>
          <w:numId w:val="1003"/>
        </w:numPr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pStyle w:val="Compact"/>
        <w:numPr>
          <w:ilvl w:val="1"/>
          <w:numId w:val="1003"/>
        </w:numPr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pStyle w:val="Compact"/>
        <w:numPr>
          <w:ilvl w:val="1"/>
          <w:numId w:val="1003"/>
        </w:numPr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pStyle w:val="Compact"/>
        <w:numPr>
          <w:ilvl w:val="1"/>
          <w:numId w:val="1003"/>
        </w:numPr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pStyle w:val="Compact"/>
        <w:numPr>
          <w:ilvl w:val="0"/>
          <w:numId w:val="1001"/>
        </w:numPr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pStyle w:val="Compact"/>
        <w:numPr>
          <w:ilvl w:val="1"/>
          <w:numId w:val="1004"/>
        </w:numPr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pStyle w:val="Compact"/>
        <w:numPr>
          <w:ilvl w:val="1"/>
          <w:numId w:val="1004"/>
        </w:numPr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pStyle w:val="Compact"/>
        <w:numPr>
          <w:ilvl w:val="1"/>
          <w:numId w:val="1004"/>
        </w:numPr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pStyle w:val="Compact"/>
        <w:numPr>
          <w:ilvl w:val="1"/>
          <w:numId w:val="1004"/>
        </w:numPr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pStyle w:val="Compact"/>
        <w:numPr>
          <w:ilvl w:val="1"/>
          <w:numId w:val="1004"/>
        </w:numPr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pStyle w:val="Compact"/>
        <w:numPr>
          <w:ilvl w:val="1"/>
          <w:numId w:val="1004"/>
        </w:numPr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pStyle w:val="Compact"/>
        <w:numPr>
          <w:ilvl w:val="1"/>
          <w:numId w:val="1004"/>
        </w:numPr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pStyle w:val="Compact"/>
        <w:numPr>
          <w:ilvl w:val="1"/>
          <w:numId w:val="1004"/>
        </w:numPr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pStyle w:val="Compact"/>
        <w:numPr>
          <w:ilvl w:val="1"/>
          <w:numId w:val="1004"/>
        </w:numPr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4"/>
        </w:numPr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pStyle w:val="Compact"/>
        <w:numPr>
          <w:ilvl w:val="1"/>
          <w:numId w:val="1004"/>
        </w:numPr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pStyle w:val="Compact"/>
        <w:numPr>
          <w:ilvl w:val="1"/>
          <w:numId w:val="1004"/>
        </w:numPr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pStyle w:val="Compact"/>
        <w:numPr>
          <w:ilvl w:val="1"/>
          <w:numId w:val="1004"/>
        </w:numPr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pStyle w:val="Compact"/>
        <w:numPr>
          <w:ilvl w:val="0"/>
          <w:numId w:val="1001"/>
        </w:numPr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pStyle w:val="Compact"/>
        <w:numPr>
          <w:ilvl w:val="1"/>
          <w:numId w:val="1005"/>
        </w:numPr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pStyle w:val="Compact"/>
        <w:numPr>
          <w:ilvl w:val="1"/>
          <w:numId w:val="1005"/>
        </w:numPr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pStyle w:val="Compact"/>
        <w:numPr>
          <w:ilvl w:val="1"/>
          <w:numId w:val="1005"/>
        </w:numPr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pStyle w:val="Compact"/>
        <w:numPr>
          <w:ilvl w:val="1"/>
          <w:numId w:val="1005"/>
        </w:numPr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pStyle w:val="Compact"/>
        <w:numPr>
          <w:ilvl w:val="1"/>
          <w:numId w:val="1005"/>
        </w:numPr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pStyle w:val="Compact"/>
        <w:numPr>
          <w:ilvl w:val="1"/>
          <w:numId w:val="1005"/>
        </w:numPr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pStyle w:val="Compact"/>
        <w:numPr>
          <w:ilvl w:val="1"/>
          <w:numId w:val="1005"/>
        </w:numPr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pStyle w:val="Compact"/>
        <w:numPr>
          <w:ilvl w:val="1"/>
          <w:numId w:val="1005"/>
        </w:numPr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pStyle w:val="Compact"/>
        <w:numPr>
          <w:ilvl w:val="1"/>
          <w:numId w:val="1005"/>
        </w:numPr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pStyle w:val="Compact"/>
        <w:numPr>
          <w:ilvl w:val="1"/>
          <w:numId w:val="1005"/>
        </w:numPr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pStyle w:val="Compact"/>
        <w:numPr>
          <w:ilvl w:val="1"/>
          <w:numId w:val="1005"/>
        </w:numPr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pStyle w:val="Compact"/>
        <w:numPr>
          <w:ilvl w:val="1"/>
          <w:numId w:val="1005"/>
        </w:numPr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pStyle w:val="Compact"/>
        <w:numPr>
          <w:ilvl w:val="0"/>
          <w:numId w:val="1001"/>
        </w:numPr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pStyle w:val="Compact"/>
        <w:numPr>
          <w:ilvl w:val="0"/>
          <w:numId w:val="1001"/>
        </w:numPr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recompute a statistic. Everything it shows has already been computed once,</w:t>
      </w:r>
      <w:r>
        <w:t xml:space="preserve"> </w:t>
      </w:r>
      <w:r>
        <w:t xml:space="preserve">cross-checked by the test suite, and written out.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deck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Workbook of every table the slide deck build made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report with inset figures and tables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Audience-tailored spreadsheets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  <w:bCs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bookmarkEnd w:id="10"/>
    <w:bookmarkStart w:id="11" w:name="what-a-deck-is-worth"/>
    <w:p>
      <w:pPr>
        <w:pStyle w:val="Heading2"/>
      </w:pPr>
      <w:r>
        <w:t xml:space="preserve">What a deck is worth</w:t>
      </w:r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  <w:bCs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the number the analysis wrote for</w:t>
      </w:r>
      <w:r>
        <w:t xml:space="preserve"> </w:t>
      </w:r>
      <w:r>
        <w:t xml:space="preserve">it,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  <w:bCs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  <w:bCs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  <w:bCs/>
        </w:rPr>
        <w:t xml:space="preserve">A finding’s absence from a deck is not evidence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  <w:bCs/>
        </w:rPr>
        <w:t xml:space="preserve">raw material for a briefing</w:t>
      </w:r>
      <w:r>
        <w:t xml:space="preserve"> </w:t>
      </w:r>
      <w:r>
        <w:t xml:space="preserve">somebody writes, and is not itself the briefing.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r>
        <w:pict>
          <v:rect style="width:0;height:1.5pt" o:hralign="center" o:hrstd="t" o:hr="t"/>
        </w:pict>
      </w:r>
    </w:p>
    <w:bookmarkEnd w:id="11"/>
    <w:bookmarkStart w:id="19" w:name="producing-a-deck"/>
    <w:p>
      <w:pPr>
        <w:pStyle w:val="Heading2"/>
      </w:pPr>
      <w:r>
        <w:t xml:space="preserve">Producing a deck</w:t>
      </w:r>
    </w:p>
    <w:p>
      <w:pPr>
        <w:pStyle w:val="FirstParagraph"/>
      </w:pPr>
      <w:r>
        <w:rPr>
          <w:i/>
          <w:iCs/>
        </w:rPr>
        <w:t xml:space="preserve">For whoever runs the builder. What a build writes, what the settings</w:t>
      </w:r>
      <w:r>
        <w:rPr>
          <w:i/>
          <w:iCs/>
        </w:rPr>
        <w:t xml:space="preserve"> </w:t>
      </w:r>
      <w:r>
        <w:rPr>
          <w:i/>
          <w:iCs/>
        </w:rPr>
        <w:t xml:space="preserve">change, and what to check before a deck reaches anybody.</w:t>
      </w:r>
    </w:p>
    <w:p>
      <w:pPr>
        <w:pStyle w:val="BodyText"/>
      </w:pPr>
      <w:r>
        <w:rPr>
          <w:b/>
          <w:bCs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bookmarkStart w:id="13" w:name="running-it-and-what-it-writes"/>
    <w:p>
      <w:pPr>
        <w:pStyle w:val="Heading3"/>
      </w:pPr>
      <w:r>
        <w:t xml:space="preserve">Running it, and what it writes</w:t>
      </w:r>
    </w:p>
    <w:p>
      <w:pPr>
        <w:pStyle w:val="FirstParagraph"/>
      </w:pPr>
      <w:r>
        <w:t xml:space="preserve">A deck built from the shipped OC2 settings is deposited at</w:t>
      </w:r>
      <w:r>
        <w:t xml:space="preserve"> </w:t>
      </w:r>
      <w:hyperlink r:id="rId12">
        <w:r>
          <w:rPr>
            <w:rStyle w:val="Hyperlink"/>
          </w:rPr>
          <w:t xml:space="preserve">10.5281/zenodo.22135419</w:t>
        </w:r>
      </w:hyperlink>
      <w:r>
        <w:t xml:space="preserve">, with its</w:t>
      </w:r>
      <w:r>
        <w:t xml:space="preserve"> </w:t>
      </w:r>
      <w:r>
        <w:t xml:space="preserve">table workbook, its figures, and the settings file it was built under, so the</w:t>
      </w:r>
      <w:r>
        <w:t xml:space="preserve"> </w:t>
      </w:r>
      <w:r>
        <w:t xml:space="preserve">output described below can be read without running anything. That deposit is</w:t>
      </w:r>
      <w:r>
        <w:t xml:space="preserve"> </w:t>
      </w:r>
      <w:r>
        <w:t xml:space="preserve">derived from the results deposit rather than standing on its own, and the</w:t>
      </w:r>
      <w:r>
        <w:t xml:space="preserve"> </w:t>
      </w:r>
      <w:r>
        <w:t xml:space="preserve">caveats above apply to it exactly as they apply to a deck built here.</w:t>
      </w:r>
    </w:p>
    <w:p>
      <w:pPr>
        <w:pStyle w:val="BodyText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deck is never overwritten, and neither is the workbook.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bookmarkEnd w:id="13"/>
    <w:bookmarkStart w:id="14" w:name="settings"/>
    <w:p>
      <w:pPr>
        <w:pStyle w:val="Heading3"/>
      </w:pPr>
      <w:r>
        <w:t xml:space="preserve">Settings</w:t>
      </w:r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tcPr/>
          <w:p>
            <w:pPr>
              <w:pStyle w:val="Compact"/>
            </w:pPr>
            <w:r>
              <w:t xml:space="preserve">all four, for the one decision salience currently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On a dataset with one stratifier, an unstated stratifier 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“let the findings decide”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bookmarkEnd w:id="14"/>
    <w:bookmarkStart w:id="15" w:name="checking-a-deck-before-it-is-shown"/>
    <w:p>
      <w:pPr>
        <w:pStyle w:val="Heading3"/>
      </w:pPr>
      <w:r>
        <w:t xml:space="preserve">Checking a deck before it is shown</w:t>
      </w:r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to look next”</w:t>
      </w:r>
      <w:r>
        <w:rPr>
          <w:b/>
          <w:bCs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 A finding’s absence from a deck is not</w:t>
      </w:r>
      <w:r>
        <w:t xml:space="preserve"> </w:t>
      </w:r>
      <w:r>
        <w:t xml:space="preserve">evidence that it is absent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bookmarkEnd w:id="15"/>
    <w:bookmarkStart w:id="16" w:name="checking-that-the-wording-is-complete"/>
    <w:p>
      <w:pPr>
        <w:pStyle w:val="Heading3"/>
      </w:pPr>
      <w:r>
        <w:t xml:space="preserve">Checking that the wording is complete</w:t>
      </w:r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bookmarkEnd w:id="16"/>
    <w:bookmarkStart w:id="17" w:name="Xa56e11bfac74954f54e941af4d9aa717aa2b639"/>
    <w:p>
      <w:pPr>
        <w:pStyle w:val="Heading3"/>
      </w:pPr>
      <w:r>
        <w:t xml:space="preserve">Worked examples, and which run they come from</w:t>
      </w:r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  <w:bCs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“on OC1 and OC2”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“on either run”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Orange County data”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data/OC1_data.csv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data/OC1_settings.yaml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bookmarkEnd w:id="17"/>
    <w:bookmarkStart w:id="18" w:name="what-you-cannot-do-yet"/>
    <w:p>
      <w:pPr>
        <w:pStyle w:val="Heading3"/>
      </w:pPr>
      <w:r>
        <w:t xml:space="preserve">What you cannot do yet</w:t>
      </w:r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slide sequence is fixed</w:t>
      </w:r>
      <w:r>
        <w:t xml:space="preserve"> </w:t>
      </w:r>
      <w:r>
        <w:t xml:space="preserve">in code rather than planned against a budget. There is no text-centered</w:t>
      </w:r>
      <w:r>
        <w:t xml:space="preserve"> </w:t>
      </w:r>
      <w:r>
        <w:t xml:space="preserve">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the-deck-slide-by-slide"/>
    <w:p>
      <w:pPr>
        <w:pStyle w:val="Heading2"/>
      </w:pPr>
      <w:r>
        <w:t xml:space="preserve">The deck, slide by slide</w:t>
      </w:r>
    </w:p>
    <w:p>
      <w:pPr>
        <w:pStyle w:val="FirstParagraph"/>
      </w:pPr>
      <w:r>
        <w:rPr>
          <w:i/>
          <w:iCs/>
        </w:rPr>
        <w:t xml:space="preserve">For whoever receives a deck, or presents one. What each slide shows and</w:t>
      </w:r>
      <w:r>
        <w:rPr>
          <w:i/>
          <w:iCs/>
        </w:rPr>
        <w:t xml:space="preserve"> </w:t>
      </w:r>
      <w:r>
        <w:rPr>
          <w:i/>
          <w:iCs/>
        </w:rPr>
        <w:t xml:space="preserve">how to read it. Why a slide says what it says is under</w:t>
      </w:r>
      <w:r>
        <w:rPr>
          <w:i/>
          <w:iCs/>
        </w:rPr>
        <w:t xml:space="preserve"> </w:t>
      </w:r>
      <w:hyperlink w:anchor="what-the-deck-decides">
        <w:r>
          <w:rPr>
            <w:rStyle w:val="Hyperlink"/>
            <w:i/>
            <w:iCs/>
          </w:rPr>
          <w:t xml:space="preserve">What the deck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decides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  <w:bCs/>
        </w:rPr>
        <w:t xml:space="preserve">an average day or an average resident, not a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LOS, not a count taken on any particular date.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“today’s”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bookmarkStart w:id="20" w:name="the-two-opening-slides"/>
    <w:p>
      <w:pPr>
        <w:pStyle w:val="Heading3"/>
      </w:pPr>
      <w:r>
        <w:t xml:space="preserve">The two opening slides</w:t>
      </w:r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  <w:bCs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not a finding, it is the methodology every later number relies on. A slide of</w:t>
      </w:r>
      <w:r>
        <w:t xml:space="preserve"> </w:t>
      </w:r>
      <w:r>
        <w:rPr>
          <w:b/>
          <w:bCs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  <w:bCs/>
        </w:rPr>
        <w:t xml:space="preserve">Both opening slides close their notes with the</w:t>
      </w:r>
      <w:r>
        <w:rPr>
          <w:b/>
          <w:bCs/>
        </w:rPr>
        <w:t xml:space="preserve"> </w:t>
      </w:r>
      <w:hyperlink w:anchor="observation-gaps">
        <w:r>
          <w:rPr>
            <w:rStyle w:val="Hyperlink"/>
            <w:b/>
            <w:bCs/>
          </w:rPr>
          <w:t xml:space="preserve">observation-gap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pooled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bookmarkEnd w:id="20"/>
    <w:bookmarkStart w:id="21" w:name="length-of-stay-per-stratifier"/>
    <w:p>
      <w:pPr>
        <w:pStyle w:val="Heading3"/>
      </w:pPr>
      <w:r>
        <w:t xml:space="preserve">Length of stay, per stratifier</w:t>
      </w:r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“this group</w:t>
      </w:r>
      <w:r>
        <w:t xml:space="preserve"> </w:t>
      </w:r>
      <w:r>
        <w:t xml:space="preserve">stays longer”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bookmarkEnd w:id="21"/>
    <w:bookmarkStart w:id="22" w:name="what-the-residents-still-owe"/>
    <w:p>
      <w:pPr>
        <w:pStyle w:val="Heading3"/>
      </w:pPr>
      <w:r>
        <w:t xml:space="preserve">What the residents still owe</w:t>
      </w:r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  <w:bCs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  <w:bCs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  <w:bCs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bookmarkEnd w:id="22"/>
    <w:bookmarkStart w:id="23" w:name="the-three-workload-slides"/>
    <w:p>
      <w:pPr>
        <w:pStyle w:val="Heading3"/>
      </w:pPr>
      <w:r>
        <w:t xml:space="preserve">The three workload slides</w:t>
      </w:r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don’t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the current residents are committed to.</w:t>
      </w:r>
    </w:p>
    <w:p>
      <w:pPr>
        <w:pStyle w:val="BodyText"/>
      </w:pPr>
      <w:r>
        <w:rPr>
          <w:b/>
          <w:bCs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“LARGE holds 93% of the days owed”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don’t coexist to share a population.</w:t>
      </w:r>
    </w:p>
    <w:p>
      <w:pPr>
        <w:pStyle w:val="BodyText"/>
      </w:pPr>
      <w:r>
        <w:rPr>
          <w:b/>
          <w:bCs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  <w:iCs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  <w:bCs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  <w:bCs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the long stays of a busier past still in</w:t>
      </w:r>
      <w:r>
        <w:t xml:space="preserve"> </w:t>
      </w:r>
      <w:r>
        <w:t xml:space="preserve">the building; counted below, it was still filling up behind a rise.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The fitted side is</w:t>
      </w:r>
      <w:r>
        <w:t xml:space="preserve"> </w:t>
      </w:r>
      <w:r>
        <w:t xml:space="preserve">capped at the stay cap and the counted side is not.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  <w:bCs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what a resident still has to come is what it has already served plus</w:t>
      </w:r>
      <w:r>
        <w:t xml:space="preserve"> </w:t>
      </w:r>
      <w:r>
        <w:t xml:space="preserve">exactly one day, on every level, always. In a population at steady state, time</w:t>
      </w:r>
      <w:r>
        <w:t xml:space="preserve"> </w:t>
      </w:r>
      <w:r>
        <w:t xml:space="preserve">served and time still to come have the same distribution, and the extra day is</w:t>
      </w:r>
      <w:r>
        <w:t xml:space="preserve"> </w:t>
      </w:r>
      <w:r>
        <w:t xml:space="preserve">the day the animal is having. On the third slide, days owed minus animal-days</w:t>
      </w:r>
      <w:r>
        <w:t xml:space="preserve"> </w:t>
      </w:r>
      <w:r>
        <w:t xml:space="preserve">elapsed is the census, which is the same fact multiplied out.</w:t>
      </w:r>
    </w:p>
    <w:p>
      <w:pPr>
        <w:pStyle w:val="BodyText"/>
      </w:pPr>
      <w:r>
        <w:rPr>
          <w:b/>
          <w:bCs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  <w:bCs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“we are nearly done”</w:t>
      </w:r>
      <w:r>
        <w:t xml:space="preserve">.</w:t>
      </w:r>
    </w:p>
    <w:bookmarkEnd w:id="23"/>
    <w:bookmarkStart w:id="24" w:name="hazard-ratios-then-length-of-stay-ratios"/>
    <w:p>
      <w:pPr>
        <w:pStyle w:val="Heading3"/>
      </w:pPr>
      <w:r>
        <w:t xml:space="preserve">Hazard ratios, then length-of-stay ratios</w:t>
      </w:r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  <w:bCs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  <w:bCs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  <w:bCs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A robustness check these two slides replaced,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,</w:t>
      </w:r>
      <w:r>
        <w:t xml:space="preserve"> </w:t>
      </w:r>
      <w:r>
        <w:t xml:space="preserve">is still built, and is kept after the closing sections, behind a page</w:t>
      </w:r>
      <w:r>
        <w:t xml:space="preserve"> </w:t>
      </w:r>
      <w:r>
        <w:t xml:space="preserve">separating it from the presentation. Nothing there is gathered into the</w:t>
      </w:r>
      <w:r>
        <w:t xml:space="preserve"> </w:t>
      </w:r>
      <w:r>
        <w:t xml:space="preserve">closing sections.</w:t>
      </w:r>
    </w:p>
    <w:bookmarkEnd w:id="24"/>
    <w:bookmarkStart w:id="25" w:name="the-competing-risks-run"/>
    <w:p>
      <w:pPr>
        <w:pStyle w:val="Heading3"/>
      </w:pPr>
      <w:r>
        <w:t xml:space="preserve">The competing-risks run</w:t>
      </w:r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a whole-sample</w:t>
      </w:r>
      <w:r>
        <w:t xml:space="preserve"> </w:t>
      </w:r>
      <w:r>
        <w:t xml:space="preserve">slide,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chosen by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.</w:t>
      </w:r>
      <w:r>
        <w:t xml:space="preserve"> </w:t>
      </w:r>
      <w:r>
        <w:rPr>
          <w:b/>
          <w:bCs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  <w:bCs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bookmarkEnd w:id="25"/>
    <w:bookmarkStart w:id="26" w:name="closing-sections"/>
    <w:p>
      <w:pPr>
        <w:pStyle w:val="Heading3"/>
      </w:pPr>
      <w:r>
        <w:t xml:space="preserve">Closing sections</w:t>
      </w:r>
    </w:p>
    <w:p>
      <w:pPr>
        <w:pStyle w:val="FirstParagraph"/>
      </w:pPr>
      <w:r>
        <w:rPr>
          <w:b/>
          <w:bCs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  <w:bCs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twenty-eight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bookmarkEnd w:id="26"/>
    <w:bookmarkStart w:id="27" w:name="speaker-notes"/>
    <w:p>
      <w:pPr>
        <w:pStyle w:val="Heading3"/>
      </w:pPr>
      <w:r>
        <w:t xml:space="preserve">Speaker notes</w:t>
      </w:r>
    </w:p>
    <w:p>
      <w:pPr>
        <w:pStyle w:val="FirstParagraph"/>
      </w:pPr>
      <w:r>
        <w:rPr>
          <w:b/>
          <w:bCs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bookmarkEnd w:id="27"/>
    <w:bookmarkStart w:id="28" w:name="the-file-you-get"/>
    <w:p>
      <w:pPr>
        <w:pStyle w:val="Heading3"/>
      </w:pPr>
      <w:r>
        <w:t xml:space="preserve">The file you get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  <w:bCs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3" w:name="what-the-deck-decides"/>
    <w:p>
      <w:pPr>
        <w:pStyle w:val="Heading2"/>
      </w:pPr>
      <w:r>
        <w:t xml:space="preserve">What the deck decides</w:t>
      </w:r>
    </w:p>
    <w:p>
      <w:pPr>
        <w:pStyle w:val="FirstParagraph"/>
      </w:pPr>
      <w:r>
        <w:rPr>
          <w:i/>
          <w:iCs/>
        </w:rPr>
        <w:t xml:space="preserve">For whoever has to defend a line on a slide. Which rows appear, which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marked, when the deck stays silent, and what every 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is set to.</w:t>
      </w:r>
    </w:p>
    <w:bookmarkStart w:id="30" w:name="the-opening-summary"/>
    <w:p>
      <w:pPr>
        <w:pStyle w:val="Heading3"/>
      </w:pPr>
      <w:r>
        <w:t xml:space="preserve">The opening summary</w:t>
      </w:r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tcPr/>
          <w:p>
            <w:pPr>
              <w:pStyle w:val="Compact"/>
            </w:pPr>
            <w:r>
              <w:t xml:space="preserve">the window and its periods, with dates and day counts</w:t>
            </w:r>
          </w:p>
        </w:tc>
        <w:tc>
          <w:tcPr/>
          <w:p>
            <w:pPr>
              <w:pStyle w:val="Compact"/>
            </w:pPr>
            <w:r>
              <w:t xml:space="preserve">the title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sample_table</w:t>
            </w:r>
          </w:p>
        </w:tc>
        <w:tc>
          <w:tcPr/>
          <w:p>
            <w:pPr>
              <w:pStyle w:val="Compact"/>
            </w:pPr>
            <w:r>
              <w:t xml:space="preserve">stays, distinct animals, intakes, the cap, and the stays that ran past it, then the outcome tallies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tcPr/>
          <w:p>
            <w:pPr>
              <w:pStyle w:val="Compact"/>
            </w:pPr>
            <w:r>
              <w:t xml:space="preserve">one field’s levels, with their stays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tcPr/>
          <w:p>
            <w:pPr>
              <w:pStyle w:val="Compact"/>
            </w:pPr>
            <w:r>
              <w:t xml:space="preserve">one row per field: level count, and the levels with the fewest and most stays</w:t>
            </w:r>
          </w:p>
        </w:tc>
        <w:tc>
          <w:tcPr/>
          <w:p>
            <w:pPr>
              <w:pStyle w:val="Compact"/>
            </w:pPr>
            <w:r>
              <w:t xml:space="preserve">nowhere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workload_table</w:t>
            </w:r>
          </w:p>
        </w:tc>
        <w:tc>
          <w:tcPr/>
          <w:p>
            <w:pPr>
              <w:pStyle w:val="Compac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tcPr/>
          <w:p>
            <w:pPr>
              <w:pStyle w:val="Compact"/>
            </w:pPr>
            <w:r>
              <w:t xml:space="preserve">each of the three workload slides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tcPr/>
          <w:p>
            <w:pPr>
              <w:pStyle w:val="Compact"/>
            </w:pPr>
            <w:r>
              <w:t xml:space="preserve">what the observation-gap scan found among the periods</w:t>
            </w:r>
          </w:p>
        </w:tc>
        <w:tc>
          <w:tcPr/>
          <w:p>
            <w:pPr>
              <w:pStyle w:val="Compact"/>
            </w:pPr>
            <w:r>
              <w:t xml:space="preserve">the title slide’s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tcPr/>
          <w:p>
            <w:pPr>
              <w:pStyle w:val="Compact"/>
            </w:pPr>
            <w:r>
              <w:t xml:space="preserve">the same for the pooled data and each field</w:t>
            </w:r>
          </w:p>
        </w:tc>
        <w:tc>
          <w:tcPr/>
          <w:p>
            <w:pPr>
              <w:pStyle w:val="Compac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  <w:bCs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  <w:bCs/>
        </w:rPr>
        <w:t xml:space="preserve">The footnote</w:t>
      </w:r>
      <w:r>
        <w:rPr>
          <w:b/>
          <w:bCs/>
        </w:rPr>
        <w:t xml:space="preserve"> </w:t>
      </w:r>
      <w:r>
        <w:rPr>
          <w:b/>
          <w:bCs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  <w:bCs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  <w:bCs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  <w:bCs/>
        </w:rPr>
        <w:t xml:space="preserve">The window drops its pooled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bookmarkEnd w:id="30"/>
    <w:bookmarkStart w:id="31" w:name="observation-gaps"/>
    <w:p>
      <w:pPr>
        <w:pStyle w:val="Heading3"/>
      </w:pPr>
      <w:r>
        <w:t xml:space="preserve">Observation gaps</w:t>
      </w:r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  <w:bCs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pooled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  <w:bCs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“there are none”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  <w:bCs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pooled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  <w:bCs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  <w:iCs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bookmarkEnd w:id="31"/>
    <w:bookmarkStart w:id="32" w:name="the-measures-a-slide-leads-with"/>
    <w:p>
      <w:pPr>
        <w:pStyle w:val="Heading3"/>
      </w:pPr>
      <w:r>
        <w:t xml:space="preserve">The measures a slide leads with</w:t>
      </w:r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“Remaining, resident mean”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 rather than the observed tally beside it.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“highest of one”</w:t>
      </w:r>
      <w:r>
        <w:t xml:space="preserve"> </w:t>
      </w:r>
      <w:r>
        <w:t xml:space="preserve">would be noise.</w:t>
      </w:r>
    </w:p>
    <w:bookmarkEnd w:id="32"/>
    <w:bookmarkStart w:id="33" w:name="high-low-and-flat"/>
    <w:p>
      <w:pPr>
        <w:pStyle w:val="Heading3"/>
      </w:pPr>
      <w:r>
        <w:t xml:space="preserve">High, low, and flat</w:t>
      </w:r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  <w:bCs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“H”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“highest of the four I happened to pick”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  <w:bCs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bookmarkEnd w:id="33"/>
    <w:bookmarkStart w:id="34" w:name="which-levels-a-table-shows"/>
    <w:p>
      <w:pPr>
        <w:pStyle w:val="Heading3"/>
      </w:pPr>
      <w:r>
        <w:t xml:space="preserve">Which levels a table shows</w:t>
      </w:r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“n of m levels shown”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  <w:bCs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  <w:bCs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  <w:bCs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  <w:bCs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“most intakes per day”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bookmarkEnd w:id="34"/>
    <w:bookmarkStart w:id="35" w:name="the-competing-risk-tables"/>
    <w:p>
      <w:pPr>
        <w:pStyle w:val="Heading3"/>
      </w:pPr>
      <w:r>
        <w:t xml:space="preserve">The competing-risk tables</w:t>
      </w:r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  <w:bCs/>
        </w:rPr>
        <w:t xml:space="preserve">conditional 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“Any”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  <w:bCs/>
        </w:rPr>
        <w:t xml:space="preserve">companion Excel</w:t>
      </w:r>
      <w:r>
        <w:rPr>
          <w:b/>
          <w:bCs/>
        </w:rPr>
        <w:t xml:space="preserve"> </w:t>
      </w:r>
      <w:r>
        <w:rPr>
          <w:b/>
          <w:bCs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  <w:bCs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  <w:bCs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  <w:bCs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bookmarkEnd w:id="35"/>
    <w:bookmarkStart w:id="36" w:name="caveats-the-data-triggers"/>
    <w:p>
      <w:pPr>
        <w:pStyle w:val="Heading3"/>
      </w:pPr>
      <w:r>
        <w:t xml:space="preserve">Caveats the data triggers</w:t>
      </w:r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  <w:bCs/>
        </w:rPr>
        <w:t xml:space="preserve">A data-conditional caveat belongs in the block layer, not in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  <w:bCs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  <w:bCs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  <w:bCs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6"/>
    <w:bookmarkStart w:id="37" w:name="when-the-deck-says-nothing"/>
    <w:p>
      <w:pPr>
        <w:pStyle w:val="Heading3"/>
      </w:pPr>
      <w:r>
        <w:t xml:space="preserve">When the deck says nothing</w:t>
      </w:r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 rather than as a small number.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twenty-eight test fixtures, ten produce none at 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7"/>
    <w:bookmarkStart w:id="38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  <w:bCs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“Findings, continued”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“Among animal group levels, LRG has the</w:t>
      </w:r>
      <w:r>
        <w:t xml:space="preserve"> </w:t>
      </w:r>
      <w:r>
        <w:t xml:space="preserve">longest average stay at 31 days, and the largest share of residents at 67%.”</w:t>
      </w:r>
      <w:r>
        <w:t xml:space="preserve"> </w:t>
      </w:r>
      <w:r>
        <w:t xml:space="preserve">(</w:t>
      </w:r>
      <w:r>
        <w:rPr>
          <w:b/>
          <w:bCs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“the longest of several identical values”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LOS</w:t>
            </w:r>
          </w:p>
        </w:tc>
        <w:tc>
          <w:tcPr/>
          <w:p>
            <w:pPr>
              <w:pStyle w:val="Compac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outlook</w:t>
            </w:r>
          </w:p>
        </w:tc>
        <w:tc>
          <w:tcPr/>
          <w:p>
            <w:pPr>
              <w:pStyle w:val="Compact"/>
            </w:pPr>
            <w:r>
              <w:t xml:space="preserve">how long the middle resident has been here and how much longer it expects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by stratifier</w:t>
            </w:r>
          </w:p>
        </w:tc>
        <w:tc>
          <w:tcPr/>
          <w:p>
            <w:pPr>
              <w:pStyle w:val="Compac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by stratifier</w:t>
            </w:r>
          </w:p>
        </w:tc>
        <w:tc>
          <w:tcPr/>
          <w:p>
            <w:pPr>
              <w:pStyle w:val="Compact"/>
            </w:pPr>
            <w:r>
              <w:t xml:space="preserve">which levels’ residents are furthest from leaving and which nearest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the shelter’s committed animal-days, and the level carrying them where one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ratios by stratifier</w:t>
            </w:r>
          </w:p>
        </w:tc>
        <w:tc>
          <w:tcPr/>
          <w:p>
            <w:pPr>
              <w:pStyle w:val="Compac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risks</w:t>
            </w:r>
          </w:p>
        </w:tc>
        <w:tc>
          <w:tcPr/>
          <w:p>
            <w:pPr>
              <w:pStyle w:val="Compac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  <w:bCs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  <w:bCs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  <w:bCs/>
        </w:rPr>
        <w:t xml:space="preserve">fires only where a level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  <w:bCs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  <w:bCs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“somewhat longer”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  <w:bCs/>
        </w:rPr>
        <w:t xml:space="preserve">It ignores levels with fewer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OUTCOME_SPREAD_MINIMUM_EVENTS</w:t>
      </w:r>
      <w:r>
        <w:rPr>
          <w:b/>
          <w:bCs/>
        </w:rPr>
        <w:t xml:space="preserve"> </w:t>
      </w:r>
      <w:r>
        <w:rPr>
          <w:b/>
          <w:bCs/>
        </w:rPr>
        <w:t xml:space="preserve">of that</w:t>
      </w:r>
      <w:r>
        <w:rPr>
          <w:b/>
          <w:bCs/>
        </w:rPr>
        <w:t xml:space="preserve"> </w:t>
      </w:r>
      <w:r>
        <w:rPr>
          <w:b/>
          <w:bCs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  <w:bCs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 rather than as a small number.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“some 0</w:t>
      </w:r>
      <w:r>
        <w:t xml:space="preserve"> </w:t>
      </w:r>
      <w:r>
        <w:t xml:space="preserve">animal-years”</w:t>
      </w:r>
      <w:r>
        <w:t xml:space="preserve">.</w:t>
      </w:r>
    </w:p>
    <w:bookmarkEnd w:id="38"/>
    <w:bookmarkStart w:id="39" w:name="recommendations"/>
    <w:p>
      <w:pPr>
        <w:pStyle w:val="Heading3"/>
      </w:pPr>
      <w:r>
        <w:t xml:space="preserve">Recommendations</w:t>
      </w:r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“Where to</w:t>
      </w:r>
      <w:r>
        <w:t xml:space="preserve"> </w:t>
      </w:r>
      <w:r>
        <w:t xml:space="preserve">look next”</w:t>
      </w:r>
      <w:r>
        <w:t xml:space="preserve">.</w:t>
      </w:r>
      <w:r>
        <w:t xml:space="preserve"> </w:t>
      </w:r>
      <w:r>
        <w:rPr>
          <w:b/>
          <w:bCs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  <w:bCs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  <w:bCs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  <w:bCs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tcPr/>
          <w:p>
            <w:pPr>
              <w:pStyle w:val="Compact"/>
            </w:pPr>
            <w:r>
              <w:t xml:space="preserve">a stratifier falls below the salience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tcPr/>
          <w:p>
            <w:pPr>
              <w:pStyle w:val="Compac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merging, or the source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cap_binding</w:t>
            </w:r>
          </w:p>
        </w:tc>
        <w:tc>
          <w:tcPr/>
          <w:p>
            <w:pPr>
              <w:pStyle w:val="Compac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</w:t>
            </w:r>
          </w:p>
        </w:tc>
        <w:tc>
          <w:tcPr/>
          <w:p>
            <w:pPr>
              <w:pStyle w:val="Compac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tcPr/>
          <w:p>
            <w:pPr>
              <w:pStyle w:val="Compact"/>
            </w:pPr>
            <w:r>
              <w:t xml:space="preserve">splitting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falling_hazard</w:t>
            </w:r>
          </w:p>
        </w:tc>
        <w:tc>
          <w:tcPr/>
          <w:p>
            <w:pPr>
              <w:pStyle w:val="Compac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  <w:iCs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tcPr/>
          <w:p>
            <w:pPr>
              <w:pStyle w:val="Compact"/>
            </w:pPr>
            <w:r>
              <w:t xml:space="preserve">a tenure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gap_remedy</w:t>
            </w:r>
          </w:p>
        </w:tc>
        <w:tc>
          <w:tcPr/>
          <w:p>
            <w:pPr>
              <w:pStyle w:val="Compact"/>
            </w:pPr>
            <w:r>
              <w:t xml:space="preserve">an observation gap starts inside the plot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  <w:bCs/>
        </w:rPr>
        <w:t xml:space="preserve">tail_spread</w:t>
      </w:r>
      <w:r>
        <w:rPr>
          <w:b/>
          <w:bCs/>
        </w:rPr>
        <w:t xml:space="preserve"> </w:t>
      </w:r>
      <w:r>
        <w:rPr>
          <w:b/>
          <w:bCs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pooled ratio; LARGE at 1.5 times does not clear it.</w:t>
      </w:r>
    </w:p>
    <w:p>
      <w:pPr>
        <w:pStyle w:val="BodyText"/>
      </w:pPr>
      <w:r>
        <w:rPr>
          <w:rStyle w:val="VerbatimChar"/>
          <w:b/>
          <w:bCs/>
        </w:rPr>
        <w:t xml:space="preserve">falling_hazard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shape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variants</w:t>
      </w:r>
      <w:r>
        <w:rPr>
          <w:b/>
          <w:bCs/>
        </w:rPr>
        <w:t xml:space="preserve">, and one crossed variant</w:t>
      </w:r>
      <w:r>
        <w:rPr>
          <w:b/>
          <w:bCs/>
        </w:rPr>
        <w:t xml:space="preserve"> </w:t>
      </w:r>
      <w:r>
        <w:rPr>
          <w:b/>
          <w:bCs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  <w:iCs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  <w:bCs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  <w:bCs/>
        </w:rPr>
        <w:t xml:space="preserve">falling 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level’s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own</w:t>
      </w:r>
      <w:r>
        <w:rPr>
          <w:b/>
          <w:bCs/>
        </w:rPr>
        <w:t xml:space="preserve"> </w:t>
      </w:r>
      <w:r>
        <w:rPr>
          <w:b/>
          <w:bCs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  <w:bCs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  <w:bCs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  <w:bCs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  <w:bCs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“LRG and XL have the longest average</w:t>
      </w:r>
      <w:r>
        <w:t xml:space="preserve"> </w:t>
      </w:r>
      <w:r>
        <w:t xml:space="preserve">stay”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  <w:bCs/>
        </w:rPr>
        <w:t xml:space="preserve">selected_levels</w:t>
      </w:r>
      <w:r>
        <w:rPr>
          <w:b/>
          <w:bCs/>
        </w:rPr>
        <w:t xml:space="preserve"> </w:t>
      </w:r>
      <w:r>
        <w:rPr>
          <w:b/>
          <w:bCs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  <w:bCs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…”</w:t>
      </w:r>
      <w:r>
        <w:t xml:space="preserve"> </w:t>
      </w:r>
      <w:r>
        <w:t xml:space="preserve">(</w:t>
      </w:r>
      <w:r>
        <w:rPr>
          <w:b/>
          <w:bCs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  <w:bCs/>
        </w:rPr>
        <w:t xml:space="preserve">sweep</w:t>
      </w:r>
      <w:r>
        <w:t xml:space="preserve">:</w:t>
      </w:r>
      <w:r>
        <w:t xml:space="preserve"> </w:t>
      </w:r>
      <w:r>
        <w:t xml:space="preserve">“By animal group, PUPPY is</w:t>
      </w:r>
      <w:r>
        <w:t xml:space="preserve"> </w:t>
      </w:r>
      <w:r>
        <w:t xml:space="preserve">the fastest in every outcome type.”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onr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groups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  <w:bCs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  <w:bCs/>
        </w:rPr>
        <w:t xml:space="preserve">A share of residents is only meaningful when the levels partition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  <w:bCs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“share of residents by period”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pooled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bookmarkEnd w:id="39"/>
    <w:bookmarkStart w:id="40" w:name="salience"/>
    <w:p>
      <w:pPr>
        <w:pStyle w:val="Heading3"/>
      </w:pPr>
      <w:r>
        <w:t xml:space="preserve">Salience</w:t>
      </w:r>
    </w:p>
    <w:p>
      <w:pPr>
        <w:pStyle w:val="FirstParagraph"/>
      </w:pPr>
      <w:r>
        <w:rPr>
          <w:b/>
          <w:bCs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pooled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  <w:bCs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  <w:bCs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estimate, not a test: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  <w:bCs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  <w:bCs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bookmarkEnd w:id="40"/>
    <w:bookmarkStart w:id="41" w:name="the-salience-threshold"/>
    <w:p>
      <w:pPr>
        <w:pStyle w:val="Heading3"/>
      </w:pPr>
      <w:r>
        <w:t xml:space="preserve">The salience threshold</w:t>
      </w:r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pooled mean LOS</w:t>
      </w:r>
      <w:r>
        <w:br/>
      </w:r>
      <w:r>
        <w:rPr>
          <w:rStyle w:val="VerbatimChar"/>
        </w:rPr>
        <w:t xml:space="preserve">    =   1 day  +  15% of the pooled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pooled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pooled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  <w:bCs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Stratifier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observed spread</w:t>
            </w:r>
          </w:p>
        </w:tc>
        <w:tc>
          <w:tcPr/>
          <w:p>
            <w:pPr>
              <w:pStyle w:val="Compact"/>
            </w:pPr>
            <w:r>
              <w:t xml:space="preserve">noise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salient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no, by 0.1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group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11.09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  <w:bCs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  <w:bCs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  <w:bCs/>
        </w:rPr>
        <w:t xml:space="preserve">Weight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total_intakes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mean_daily_intakes</w:t>
      </w:r>
      <w:r>
        <w:rPr>
          <w:b/>
          <w:bCs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  <w:iCs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  <w:bCs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twenty-eight regenerated golden files per adjustment. Move it into R only if</w:t>
      </w:r>
      <w:r>
        <w:t xml:space="preserve"> </w:t>
      </w:r>
      <w:r>
        <w:t xml:space="preserve">it ever becomes a reported quantity.</w:t>
      </w:r>
    </w:p>
    <w:bookmarkEnd w:id="41"/>
    <w:bookmarkStart w:id="42" w:name="every-threshold-in-one-place"/>
    <w:p>
      <w:pPr>
        <w:pStyle w:val="Heading3"/>
      </w:pPr>
      <w:r>
        <w:t xml:space="preserve">Every threshold in one place</w:t>
      </w:r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tcPr/>
          <w:p>
            <w:pPr>
              <w:pStyle w:val="Compact"/>
            </w:pPr>
            <w:r>
              <w:t xml:space="preserve">15% of the pooled restricted mean</w:t>
            </w:r>
          </w:p>
        </w:tc>
        <w:tc>
          <w:tcPr/>
          <w:p>
            <w:pPr>
              <w:pStyle w:val="Compact"/>
            </w:pPr>
            <w:r>
              <w:t xml:space="preserve">the same; the two are added, and cross at 6.7 days of mean 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tcPr/>
          <w:p>
            <w:pPr>
              <w:pStyle w:val="Compact"/>
            </w:pPr>
            <w:r>
              <w:t xml:space="preserve">4 levels</w:t>
            </w:r>
          </w:p>
        </w:tc>
        <w:tc>
          <w:tcPr/>
          <w:p>
            <w:pPr>
              <w:pStyle w:val="Compact"/>
            </w:pPr>
            <w:r>
              <w:t xml:space="preserve">above this an LOS highlights table selects rather than shows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tcPr/>
          <w:p>
            <w:pPr>
              <w:pStyle w:val="Compact"/>
            </w:pPr>
            <w:r>
              <w:t xml:space="preserve">6 levels</w:t>
            </w:r>
          </w:p>
        </w:tc>
        <w:tc>
          <w:tcPr/>
          <w:p>
            <w:pPr>
              <w:pStyle w:val="Compact"/>
            </w:pPr>
            <w:r>
              <w:t xml:space="preserve">the same for a competing-risk highlights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rows a workload table keeps, largest by its counted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tcPr/>
          <w:p>
            <w:pPr>
              <w:pStyle w:val="Compact"/>
            </w:pPr>
            <w:r>
              <w:t xml:space="preserve">2 levels</w:t>
            </w:r>
          </w:p>
        </w:tc>
        <w:tc>
          <w:tcPr/>
          <w:p>
            <w:pPr>
              <w:pStyle w:val="Compact"/>
            </w:pPr>
            <w:r>
              <w:t xml:space="preserve">how many levels may share an extreme before a finding names none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the difference below which two levels tie on a mark, so no order shift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tcPr/>
          <w:p>
            <w:pPr>
              <w:pStyle w:val="Compact"/>
            </w:pPr>
            <w:r>
              <w:t xml:space="preserve">0.5%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a slide starts saying the cap shapes its tenure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tcPr/>
          <w:p>
            <w:pPr>
              <w:pStyle w:val="Compact"/>
            </w:pPr>
            <w:r>
              <w:t xml:space="preserve">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tcPr/>
          <w:p>
            <w:pPr>
              <w:pStyle w:val="Compact"/>
            </w:pPr>
            <w:r>
              <w:t xml:space="preserve">2.0x</w:t>
            </w:r>
          </w:p>
        </w:tc>
        <w:tc>
          <w:tcPr/>
          <w:p>
            <w:pPr>
              <w:pStyle w:val="Compact"/>
            </w:pPr>
            <w:r>
              <w:t xml:space="preserve">how far apart two outcome timings have to be before the gap is a finding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tcPr/>
          <w:p>
            <w:pPr>
              <w:pStyle w:val="Compact"/>
            </w:pPr>
            <w:r>
              <w:t xml:space="preserve">30 events</w:t>
            </w:r>
          </w:p>
        </w:tc>
        <w:tc>
          <w:tcPr/>
          <w:p>
            <w:pPr>
              <w:pStyle w:val="Compact"/>
            </w:pPr>
            <w:r>
              <w:t xml:space="preserve">how many of an outcome a level needs before its timing enters that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the agreement margin past which a level counts as unestimable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tcPr/>
          <w:p>
            <w:pPr>
              <w:pStyle w:val="Compact"/>
            </w:pPr>
            <w:r>
              <w:t xml:space="preserve">2.0x the pooled ratio</w:t>
            </w:r>
          </w:p>
        </w:tc>
        <w:tc>
          <w:tcPr/>
          <w:p>
            <w:pPr>
              <w:pStyle w:val="Compac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SHAPE_CEILING</w:t>
            </w:r>
          </w:p>
        </w:tc>
        <w:tc>
          <w:tcPr/>
          <w:p>
            <w:pPr>
              <w:pStyle w:val="Compact"/>
            </w:pPr>
            <w:r>
              <w:t xml:space="preserve">k = 0.85</w:t>
            </w:r>
          </w:p>
        </w:tc>
        <w:tc>
          <w:tcPr/>
          <w:p>
            <w:pPr>
              <w:pStyle w:val="Compact"/>
            </w:pPr>
            <w:r>
              <w:t xml:space="preserve">how far below 1 a level’s whole own-shape interval must 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tcPr/>
          <w:p>
            <w:pPr>
              <w:pStyle w:val="Compact"/>
            </w:pPr>
            <w:r>
              <w:t xml:space="preserve">95% of the pooled adjusted k</w:t>
            </w:r>
          </w:p>
        </w:tc>
        <w:tc>
          <w:tcPr/>
          <w:p>
            <w:pPr>
              <w:pStyle w:val="Compact"/>
            </w:pPr>
            <w:r>
              <w:t xml:space="preserve">and how far below the shelter’s own shape; the two cross at a pooled k of 0.895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t xml:space="preserve">1,000 stays</w:t>
            </w:r>
          </w:p>
        </w:tc>
        <w:tc>
          <w:tcPr/>
          <w:p>
            <w:pPr>
              <w:pStyle w:val="Compact"/>
            </w:pPr>
            <w:r>
              <w:t xml:space="preserve">how large a level must be before a rerun narrowed to it is worth suggesting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tcPr/>
          <w:p>
            <w:pPr>
              <w:pStyle w:val="Compact"/>
            </w:pPr>
            <w:r>
              <w:t xml:space="preserve">2% of stays</w:t>
            </w:r>
          </w:p>
        </w:tc>
        <w:tc>
          <w:tcPr/>
          <w:p>
            <w:pPr>
              <w:pStyle w:val="Compac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6" w:name="extending-the-package"/>
    <w:p>
      <w:pPr>
        <w:pStyle w:val="Heading2"/>
      </w:pPr>
      <w:r>
        <w:t xml:space="preserve">Extending the package</w:t>
      </w:r>
    </w:p>
    <w:p>
      <w:pPr>
        <w:pStyle w:val="FirstParagraph"/>
      </w:pPr>
      <w:r>
        <w:rPr>
          <w:i/>
          <w:iCs/>
        </w:rPr>
        <w:t xml:space="preserve">For whoever changes the code. Nothing here is needed to read a deck or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one.</w:t>
      </w:r>
    </w:p>
    <w:bookmarkStart w:id="44" w:name="where-it-sits"/>
    <w:p>
      <w:pPr>
        <w:pStyle w:val="Heading3"/>
      </w:pPr>
      <w:r>
        <w:t xml:space="preserve">Where it sits</w:t>
      </w:r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.</w:t>
      </w:r>
    </w:p>
    <w:bookmarkEnd w:id="44"/>
    <w:bookmarkStart w:id="45" w:name="reading-the-bundle"/>
    <w:p>
      <w:pPr>
        <w:pStyle w:val="Heading3"/>
      </w:pPr>
      <w:r>
        <w:t xml:space="preserve">Reading the bundle</w:t>
      </w:r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  <w:bCs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  <w:bCs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pooled row comes from the same code path as a stratified one and</w:t>
      </w:r>
      <w:r>
        <w:t xml:space="preserve"> </w:t>
      </w:r>
      <w:r>
        <w:t xml:space="preserve">cannot drift from it.</w:t>
      </w:r>
    </w:p>
    <w:bookmarkEnd w:id="45"/>
    <w:bookmarkStart w:id="48" w:name="the-regression-frames"/>
    <w:p>
      <w:pPr>
        <w:pStyle w:val="Heading3"/>
      </w:pPr>
      <w:r>
        <w:t xml:space="preserve">The regression frames</w:t>
      </w:r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pooled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  <w:bCs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bookmarkStart w:id="46" w:name="two-comparisons-kept-apart"/>
    <w:p>
      <w:pPr>
        <w:pStyle w:val="Heading4"/>
      </w:pPr>
      <w:r>
        <w:t xml:space="preserve">Two comparisons, kept apart</w:t>
      </w:r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  <w:bCs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  <w:bCs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  <w:bCs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  <w:bCs/>
        </w:rPr>
        <w:t xml:space="preserve">Both columns share one variance, and it treats the two fits as independent,</w:t>
      </w:r>
      <w:r>
        <w:rPr>
          <w:b/>
          <w:bCs/>
        </w:rPr>
        <w:t xml:space="preserve"> </w:t>
      </w:r>
      <w:r>
        <w:rPr>
          <w:b/>
          <w:bCs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bookmarkEnd w:id="46"/>
    <w:bookmarkStart w:id="47" w:name="why-this-one-file-derives"/>
    <w:p>
      <w:pPr>
        <w:pStyle w:val="Heading4"/>
      </w:pPr>
      <w:r>
        <w:t xml:space="preserve">Why this one file derives</w:t>
      </w:r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bookmarkEnd w:id="47"/>
    <w:bookmarkEnd w:id="48"/>
    <w:bookmarkStart w:id="54" w:name="display-names"/>
    <w:p>
      <w:pPr>
        <w:pStyle w:val="Heading3"/>
      </w:pPr>
      <w:r>
        <w:t xml:space="preserve">Display names</w:t>
      </w:r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“median LOS”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bookmarkStart w:id="49" w:name="conventions"/>
    <w:p>
      <w:pPr>
        <w:pStyle w:val="Heading4"/>
      </w:pPr>
      <w:r>
        <w:t xml:space="preserve">Conventions</w:t>
      </w:r>
    </w:p>
    <w:p>
      <w:pPr>
        <w:pStyle w:val="FirstParagraph"/>
      </w:pPr>
      <w:r>
        <w:rPr>
          <w:b/>
          <w:bCs/>
        </w:rPr>
        <w:t xml:space="preserve">Labels begin lowercase.</w:t>
      </w:r>
      <w:r>
        <w:t xml:space="preserve"> </w:t>
      </w:r>
      <w:r>
        <w:t xml:space="preserve">“mean daily intakes”</w:t>
      </w:r>
      <w:r>
        <w:t xml:space="preserve">, not</w:t>
      </w:r>
      <w:r>
        <w:t xml:space="preserve"> </w:t>
      </w:r>
      <w:r>
        <w:t xml:space="preserve">“Mean daily intakes”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  <w:bCs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  <w:bCs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“in care”</w:t>
      </w:r>
      <w:r>
        <w:t xml:space="preserve"> </w:t>
      </w:r>
      <w:r>
        <w:t xml:space="preserve">and</w:t>
      </w:r>
      <w:r>
        <w:t xml:space="preserve"> </w:t>
      </w:r>
      <w:r>
        <w:t xml:space="preserve">“in-care”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so far;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 both</w:t>
      </w:r>
      <w:r>
        <w:t xml:space="preserve"> </w:t>
      </w:r>
      <w:r>
        <w:t xml:space="preserve">views side by side and they diverge hard.</w:t>
      </w:r>
    </w:p>
    <w:bookmarkEnd w:id="49"/>
    <w:bookmarkStart w:id="50" w:name="entry-shape"/>
    <w:p>
      <w:pPr>
        <w:pStyle w:val="Heading4"/>
      </w:pPr>
      <w:r>
        <w:t xml:space="preserve">Entry shape</w:t>
      </w:r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“Median”</w:t>
      </w:r>
      <w:r>
        <w:t xml:space="preserve">.</w:t>
      </w:r>
    </w:p>
    <w:bookmarkEnd w:id="50"/>
    <w:bookmarkStart w:id="51" w:name="three-namespaces"/>
    <w:p>
      <w:pPr>
        <w:pStyle w:val="Heading4"/>
      </w:pPr>
      <w:r>
        <w:t xml:space="preserve">Three namespaces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measure names from stratum matrices, unified scalars, regression table columns</w:t>
            </w:r>
          </w:p>
        </w:tc>
        <w:tc>
          <w:tcPr/>
          <w:p>
            <w:pPr>
              <w:pStyle w:val="Compact"/>
            </w:pPr>
            <w:r>
              <w:t xml:space="preserve">a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tcPr/>
          <w:p>
            <w:pPr>
              <w:pStyle w:val="Compact"/>
            </w:pPr>
            <w:r>
              <w:t xml:space="preserve">a figure title, and the filename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 phrase used inside titles</w:t>
            </w:r>
          </w:p>
        </w:tc>
      </w:tr>
    </w:tbl>
    <w:bookmarkEnd w:id="51"/>
    <w:bookmarkStart w:id="52" w:name="three-structural-rules"/>
    <w:p>
      <w:pPr>
        <w:pStyle w:val="Heading4"/>
      </w:pPr>
      <w:r>
        <w:t xml:space="preserve">Three structural rules</w:t>
      </w:r>
    </w:p>
    <w:p>
      <w:pPr>
        <w:pStyle w:val="FirstParagraph"/>
      </w:pPr>
      <w:r>
        <w:rPr>
          <w:b/>
          <w:bCs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  <w:bCs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“L community live”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for it.</w:t>
      </w:r>
    </w:p>
    <w:bookmarkEnd w:id="52"/>
    <w:bookmarkStart w:id="53" w:name="the-fallback"/>
    <w:p>
      <w:pPr>
        <w:pStyle w:val="Heading4"/>
      </w:pPr>
      <w:r>
        <w:t xml:space="preserve">The fallback</w:t>
      </w:r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bookmarkEnd w:id="53"/>
    <w:bookmarkEnd w:id="54"/>
    <w:bookmarkStart w:id="56" w:name="content-blocks"/>
    <w:p>
      <w:pPr>
        <w:pStyle w:val="Heading3"/>
      </w:pPr>
      <w:r>
        <w:t xml:space="preserve">Content blocks</w:t>
      </w:r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bookmarkStart w:id="55" w:name="table"/>
    <w:p>
      <w:pPr>
        <w:pStyle w:val="Heading4"/>
      </w:pPr>
      <w:r>
        <w:rPr>
          <w:rStyle w:val="VerbatimChar"/>
        </w:rPr>
        <w:t xml:space="preserve">Table</w:t>
      </w:r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  <w:bCs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“9 H”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  <w:bCs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  <w:bCs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  <w:bCs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bookmarkEnd w:id="55"/>
    <w:bookmarkEnd w:id="56"/>
    <w:bookmarkStart w:id="57" w:name="slide-rules"/>
    <w:p>
      <w:pPr>
        <w:pStyle w:val="Heading3"/>
      </w:pPr>
      <w:r>
        <w:t xml:space="preserve">Slide rules</w:t>
      </w:r>
    </w:p>
    <w:p>
      <w:pPr>
        <w:pStyle w:val="FirstParagraph"/>
      </w:pPr>
      <w:r>
        <w:rPr>
          <w:b/>
          <w:bCs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“if intake type turns out to</w:t>
      </w:r>
      <w:r>
        <w:t xml:space="preserve"> </w:t>
      </w:r>
      <w:r>
        <w:t xml:space="preserve">matter”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one existing rule shows the fallback discipline worth keeping: both figures</w:t>
      </w:r>
      <w:r>
        <w:t xml:space="preserve"> </w:t>
      </w:r>
      <w:r>
        <w:t xml:space="preserve">are optional, since output flags can switch either off. With one missing the</w:t>
      </w:r>
      <w:r>
        <w:t xml:space="preserve"> </w:t>
      </w:r>
      <w:r>
        <w:t xml:space="preserve">survivor runs full width; with both missing the table still carries the slide.</w:t>
      </w:r>
    </w:p>
    <w:bookmarkEnd w:id="57"/>
    <w:bookmarkStart w:id="58" w:name="the-deck-plan"/>
    <w:p>
      <w:pPr>
        <w:pStyle w:val="Heading3"/>
      </w:pPr>
      <w:r>
        <w:t xml:space="preserve">The deck plan</w:t>
      </w:r>
    </w:p>
    <w:p>
      <w:pPr>
        <w:pStyle w:val="FirstParagraph"/>
      </w:pPr>
      <w:r>
        <w:rPr>
          <w:b/>
          <w:bCs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  <w:iCs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bookmarkEnd w:id="58"/>
    <w:bookmarkStart w:id="59" w:name="figures-this-package-draws"/>
    <w:p>
      <w:pPr>
        <w:pStyle w:val="Heading3"/>
      </w:pPr>
      <w:r>
        <w:t xml:space="preserve">Figures this package draws</w:t>
      </w:r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bold title inside the figure, large type, dashed</w:t>
      </w:r>
      <w:r>
        <w:t xml:space="preserve"> </w:t>
      </w:r>
      <w:r>
        <w:t xml:space="preserve">light-gray gridlines, boxed legend, and the same 3200 x 2133 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  <w:iCs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“hazard ratios (HR)”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“HR”</w:t>
      </w:r>
      <w:r>
        <w:t xml:space="preserve">, the figure having less width to spare.</w:t>
      </w:r>
    </w:p>
    <w:bookmarkEnd w:id="59"/>
    <w:bookmarkStart w:id="60" w:name="renderers"/>
    <w:p>
      <w:pPr>
        <w:pStyle w:val="Heading3"/>
      </w:pPr>
      <w:r>
        <w:t xml:space="preserve">Renderers</w:t>
      </w:r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 Figures preserve their 4:3 aspect ratio</w:t>
      </w:r>
      <w:r>
        <w:t xml:space="preserve"> </w:t>
      </w:r>
      <w:r>
        <w:t xml:space="preserve">for consistency.</w:t>
      </w:r>
    </w:p>
    <w:p>
      <w:pPr>
        <w:pStyle w:val="BodyText"/>
      </w:pPr>
      <w:r>
        <w:t xml:space="preserve">A slide names one of five</w:t>
      </w:r>
      <w:r>
        <w:t xml:space="preserve"> </w:t>
      </w:r>
      <w:r>
        <w:rPr>
          <w:b/>
          <w:bCs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  <w:bCs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  <w:bCs/>
        </w:rPr>
        <w:t xml:space="preserve">one footnote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  <w:bCs/>
        </w:rPr>
        <w:t xml:space="preserve">centered when it does not need the full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  <w:bCs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  <w:bCs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about half an inch more than the slide has and is</w:t>
      </w:r>
      <w:r>
        <w:t xml:space="preserve"> </w:t>
      </w:r>
      <w:r>
        <w:t xml:space="preserve">squeezed to fit.</w:t>
      </w:r>
    </w:p>
    <w:p>
      <w:pPr>
        <w:pStyle w:val="BodyText"/>
      </w:pPr>
      <w:r>
        <w:rPr>
          <w:b/>
          <w:bCs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  <w:iCs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about 12.5 inches: the census slide uses 12.1, the</w:t>
      </w:r>
      <w:r>
        <w:t xml:space="preserve"> </w:t>
      </w:r>
      <w:r>
        <w:t xml:space="preserve">tenure slide 11.9, the animal-days slide 11.7. The animal-days slide has no</w:t>
      </w:r>
      <w:r>
        <w:t xml:space="preserve"> </w:t>
      </w:r>
      <w:r>
        <w:t xml:space="preserve">room for a fourth, and the reason is the numbers rather than the headings,</w:t>
      </w:r>
      <w:r>
        <w:t xml:space="preserve"> </w:t>
      </w:r>
      <w:r>
        <w:t xml:space="preserve">since five and six digits with a thousands separator need about an inch a</w:t>
      </w:r>
      <w:r>
        <w:t xml:space="preserve"> </w:t>
      </w:r>
      <w:r>
        <w:t xml:space="preserve">column; a share of the days owed would ask for 13.9</w:t>
      </w:r>
      <w:r>
        <w:t xml:space="preserve"> </w:t>
      </w:r>
      <w:r>
        <w:t xml:space="preserve">inches. It goes to the workbook and the slide’s findings instead. That is the</w:t>
      </w:r>
      <w:r>
        <w:t xml:space="preserve"> </w:t>
      </w:r>
      <w:r>
        <w:t xml:space="preserve">rule whenever a 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  <w:bCs/>
        </w:rPr>
        <w:t xml:space="preserve">“No Style, No Grid”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every other data row washed</w:t>
      </w:r>
      <w:r>
        <w:rPr>
          <w:b/>
          <w:bCs/>
        </w:rPr>
        <w:t xml:space="preserve"> </w:t>
      </w:r>
      <w:r>
        <w:rPr>
          <w:b/>
          <w:bCs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  <w:bCs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the OC data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  <w:bCs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bookmarkEnd w:id="60"/>
    <w:bookmarkStart w:id="63" w:name="everything-a-build-writes"/>
    <w:p>
      <w:pPr>
        <w:pStyle w:val="Heading3"/>
      </w:pPr>
      <w:r>
        <w:t xml:space="preserve">Everything a build writes</w:t>
      </w:r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Overwritten?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mlos_deck.pptx</w:t>
            </w:r>
          </w:p>
        </w:tc>
        <w:tc>
          <w:tcPr/>
          <w:p>
            <w:pPr>
              <w:pStyle w:val="Compact"/>
            </w:pPr>
            <w:r>
              <w:t xml:space="preserve">the deck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tcPr/>
          <w:p>
            <w:pPr>
              <w:pStyle w:val="Compact"/>
            </w:pPr>
            <w:r>
              <w:t xml:space="preserve">every table the build made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tcPr/>
          <w:p>
            <w:pPr>
              <w:pStyle w:val="Compact"/>
            </w:pPr>
            <w:r>
              <w:t xml:space="preserve">every figure this package drew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tcPr/>
          <w:p>
            <w:pPr>
              <w:pStyle w:val="Compact"/>
            </w:pPr>
            <w:r>
              <w:t xml:space="preserve">what those PNGs 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bookmarkStart w:id="61" w:name="the-figure-manifest"/>
    <w:p>
      <w:pPr>
        <w:pStyle w:val="Heading4"/>
      </w:pPr>
      <w:r>
        <w:t xml:space="preserve">The figure manifest</w:t>
      </w:r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bookmarkEnd w:id="61"/>
    <w:bookmarkStart w:id="62" w:name="what-gets-a-sheet"/>
    <w:p>
      <w:pPr>
        <w:pStyle w:val="Heading4"/>
      </w:pPr>
      <w:r>
        <w:t xml:space="preserve">What gets a sheet</w:t>
      </w:r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pStyle w:val="Compact"/>
        <w:numPr>
          <w:ilvl w:val="0"/>
          <w:numId w:val="1009"/>
        </w:numPr>
      </w:pPr>
      <w:r>
        <w:t xml:space="preserve">a table that never reaches a reader, existing only as a step between frames;</w:t>
      </w:r>
    </w:p>
    <w:p>
      <w:pPr>
        <w:pStyle w:val="Compact"/>
        <w:numPr>
          <w:ilvl w:val="0"/>
          <w:numId w:val="1009"/>
        </w:numPr>
      </w:pPr>
      <w:r>
        <w:t xml:space="preserve">a table that is merely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pStyle w:val="Compact"/>
        <w:numPr>
          <w:ilvl w:val="0"/>
          <w:numId w:val="1009"/>
        </w:numPr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  <w:iCs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  <w:bCs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Each share column follows the column it divides, and its header names that</w:t>
      </w:r>
      <w:r>
        <w:t xml:space="preserve"> </w:t>
      </w:r>
      <w:r>
        <w:t xml:space="preserve">quantity:</w:t>
      </w:r>
      <w:r>
        <w:t xml:space="preserve"> </w:t>
      </w:r>
      <w:r>
        <w:rPr>
          <w:rStyle w:val="VerbatimChar"/>
        </w:rPr>
        <w:t xml:space="preserve">Intakes,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Intakes/day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Census counted,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Census, counted</w:t>
      </w:r>
      <w:r>
        <w:t xml:space="preserve">. The slides can head a share</w:t>
      </w:r>
      <w:r>
        <w:t xml:space="preserve"> </w:t>
      </w:r>
      <w:r>
        <w:rPr>
          <w:rStyle w:val="VerbatimChar"/>
        </w:rPr>
        <w:t xml:space="preserve">Pct</w:t>
      </w:r>
      <w:r>
        <w:t xml:space="preserve"> </w:t>
      </w:r>
      <w:r>
        <w:t xml:space="preserve">because the column beside</w:t>
      </w:r>
      <w:r>
        <w:t xml:space="preserve"> </w:t>
      </w:r>
      <w:r>
        <w:t xml:space="preserve">it says what of; a sheet is read a column at a time and its order is not fixed,</w:t>
      </w:r>
      <w:r>
        <w:t xml:space="preserve"> </w:t>
      </w:r>
      <w:r>
        <w:t xml:space="preserve">so a header that leans on its neighbor is one column move away from being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“Lower, Upper”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bookmarkEnd w:id="62"/>
    <w:bookmarkEnd w:id="63"/>
    <w:bookmarkStart w:id="64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rule runs against every fixture.</w:t>
      </w:r>
      <w:r>
        <w:t xml:space="preserve"> </w:t>
      </w:r>
      <w:r>
        <w:t xml:space="preserve">Twenty-eight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pooled and per stratum, and</w:t>
      </w:r>
      <w:r>
        <w:t xml:space="preserve"> </w:t>
      </w:r>
      <w:r>
        <w:t xml:space="preserve">selectively disabled outputs.</w:t>
      </w:r>
    </w:p>
    <w:bookmarkEnd w:id="64"/>
    <w:bookmarkStart w:id="65" w:name="running-the-pieces"/>
    <w:p>
      <w:pPr>
        <w:pStyle w:val="Heading3"/>
      </w:pPr>
      <w:r>
        <w:t xml:space="preserve">Running the pieces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                          </w:t>
      </w:r>
      <w:r>
        <w:rPr>
          <w:rStyle w:val="CommentTok"/>
        </w:rPr>
        <w:t xml:space="preserve">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                    </w:t>
      </w:r>
      <w:r>
        <w:rPr>
          <w:rStyle w:val="CommentTok"/>
        </w:rPr>
        <w:t xml:space="preserve">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 out.pptx    </w:t>
      </w:r>
      <w:r>
        <w:rPr>
          <w:rStyle w:val="CommentTok"/>
        </w:rPr>
        <w:t xml:space="preserve">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x.yaml   </w:t>
      </w:r>
      <w:r>
        <w:rPr>
          <w:rStyle w:val="CommentTok"/>
        </w:rPr>
        <w:t xml:space="preserve">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</w:t>
      </w:r>
      <w:r>
        <w:rPr>
          <w:rStyle w:val="CommentTok"/>
        </w:rPr>
        <w:t xml:space="preserve">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</w:t>
      </w:r>
      <w:r>
        <w:rPr>
          <w:rStyle w:val="CommentTok"/>
        </w:rPr>
        <w:t xml:space="preserve">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br/>
      </w:r>
      <w:r>
        <w:rPr>
          <w:rStyle w:val="ExtensionTok"/>
        </w:rPr>
        <w:t xml:space="preserve">pdf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. out.pptx </w:t>
      </w:r>
      <w:r>
        <w:rPr>
          <w:rStyle w:val="KeywordTok"/>
        </w:rPr>
        <w:t xml:space="preserve">```</w:t>
      </w:r>
      <w:r>
        <w:br/>
      </w:r>
      <w:r>
        <w:br/>
      </w:r>
      <w:r>
        <w:rPr>
          <w:rStyle w:val="ExtensionTok"/>
        </w:rPr>
        <w:t xml:space="preserve">Dependencies</w:t>
      </w:r>
      <w:r>
        <w:rPr>
          <w:rStyle w:val="NormalTok"/>
        </w:rPr>
        <w:t xml:space="preserve"> are declared in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at</w:t>
      </w:r>
      <w:r>
        <w:rPr>
          <w:rStyle w:val="NormalTok"/>
        </w:rPr>
        <w:t xml:space="preserve"> the repository root, which is</w:t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one place they are stated: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pandas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python-pptx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PyYAML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matplotlib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openpyxl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on Python 3.9 or newer. All five are needed by an ordinary</w:t>
      </w:r>
      <w:r>
        <w:br/>
      </w:r>
      <w:r>
        <w:rPr>
          <w:rStyle w:val="ExtensionTok"/>
        </w:rPr>
        <w:t xml:space="preserve">build:</w:t>
      </w:r>
      <w:r>
        <w:rPr>
          <w:rStyle w:val="NormalTok"/>
        </w:rPr>
        <w:t xml:space="preserve"> matplotlib draws the hazard-ratio figure and is imported the moment</w:t>
      </w:r>
      <w:r>
        <w:br/>
      </w:r>
      <w:r>
        <w:rPr>
          <w:rStyle w:val="KeywordTok"/>
        </w:rPr>
        <w:t xml:space="preserve">`</w:t>
      </w:r>
      <w:r>
        <w:rPr>
          <w:rStyle w:val="NormalTok"/>
        </w:rPr>
        <w:t xml:space="preserve">deck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is,</w:t>
      </w:r>
      <w:r>
        <w:rPr>
          <w:rStyle w:val="NormalTok"/>
        </w:rPr>
        <w:t xml:space="preserve"> and openpyxl writes the companion workbook every run produces. To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them, from the repository root: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NormalTok"/>
        </w:rPr>
        <w:t xml:space="preserve">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design-decisions-and-why"/>
    <w:p>
      <w:pPr>
        <w:pStyle w:val="Heading2"/>
      </w:pPr>
      <w:r>
        <w:t xml:space="preserve">Design decisions and why</w:t>
      </w:r>
    </w:p>
    <w:p>
      <w:pPr>
        <w:pStyle w:val="FirstParagraph"/>
      </w:pPr>
      <w:r>
        <w:rPr>
          <w:b/>
          <w:bCs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  <w:bCs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  <w:bCs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bookmarkEnd w:id="67"/>
    <w:bookmarkStart w:id="68" w:name="known-gaps"/>
    <w:p>
      <w:pPr>
        <w:pStyle w:val="Heading2"/>
      </w:pPr>
      <w:r>
        <w:t xml:space="preserve">Known gaps</w:t>
      </w:r>
    </w:p>
    <w:p>
      <w:pPr>
        <w:pStyle w:val="FirstParagraph"/>
      </w:pPr>
      <w:r>
        <w:t xml:space="preserve">Ordered roughly by how much they block the next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  <w:bCs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field_summary_table</w:t>
      </w:r>
      <w:r>
        <w:rPr>
          <w:b/>
          <w:bCs/>
        </w:rPr>
        <w:t xml:space="preserve"> </w:t>
      </w:r>
      <w:r>
        <w:rPr>
          <w:b/>
          <w:bCs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fields with six levels between them,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report and spreadsheet renderers do not exist.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5281/zenodo.221354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5281/zenodo.221354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2026-08-28T01:01:32Z</dcterms:created>
  <dcterms:modified xsi:type="dcterms:W3CDTF">2026-08-28T01:01:32Z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