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los-presentation-guide"/>
      <w:r>
        <w:t xml:space="preserve">mLOS Presentation Guide</w:t>
      </w:r>
      <w:bookmarkEnd w:id="20"/>
    </w:p>
    <w:p>
      <w:pPr>
        <w:pStyle w:val="FirstParagraph"/>
      </w:pPr>
      <w:r>
        <w:rPr>
          <w:i/>
        </w:rPr>
        <w:t xml:space="preserve">Note: This Markdown file is the documentation of record for the mLOS</w:t>
      </w:r>
      <w:r>
        <w:rPr>
          <w:i/>
        </w:rPr>
        <w:t xml:space="preserve"> </w:t>
      </w:r>
      <w:r>
        <w:rPr>
          <w:i/>
        </w:rPr>
        <w:t xml:space="preserve">presentation guide, version 20260924_001. Read it in any markdown reader,</w:t>
      </w:r>
      <w:r>
        <w:rPr>
          <w:i/>
        </w:rPr>
        <w:t xml:space="preserve"> </w:t>
      </w:r>
      <w:r>
        <w:rPr>
          <w:i/>
        </w:rPr>
        <w:t xml:space="preserve">Obsidian among them. The companion</w:t>
      </w:r>
      <w:r>
        <w:rPr>
          <w:i/>
        </w:rPr>
        <w:t xml:space="preserve"> </w:t>
      </w:r>
      <w:r>
        <w:rPr>
          <w:rStyle w:val="VerbatimChar"/>
          <w:i/>
        </w:rPr>
        <w:t xml:space="preserve">presentation_guide.docx</w:t>
      </w:r>
      <w:r>
        <w:rPr>
          <w:i/>
        </w:rPr>
        <w:t xml:space="preserve"> </w:t>
      </w:r>
      <w:r>
        <w:rPr>
          <w:i/>
        </w:rPr>
        <w:t xml:space="preserve">is tracked here,</w:t>
      </w:r>
      <w:r>
        <w:rPr>
          <w:i/>
        </w:rPr>
        <w:t xml:space="preserve"> </w:t>
      </w:r>
      <w:r>
        <w:rPr>
          <w:i/>
        </w:rPr>
        <w:t xml:space="preserve">but it is rebuilt only for a release, so it carries the version it was built</w:t>
      </w:r>
      <w:r>
        <w:rPr>
          <w:i/>
        </w:rPr>
        <w:t xml:space="preserve"> </w:t>
      </w:r>
      <w:r>
        <w:rPr>
          <w:i/>
        </w:rPr>
        <w:t xml:space="preserve">from: where the two differ, this file is the current one and the Word copy</w:t>
      </w:r>
      <w:r>
        <w:rPr>
          <w:i/>
        </w:rPr>
        <w:t xml:space="preserve"> </w:t>
      </w:r>
      <w:r>
        <w:rPr>
          <w:i/>
        </w:rPr>
        <w:t xml:space="preserve">lags it.</w:t>
      </w:r>
    </w:p>
    <w:p>
      <w:pPr>
        <w:pStyle w:val="BodyText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presentation_guide.md</w:t>
      </w:r>
      <w:r>
        <w:rPr>
          <w:i/>
        </w:rPr>
        <w:t xml:space="preserve"> </w:t>
      </w:r>
      <w:r>
        <w:rPr>
          <w:i/>
        </w:rPr>
        <w:t xml:space="preserve">at commit cc83eaf (2026-09-24). Where that is not the newest commit touching the file, this Word copy is behind it.</w:t>
      </w:r>
    </w:p>
    <w:p>
      <w:pPr>
        <w:pStyle w:val="BodyText"/>
      </w:pPr>
      <w:r>
        <w:rPr>
          <w:i/>
        </w:rPr>
        <w:t xml:space="preserve">© 2026 Michael Loizos Mavrovouniotis. This document is licensed under</w:t>
      </w:r>
      <w:r>
        <w:rPr>
          <w:i/>
        </w:rPr>
        <w:t xml:space="preserve"> </w:t>
      </w:r>
      <w:hyperlink r:id="rId21">
        <w:r>
          <w:rPr>
            <w:rStyle w:val="Hyperlink"/>
            <w:i/>
          </w:rPr>
          <w:t xml:space="preserve">CC BY 4.0</w:t>
        </w:r>
      </w:hyperlink>
      <w:r>
        <w:rPr>
          <w:i/>
        </w:rPr>
        <w:t xml:space="preserve">. It is part of the</w:t>
      </w:r>
      <w:r>
        <w:rPr>
          <w:i/>
        </w:rPr>
        <w:t xml:space="preserve"> </w:t>
      </w:r>
      <w:r>
        <w:rPr>
          <w:i/>
        </w:rPr>
        <w:t xml:space="preserve">mLOS project, whose code is released under the MIT License.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p>
      <w:pPr>
        <w:pStyle w:val="Heading2"/>
      </w:pPr>
      <w:bookmarkStart w:id="22" w:name="table-of-contents"/>
      <w:r>
        <w:t xml:space="preserve">Table of contents</w:t>
      </w:r>
      <w:bookmarkEnd w:id="22"/>
    </w:p>
    <w:p>
      <w:pPr>
        <w:numPr>
          <w:ilvl w:val="0"/>
          <w:numId w:val="1001"/>
        </w:numPr>
        <w:pStyle w:val="Compact"/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numPr>
          <w:ilvl w:val="0"/>
          <w:numId w:val="1001"/>
        </w:numPr>
        <w:pStyle w:val="Compact"/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numPr>
          <w:ilvl w:val="0"/>
          <w:numId w:val="1001"/>
        </w:numPr>
        <w:pStyle w:val="Compact"/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numPr>
          <w:ilvl w:val="1"/>
          <w:numId w:val="1002"/>
        </w:numPr>
        <w:pStyle w:val="Compact"/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numPr>
          <w:ilvl w:val="1"/>
          <w:numId w:val="1002"/>
        </w:numPr>
        <w:pStyle w:val="Compact"/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numPr>
          <w:ilvl w:val="1"/>
          <w:numId w:val="1002"/>
        </w:numPr>
        <w:pStyle w:val="Compact"/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numPr>
          <w:ilvl w:val="1"/>
          <w:numId w:val="1002"/>
        </w:numPr>
        <w:pStyle w:val="Compact"/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numPr>
          <w:ilvl w:val="1"/>
          <w:numId w:val="1002"/>
        </w:numPr>
        <w:pStyle w:val="Compact"/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numPr>
          <w:ilvl w:val="1"/>
          <w:numId w:val="1002"/>
        </w:numPr>
        <w:pStyle w:val="Compact"/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numPr>
          <w:ilvl w:val="0"/>
          <w:numId w:val="1001"/>
        </w:numPr>
        <w:pStyle w:val="Compact"/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numPr>
          <w:ilvl w:val="1"/>
          <w:numId w:val="1003"/>
        </w:numPr>
        <w:pStyle w:val="Compact"/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numPr>
          <w:ilvl w:val="1"/>
          <w:numId w:val="1003"/>
        </w:numPr>
        <w:pStyle w:val="Compact"/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numPr>
          <w:ilvl w:val="1"/>
          <w:numId w:val="1003"/>
        </w:numPr>
        <w:pStyle w:val="Compact"/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numPr>
          <w:ilvl w:val="1"/>
          <w:numId w:val="1003"/>
        </w:numPr>
        <w:pStyle w:val="Compact"/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numPr>
          <w:ilvl w:val="1"/>
          <w:numId w:val="1003"/>
        </w:numPr>
        <w:pStyle w:val="Compact"/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numPr>
          <w:ilvl w:val="1"/>
          <w:numId w:val="1003"/>
        </w:numPr>
        <w:pStyle w:val="Compact"/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numPr>
          <w:ilvl w:val="1"/>
          <w:numId w:val="1003"/>
        </w:numPr>
        <w:pStyle w:val="Compact"/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numPr>
          <w:ilvl w:val="1"/>
          <w:numId w:val="1003"/>
        </w:numPr>
        <w:pStyle w:val="Compact"/>
      </w:pPr>
      <w:hyperlink w:anchor="educational">
        <w:r>
          <w:rPr>
            <w:rStyle w:val="Hyperlink"/>
          </w:rPr>
          <w:t xml:space="preserve">Educational</w:t>
        </w:r>
      </w:hyperlink>
    </w:p>
    <w:p>
      <w:pPr>
        <w:numPr>
          <w:ilvl w:val="1"/>
          <w:numId w:val="1003"/>
        </w:numPr>
        <w:pStyle w:val="Compact"/>
      </w:pPr>
      <w:hyperlink w:anchor="variant-decks">
        <w:r>
          <w:rPr>
            <w:rStyle w:val="Hyperlink"/>
          </w:rPr>
          <w:t xml:space="preserve">Variant decks</w:t>
        </w:r>
      </w:hyperlink>
    </w:p>
    <w:p>
      <w:pPr>
        <w:numPr>
          <w:ilvl w:val="1"/>
          <w:numId w:val="1003"/>
        </w:numPr>
        <w:pStyle w:val="Compact"/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numPr>
          <w:ilvl w:val="1"/>
          <w:numId w:val="1003"/>
        </w:numPr>
        <w:pStyle w:val="Compact"/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numPr>
          <w:ilvl w:val="0"/>
          <w:numId w:val="1001"/>
        </w:numPr>
        <w:pStyle w:val="Compact"/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numPr>
          <w:ilvl w:val="1"/>
          <w:numId w:val="1004"/>
        </w:numPr>
        <w:pStyle w:val="Compact"/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numPr>
          <w:ilvl w:val="1"/>
          <w:numId w:val="1004"/>
        </w:numPr>
        <w:pStyle w:val="Compact"/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numPr>
          <w:ilvl w:val="1"/>
          <w:numId w:val="1004"/>
        </w:numPr>
        <w:pStyle w:val="Compact"/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numPr>
          <w:ilvl w:val="1"/>
          <w:numId w:val="1004"/>
        </w:numPr>
        <w:pStyle w:val="Compact"/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numPr>
          <w:ilvl w:val="1"/>
          <w:numId w:val="1004"/>
        </w:numPr>
        <w:pStyle w:val="Compact"/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numPr>
          <w:ilvl w:val="1"/>
          <w:numId w:val="1004"/>
        </w:numPr>
        <w:pStyle w:val="Compact"/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numPr>
          <w:ilvl w:val="1"/>
          <w:numId w:val="1004"/>
        </w:numPr>
        <w:pStyle w:val="Compact"/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numPr>
          <w:ilvl w:val="1"/>
          <w:numId w:val="1004"/>
        </w:numPr>
        <w:pStyle w:val="Compact"/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numPr>
          <w:ilvl w:val="1"/>
          <w:numId w:val="1004"/>
        </w:numPr>
        <w:pStyle w:val="Compact"/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numPr>
          <w:ilvl w:val="1"/>
          <w:numId w:val="1004"/>
        </w:numPr>
        <w:pStyle w:val="Compact"/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numPr>
          <w:ilvl w:val="1"/>
          <w:numId w:val="1004"/>
        </w:numPr>
        <w:pStyle w:val="Compact"/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numPr>
          <w:ilvl w:val="1"/>
          <w:numId w:val="1004"/>
        </w:numPr>
        <w:pStyle w:val="Compact"/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numPr>
          <w:ilvl w:val="1"/>
          <w:numId w:val="1004"/>
        </w:numPr>
        <w:pStyle w:val="Compact"/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numPr>
          <w:ilvl w:val="0"/>
          <w:numId w:val="1001"/>
        </w:numPr>
        <w:pStyle w:val="Compact"/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numPr>
          <w:ilvl w:val="1"/>
          <w:numId w:val="1005"/>
        </w:numPr>
        <w:pStyle w:val="Compact"/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numPr>
          <w:ilvl w:val="1"/>
          <w:numId w:val="1005"/>
        </w:numPr>
        <w:pStyle w:val="Compact"/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numPr>
          <w:ilvl w:val="1"/>
          <w:numId w:val="1005"/>
        </w:numPr>
        <w:pStyle w:val="Compact"/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numPr>
          <w:ilvl w:val="1"/>
          <w:numId w:val="1005"/>
        </w:numPr>
        <w:pStyle w:val="Compact"/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numPr>
          <w:ilvl w:val="1"/>
          <w:numId w:val="1005"/>
        </w:numPr>
        <w:pStyle w:val="Compact"/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numPr>
          <w:ilvl w:val="1"/>
          <w:numId w:val="1005"/>
        </w:numPr>
        <w:pStyle w:val="Compact"/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numPr>
          <w:ilvl w:val="1"/>
          <w:numId w:val="1005"/>
        </w:numPr>
        <w:pStyle w:val="Compact"/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numPr>
          <w:ilvl w:val="1"/>
          <w:numId w:val="1005"/>
        </w:numPr>
        <w:pStyle w:val="Compact"/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numPr>
          <w:ilvl w:val="1"/>
          <w:numId w:val="1005"/>
        </w:numPr>
        <w:pStyle w:val="Compact"/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numPr>
          <w:ilvl w:val="1"/>
          <w:numId w:val="1005"/>
        </w:numPr>
        <w:pStyle w:val="Compact"/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numPr>
          <w:ilvl w:val="1"/>
          <w:numId w:val="1005"/>
        </w:numPr>
        <w:pStyle w:val="Compact"/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numPr>
          <w:ilvl w:val="1"/>
          <w:numId w:val="1005"/>
        </w:numPr>
        <w:pStyle w:val="Compact"/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numPr>
          <w:ilvl w:val="0"/>
          <w:numId w:val="1001"/>
        </w:numPr>
        <w:pStyle w:val="Compact"/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numPr>
          <w:ilvl w:val="0"/>
          <w:numId w:val="1001"/>
        </w:numPr>
        <w:pStyle w:val="Compact"/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what-this-is"/>
      <w:r>
        <w:t xml:space="preserve">What this is</w:t>
      </w:r>
      <w:bookmarkEnd w:id="23"/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fit a model. The statistics are computed once by the analysis, cross-checked by</w:t>
      </w:r>
      <w:r>
        <w:t xml:space="preserve"> </w:t>
      </w:r>
      <w:r>
        <w:t xml:space="preserve">the test suite, and written out; the builder does only simple arithmetic on</w:t>
      </w:r>
      <w:r>
        <w:t xml:space="preserve"> </w:t>
      </w:r>
      <w:r>
        <w:t xml:space="preserve">them, as the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example deck working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Workbook of every table the slide deck build made</w:t>
            </w:r>
          </w:p>
        </w:tc>
        <w:tc>
          <w:p>
            <w:pPr>
              <w:pStyle w:val="Compact"/>
              <w:jc w:val="left"/>
            </w:pPr>
            <w:r>
              <w:t xml:space="preserve">working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 report with inset figures and tables</w:t>
            </w:r>
          </w:p>
        </w:tc>
        <w:tc>
          <w:p>
            <w:pPr>
              <w:pStyle w:val="Compact"/>
              <w:jc w:val="left"/>
            </w:pPr>
            <w:r>
              <w:t xml:space="preserve">designed, not built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Audience-tailored spreadsheets</w:t>
            </w:r>
          </w:p>
        </w:tc>
        <w:tc>
          <w:p>
            <w:pPr>
              <w:pStyle w:val="Compact"/>
              <w:jc w:val="lef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what-a-deck-is-worth"/>
      <w:r>
        <w:t xml:space="preserve">What a deck is worth</w:t>
      </w:r>
      <w:bookmarkEnd w:id="24"/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what the analysis wrote for it,</w:t>
      </w:r>
      <w:r>
        <w:t xml:space="preserve"> </w:t>
      </w:r>
      <w:r>
        <w:t xml:space="preserve">or simple arithmetic on that,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</w:rPr>
        <w:t xml:space="preserve">A finding’s absence from a deck is not evidence that it is</w:t>
      </w:r>
      <w:r>
        <w:rPr>
          <w:b/>
        </w:rPr>
        <w:t xml:space="preserve"> </w:t>
      </w:r>
      <w:r>
        <w:rPr>
          <w:b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</w:rPr>
        <w:t xml:space="preserve">raw material for a briefing</w:t>
      </w:r>
      <w:r>
        <w:t xml:space="preserve"> </w:t>
      </w:r>
      <w:r>
        <w:t xml:space="preserve">somebody writes.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pPr>
        <w:pStyle w:val="BodyText"/>
      </w:pPr>
      <w:r>
        <w:rPr>
          <w:b/>
        </w:rPr>
        <w:t xml:space="preserve">Saying how a deck landed.</w:t>
      </w:r>
      <w:r>
        <w:t xml:space="preserve"> </w:t>
      </w:r>
      <w:r>
        <w:t xml:space="preserve">The most useful report is what became of it in</w:t>
      </w:r>
      <w:r>
        <w:t xml:space="preserve"> </w:t>
      </w:r>
      <w:r>
        <w:t xml:space="preserve">use: which slides survived into the briefing actually given, which were cut,</w:t>
      </w:r>
      <w:r>
        <w:t xml:space="preserve"> </w:t>
      </w:r>
      <w:r>
        <w:t xml:space="preserve">and what had to be written by hand from the workbook or the plots. The</w:t>
      </w:r>
      <w:r>
        <w:t xml:space="preserve"> </w:t>
      </w:r>
      <w:hyperlink r:id="rId25">
        <w:r>
          <w:rPr>
            <w:rStyle w:val="Hyperlink"/>
          </w:rPr>
          <w:t xml:space="preserve">issue tracker</w:t>
        </w:r>
      </w:hyperlink>
      <w:r>
        <w:t xml:space="preserve"> </w:t>
      </w:r>
      <w:r>
        <w:t xml:space="preserve">carries a</w:t>
      </w:r>
      <w:r>
        <w:t xml:space="preserve"> </w:t>
      </w:r>
      <w:r>
        <w:t xml:space="preserve">form for that account, and</w:t>
      </w:r>
      <w:r>
        <w:t xml:space="preserve"> </w:t>
      </w:r>
      <w:hyperlink r:id="rId26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says what to attach and what a deposited run holds. The selection rules are</w:t>
      </w:r>
      <w:r>
        <w:t xml:space="preserve"> </w:t>
      </w:r>
      <w:r>
        <w:t xml:space="preserve">where this package is least settled, and reports of real use are what will</w:t>
      </w:r>
      <w:r>
        <w:t xml:space="preserve"> </w:t>
      </w:r>
      <w:r>
        <w:t xml:space="preserve">settle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roducing-a-deck"/>
      <w:r>
        <w:t xml:space="preserve">Producing a deck</w:t>
      </w:r>
      <w:bookmarkEnd w:id="27"/>
    </w:p>
    <w:p>
      <w:pPr>
        <w:pStyle w:val="FirstParagraph"/>
      </w:pPr>
      <w:r>
        <w:rPr>
          <w:i/>
        </w:rPr>
        <w:t xml:space="preserve">For whoever runs the builder. What a build writes, what the settings</w:t>
      </w:r>
      <w:r>
        <w:rPr>
          <w:i/>
        </w:rPr>
        <w:t xml:space="preserve"> </w:t>
      </w:r>
      <w:r>
        <w:rPr>
          <w:i/>
        </w:rPr>
        <w:t xml:space="preserve">change, and what to check before a deck reaches anybody.</w:t>
      </w:r>
    </w:p>
    <w:p>
      <w:pPr>
        <w:pStyle w:val="BodyText"/>
      </w:pPr>
      <w:r>
        <w:rPr>
          <w:b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p>
      <w:pPr>
        <w:pStyle w:val="Heading3"/>
      </w:pPr>
      <w:bookmarkStart w:id="28" w:name="running-it-and-what-it-writes"/>
      <w:r>
        <w:t xml:space="preserve">Running it, and what it writes</w:t>
      </w:r>
      <w:bookmarkEnd w:id="28"/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29">
        <w:r>
          <w:rPr>
            <w:rStyle w:val="Hyperlink"/>
          </w:rPr>
          <w:t xml:space="preserve">10.5281/zenodo.22652329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the following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mlos_deck_slides.json</w:t>
      </w:r>
      <w:r>
        <w:t xml:space="preserve">, what the deck holds: every slide’s position, title,</w:t>
      </w:r>
      <w:r>
        <w:t xml:space="preserve"> </w:t>
      </w:r>
      <w:r>
        <w:t xml:space="preserve">layout, and which run it belongs to;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</w:rPr>
        <w:t xml:space="preserve">A deck is never overwritten, and neither is the workbook or the slide</w:t>
      </w:r>
      <w:r>
        <w:rPr>
          <w:b/>
        </w:rPr>
        <w:t xml:space="preserve"> </w:t>
      </w:r>
      <w:r>
        <w:rPr>
          <w:b/>
        </w:rPr>
        <w:t xml:space="preserve">list.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p>
      <w:pPr>
        <w:pStyle w:val="Heading3"/>
      </w:pPr>
      <w:bookmarkStart w:id="30" w:name="settings"/>
      <w:r>
        <w:t xml:space="preserve">Settings</w:t>
      </w:r>
      <w:bookmarkEnd w:id="30"/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 So is a flag written without its dashes, which would</w:t>
      </w:r>
      <w:r>
        <w:t xml:space="preserve"> </w:t>
      </w:r>
      <w:r>
        <w:t xml:space="preserve">be taken for the output path, and an output path naming one of the run’s own</w:t>
      </w:r>
      <w:r>
        <w:t xml:space="preserve"> </w:t>
      </w:r>
      <w:r>
        <w:t xml:space="preserve">inputs, which would be renamed out of the way.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today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p>
            <w:pPr>
              <w:pStyle w:val="Compact"/>
              <w:jc w:val="left"/>
            </w:pPr>
            <w:r>
              <w:t xml:space="preserve">paths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p>
            <w:pPr>
              <w:pStyle w:val="Compact"/>
              <w:jc w:val="left"/>
            </w:pPr>
            <w:r>
              <w:t xml:space="preserve">all four, for the one decision salience currently drives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aj_coverage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figures.ratio_log_scale</w:t>
            </w:r>
          </w:p>
        </w:tc>
        <w:tc>
          <w:p>
            <w:pPr>
              <w:pStyle w:val="Compact"/>
              <w:jc w:val="left"/>
            </w:pPr>
            <w:r>
              <w:t xml:space="preserve">yes, no</w:t>
            </w:r>
          </w:p>
        </w:tc>
        <w:tc>
          <w:p>
            <w:pPr>
              <w:pStyle w:val="Compact"/>
              <w:jc w:val="left"/>
            </w:pPr>
            <w:r>
              <w:t xml:space="preserve">yes; the log x axis on the two ratio figures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figures.shrink_for_branding</w:t>
            </w:r>
          </w:p>
        </w:tc>
        <w:tc>
          <w:p>
            <w:pPr>
              <w:pStyle w:val="Compact"/>
              <w:jc w:val="left"/>
            </w:pPr>
            <w:r>
              <w:t xml:space="preserve">0 to 1</w:t>
            </w:r>
          </w:p>
        </w:tc>
        <w:tc>
          <w:p>
            <w:pPr>
              <w:pStyle w:val="Compact"/>
              <w:jc w:val="left"/>
            </w:pPr>
            <w:r>
              <w:t xml:space="preserve">yes; how much of a figure’s height may go so its slide can carry the template’s artwork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bullets.size</w:t>
            </w:r>
          </w:p>
        </w:tc>
        <w:tc>
          <w:p>
            <w:pPr>
              <w:pStyle w:val="Compact"/>
              <w:jc w:val="left"/>
            </w:pPr>
            <w:r>
              <w:t xml:space="preserve">14 to 28</w:t>
            </w:r>
          </w:p>
        </w:tc>
        <w:tc>
          <w:p>
            <w:pPr>
              <w:pStyle w:val="Compact"/>
              <w:jc w:val="left"/>
            </w:pPr>
            <w:r>
              <w:t xml:space="preserve">yes; the point size of bullets and of the standing lines above and below them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</w:t>
            </w:r>
          </w:p>
        </w:tc>
        <w:tc>
          <w:p>
            <w:pPr>
              <w:pStyle w:val="Compact"/>
              <w:jc w:val="left"/>
            </w:pPr>
            <w:r>
              <w:t xml:space="preserve">path to a one-slide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</w:p>
        </w:tc>
        <w:tc>
          <w:p>
            <w:pPr>
              <w:pStyle w:val="Compact"/>
              <w:jc w:val="left"/>
            </w:pPr>
            <w:r>
              <w:t xml:space="preserve">yes, on the slides that have room for it</w:t>
            </w:r>
          </w:p>
        </w:tc>
      </w:tr>
    </w:tbl>
    <w:p>
      <w:pPr>
        <w:pStyle w:val="BodyText"/>
      </w:pPr>
      <w:r>
        <w:t xml:space="preserve">A template is branding, not a layout: its slide carries artwork and nothing</w:t>
      </w:r>
      <w:r>
        <w:t xml:space="preserve"> </w:t>
      </w:r>
      <w:r>
        <w:t xml:space="preserve">else, and the renderer copies that artwork onto the slides it fits. The band</w:t>
      </w:r>
      <w:r>
        <w:t xml:space="preserve"> </w:t>
      </w:r>
      <w:r>
        <w:t xml:space="preserve">left free is measured from where the artwork sits, so a header, a footer strip</w:t>
      </w:r>
      <w:r>
        <w:t xml:space="preserve"> </w:t>
      </w:r>
      <w:r>
        <w:t xml:space="preserve">of logos or both are read as what they are. A slide whose content is taller</w:t>
      </w:r>
      <w:r>
        <w:t xml:space="preserve"> </w:t>
      </w:r>
      <w:r>
        <w:t xml:space="preserve">than the band at any bullet size is left plain.</w:t>
      </w:r>
    </w:p>
    <w:p>
      <w:pPr>
        <w:pStyle w:val="BodyText"/>
      </w:pPr>
      <w:r>
        <w:t xml:space="preserve">A slide carrying a figure is asked a second question, because a figure is not</w:t>
      </w:r>
      <w:r>
        <w:t xml:space="preserve"> </w:t>
      </w:r>
      <w:r>
        <w:t xml:space="preserve">text and does not wrap: it is drawn as wide as its share of the page and its</w:t>
      </w:r>
      <w:r>
        <w:t xml:space="preserve"> </w:t>
      </w:r>
      <w:r>
        <w:t xml:space="preserve">own proportions allow, whichever is less. Where the width is what stops it, the</w:t>
      </w:r>
      <w:r>
        <w:t xml:space="preserve"> </w:t>
      </w:r>
      <w:r>
        <w:t xml:space="preserve">slide is holding height the figure cannot use, and a band that takes only that</w:t>
      </w:r>
      <w:r>
        <w:t xml:space="preserve"> </w:t>
      </w:r>
      <w:r>
        <w:t xml:space="preserve">height takes nothing a reader sees. Such a slide is branded; the title and the</w:t>
      </w:r>
      <w:r>
        <w:t xml:space="preserve"> </w:t>
      </w:r>
      <w:r>
        <w:t xml:space="preserve">table beside it move down, and the figure is drawn where it would have been, at</w:t>
      </w:r>
      <w:r>
        <w:t xml:space="preserve"> </w:t>
      </w:r>
      <w:r>
        <w:t xml:space="preserve">the size it would have been. Where the band would reach into the figure, the</w:t>
      </w:r>
      <w:r>
        <w:t xml:space="preserve"> </w:t>
      </w:r>
      <w:r>
        <w:t xml:space="preserve">slide keeps the whole page instead.</w:t>
      </w:r>
    </w:p>
    <w:p>
      <w:pPr>
        <w:pStyle w:val="BodyText"/>
      </w:pPr>
      <w:r>
        <w:t xml:space="preserve">The renderer settles that by drawing the slide both ways and comparing the</w:t>
      </w:r>
      <w:r>
        <w:t xml:space="preserve"> </w:t>
      </w:r>
      <w:r>
        <w:t xml:space="preserve">figures it placed, rather than by working the answer out from the layouts’</w:t>
      </w:r>
      <w:r>
        <w:t xml:space="preserve"> </w:t>
      </w:r>
      <w:r>
        <w:t xml:space="preserve">arithmetic. Each layout sizes its figures against a different box, so a second</w:t>
      </w:r>
      <w:r>
        <w:t xml:space="preserve"> </w:t>
      </w:r>
      <w:r>
        <w:t xml:space="preserve">copy of that arithmetic would be one to keep in step. The trial slides are</w:t>
      </w:r>
      <w:r>
        <w:t xml:space="preserve"> </w:t>
      </w:r>
      <w:r>
        <w:t xml:space="preserve">taken back out and cost the file nothing.</w:t>
      </w:r>
    </w:p>
    <w:p>
      <w:pPr>
        <w:pStyle w:val="BodyText"/>
      </w:pPr>
      <w:r>
        <w:t xml:space="preserve">On the OC2 deck with</w:t>
      </w:r>
      <w:r>
        <w:t xml:space="preserve"> </w:t>
      </w:r>
      <w:r>
        <w:rPr>
          <w:rStyle w:val="VerbatimChar"/>
        </w:rPr>
        <w:t xml:space="preserve">deck_example_template.pptx</w:t>
      </w:r>
      <w:r>
        <w:t xml:space="preserve">, twenty-nine of the</w:t>
      </w:r>
      <w:r>
        <w:t xml:space="preserve"> </w:t>
      </w:r>
      <w:r>
        <w:t xml:space="preserve">forty-eight slides are branded: every table slide and every section opener,</w:t>
      </w:r>
      <w:r>
        <w:t xml:space="preserve"> </w:t>
      </w:r>
      <w:r>
        <w:t xml:space="preserve">the closing findings and the recommendations, and twelve of the thirty-one</w:t>
      </w:r>
      <w:r>
        <w:t xml:space="preserve"> </w:t>
      </w:r>
      <w:r>
        <w:t xml:space="preserve">slides that carry figures. No figure on any of them is drawn a pixel smaller</w:t>
      </w:r>
      <w:r>
        <w:t xml:space="preserve"> </w:t>
      </w:r>
      <w:r>
        <w:t xml:space="preserve">than it would be on a plain page.</w:t>
      </w:r>
    </w:p>
    <w:p>
      <w:pPr>
        <w:pStyle w:val="BodyText"/>
      </w:pPr>
      <w:r>
        <w:t xml:space="preserve">A slide that does not fit at the deck’s bullet size, 18 point unless</w:t>
      </w:r>
      <w:r>
        <w:t xml:space="preserve"> </w:t>
      </w:r>
      <w:r>
        <w:rPr>
          <w:rStyle w:val="VerbatimChar"/>
        </w:rPr>
        <w:t xml:space="preserve">bullets.size</w:t>
      </w:r>
      <w:r>
        <w:t xml:space="preserve"> </w:t>
      </w:r>
      <w:r>
        <w:t xml:space="preserve">says otherwise, is measured again two and four points smaller,</w:t>
      </w:r>
      <w:r>
        <w:t xml:space="preserve"> </w:t>
      </w:r>
      <w:r>
        <w:t xml:space="preserve">standing lines included, and takes the artwork at the largest size that fits.</w:t>
      </w:r>
      <w:r>
        <w:t xml:space="preserve"> </w:t>
      </w:r>
      <w:r>
        <w:t xml:space="preserve">The alternative is a slide that loses the branding its neighbours have over a</w:t>
      </w:r>
      <w:r>
        <w:t xml:space="preserve"> </w:t>
      </w:r>
      <w:r>
        <w:t xml:space="preserve">quarter of an inch. On OC2 one slide steps down. Larger type breaks the closing</w:t>
      </w:r>
      <w:r>
        <w:t xml:space="preserve"> </w:t>
      </w:r>
      <w:r>
        <w:t xml:space="preserve">sections onto more pages: on OC2, 22 point takes the deck from 48 slides to 53.</w:t>
      </w:r>
    </w:p>
    <w:p>
      <w:pPr>
        <w:pStyle w:val="BodyText"/>
      </w:pPr>
      <w:r>
        <w:rPr>
          <w:rStyle w:val="VerbatimChar"/>
        </w:rPr>
        <w:t xml:space="preserve">figures.shrink_for_branding</w:t>
      </w:r>
      <w:r>
        <w:t xml:space="preserve"> </w:t>
      </w:r>
      <w:r>
        <w:t xml:space="preserve">is how much of a figure’s height may go anyway,</w:t>
      </w:r>
      <w:r>
        <w:t xml:space="preserve"> </w:t>
      </w:r>
      <w:r>
        <w:t xml:space="preserve">for a deck whose figures are drawn to be recognized rather than read off. It is</w:t>
      </w:r>
      <w:r>
        <w:t xml:space="preserve"> </w:t>
      </w:r>
      <w:r>
        <w:t xml:space="preserve">granted to the deck rather than to a slide, because what a figure is for is a</w:t>
      </w:r>
      <w:r>
        <w:t xml:space="preserve"> </w:t>
      </w:r>
      <w:r>
        <w:t xml:space="preserve">property of the set of them a run produces, and a rule that claimed it slide by</w:t>
      </w:r>
      <w:r>
        <w:t xml:space="preserve"> </w:t>
      </w:r>
      <w:r>
        <w:t xml:space="preserve">slide claimed it about figures the settings file had never seen. On the OC2</w:t>
      </w:r>
      <w:r>
        <w:t xml:space="preserve"> </w:t>
      </w:r>
      <w:r>
        <w:t xml:space="preserve">deck it buys this: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figure slides branded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figures cut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0, the default</w:t>
            </w:r>
          </w:p>
        </w:tc>
        <w:tc>
          <w:p>
            <w:pPr>
              <w:pStyle w:val="Compact"/>
              <w:jc w:val="left"/>
            </w:pPr>
            <w:r>
              <w:t xml:space="preserve">29 of 48</w:t>
            </w:r>
          </w:p>
        </w:tc>
        <w:tc>
          <w:p>
            <w:pPr>
              <w:pStyle w:val="Compact"/>
              <w:jc w:val="left"/>
            </w:pPr>
            <w:r>
              <w:t xml:space="preserve">12 of 31</w:t>
            </w:r>
          </w:p>
        </w:tc>
        <w:tc>
          <w:p>
            <w:pPr>
              <w:pStyle w:val="Compact"/>
              <w:jc w:val="left"/>
            </w:pPr>
            <w:r>
              <w:t xml:space="preserve">none of 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p>
            <w:pPr>
              <w:pStyle w:val="Compact"/>
              <w:jc w:val="left"/>
            </w:pPr>
            <w:r>
              <w:t xml:space="preserve">35 of 48</w:t>
            </w:r>
          </w:p>
        </w:tc>
        <w:tc>
          <w:p>
            <w:pPr>
              <w:pStyle w:val="Compact"/>
              <w:jc w:val="left"/>
            </w:pPr>
            <w:r>
              <w:t xml:space="preserve">18 of 31</w:t>
            </w:r>
          </w:p>
        </w:tc>
        <w:tc>
          <w:p>
            <w:pPr>
              <w:pStyle w:val="Compact"/>
              <w:jc w:val="left"/>
            </w:pPr>
            <w:r>
              <w:t xml:space="preserve">6, the deepest by 5.8%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45 of 48</w:t>
            </w:r>
          </w:p>
        </w:tc>
        <w:tc>
          <w:p>
            <w:pPr>
              <w:pStyle w:val="Compact"/>
              <w:jc w:val="left"/>
            </w:pPr>
            <w:r>
              <w:t xml:space="preserve">28 of 31</w:t>
            </w:r>
          </w:p>
        </w:tc>
        <w:tc>
          <w:p>
            <w:pPr>
              <w:pStyle w:val="Compact"/>
              <w:jc w:val="left"/>
            </w:pPr>
            <w:r>
              <w:t xml:space="preserve">26, the deepest by 32%</w:t>
            </w:r>
          </w:p>
        </w:tc>
      </w:tr>
    </w:tbl>
    <w:p>
      <w:pPr>
        <w:pStyle w:val="BodyText"/>
      </w:pPr>
      <w:r>
        <w:t xml:space="preserve">Set it against what the figures are for, since a curve an audience reads</w:t>
      </w:r>
      <w:r>
        <w:t xml:space="preserve"> </w:t>
      </w:r>
      <w:r>
        <w:t xml:space="preserve">numbers off is not a diagram. Three of the thirty-one brand at no tolerance:</w:t>
      </w:r>
      <w:r>
        <w:t xml:space="preserve"> </w:t>
      </w:r>
      <w:r>
        <w:t xml:space="preserve">their content is taller than the band at every bullet size, which is the other</w:t>
      </w:r>
      <w:r>
        <w:t xml:space="preserve"> </w:t>
      </w:r>
      <w:r>
        <w:t xml:space="preserve">refusal and is not about figures at all.</w:t>
      </w:r>
    </w:p>
    <w:p>
      <w:pPr>
        <w:pStyle w:val="BodyText"/>
      </w:pPr>
      <w:r>
        <w:t xml:space="preserve">The template sets the page’s color scheme. It has to be one slide at the same</w:t>
      </w:r>
      <w:r>
        <w:t xml:space="preserve"> </w:t>
      </w:r>
      <w:r>
        <w:t xml:space="preserve">page size, 13.333 by 7.5 inches, with its artwork on that slide rather than</w:t>
      </w:r>
      <w:r>
        <w:t xml:space="preserve"> </w:t>
      </w:r>
      <w:r>
        <w:t xml:space="preserve">on a layout or the master, and leaving room for a title and a line of text.</w:t>
      </w:r>
      <w:r>
        <w:t xml:space="preserve"> </w:t>
      </w:r>
      <w:r>
        <w:t xml:space="preserve">A template that does not is refused with what to change. Type stays Calibri,</w:t>
      </w:r>
      <w:r>
        <w:t xml:space="preserve"> </w:t>
      </w:r>
      <w:r>
        <w:t xml:space="preserve">which is what the column widths and the page breaks are measured in; a wider</w:t>
      </w:r>
      <w:r>
        <w:t xml:space="preserve"> </w:t>
      </w:r>
      <w:r>
        <w:t xml:space="preserve">face wraps a table header mid-word.</w:t>
      </w:r>
    </w:p>
    <w:p>
      <w:pPr>
        <w:pStyle w:val="BodyText"/>
      </w:pPr>
      <w:r>
        <w:t xml:space="preserve">Every slide is built on a layout named</w:t>
      </w:r>
      <w:r>
        <w:t xml:space="preserve"> </w:t>
      </w:r>
      <w:r>
        <w:rPr>
          <w:rStyle w:val="VerbatimChar"/>
        </w:rPr>
        <w:t xml:space="preserve">mLOS layout</w:t>
      </w:r>
      <w:r>
        <w:t xml:space="preserve">. PowerPoint matches a</w:t>
      </w:r>
      <w:r>
        <w:t xml:space="preserve"> </w:t>
      </w:r>
      <w:r>
        <w:t xml:space="preserve">slide pasted into another deck to that deck’s layouts by name, and a template’s</w:t>
      </w:r>
      <w:r>
        <w:t xml:space="preserve"> </w:t>
      </w:r>
      <w:r>
        <w:t xml:space="preserve">emptiest layout is often named</w:t>
      </w:r>
      <w:r>
        <w:t xml:space="preserve"> </w:t>
      </w:r>
      <w:r>
        <w:t xml:space="preserve">“</w:t>
      </w:r>
      <w:r>
        <w:t xml:space="preserve">Title Slide</w:t>
      </w:r>
      <w:r>
        <w:t xml:space="preserve">”</w:t>
      </w:r>
      <w:r>
        <w:t xml:space="preserve">, which in the other deck may carry</w:t>
      </w:r>
      <w:r>
        <w:t xml:space="preserve"> </w:t>
      </w:r>
      <w:r>
        <w:t xml:space="preserve">artwork of its own.</w:t>
      </w:r>
    </w:p>
    <w:p>
      <w:pPr>
        <w:pStyle w:val="BodyText"/>
      </w:pPr>
      <w:r>
        <w:rPr>
          <w:rStyle w:val="VerbatimChar"/>
        </w:rPr>
        <w:t xml:space="preserve">data/deck_example_template.pptx</w:t>
      </w:r>
      <w:r>
        <w:t xml:space="preserve"> </w:t>
      </w:r>
      <w:r>
        <w:t xml:space="preserve">is a working one, and the shape to copy: a</w:t>
      </w:r>
      <w:r>
        <w:t xml:space="preserve"> </w:t>
      </w:r>
      <w:r>
        <w:t xml:space="preserve">bar across the top, a bar across the foot, and a line of text inside each.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--template=data/deck_example_template.pptx</w:t>
      </w:r>
    </w:p>
    <w:p>
      <w:pPr>
        <w:pStyle w:val="FirstParagraph"/>
      </w:pPr>
      <w:r>
        <w:rPr>
          <w:b/>
        </w:rPr>
        <w:t xml:space="preserve">How deep the bars are is the decision that matters.</w:t>
      </w:r>
      <w:r>
        <w:t xml:space="preserve"> </w:t>
      </w:r>
      <w:r>
        <w:t xml:space="preserve">They set the band, and</w:t>
      </w:r>
      <w:r>
        <w:t xml:space="preserve"> </w:t>
      </w:r>
      <w:r>
        <w:t xml:space="preserve">the band decides how much of a deck can carry the branding. Measured as the</w:t>
      </w:r>
      <w:r>
        <w:t xml:space="preserve"> </w:t>
      </w:r>
      <w:r>
        <w:t xml:space="preserve">room left under a slide’s title: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branded, of the OC2 deck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 them, carrying figures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plain slide</w:t>
            </w:r>
          </w:p>
        </w:tc>
        <w:tc>
          <w:p>
            <w:pPr>
              <w:pStyle w:val="Compact"/>
              <w:jc w:val="left"/>
            </w:pPr>
            <w:r>
              <w:t xml:space="preserve">5.90in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deck_example_template.pptx</w:t>
            </w:r>
            <w:r>
              <w:t xml:space="preserve">, bars of 0.8in and 0.7in</w:t>
            </w:r>
          </w:p>
        </w:tc>
        <w:tc>
          <w:p>
            <w:pPr>
              <w:pStyle w:val="Compact"/>
              <w:jc w:val="left"/>
            </w:pPr>
            <w:r>
              <w:t xml:space="preserve">4.90in</w:t>
            </w:r>
          </w:p>
        </w:tc>
        <w:tc>
          <w:p>
            <w:pPr>
              <w:pStyle w:val="Compact"/>
              <w:jc w:val="left"/>
            </w:pPr>
            <w:r>
              <w:t xml:space="preserve">29 of 48</w:t>
            </w:r>
          </w:p>
        </w:tc>
        <w:tc>
          <w:p>
            <w:pPr>
              <w:pStyle w:val="Compact"/>
              <w:jc w:val="left"/>
            </w:pPr>
            <w:r>
              <w:t xml:space="preserve">12 of 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bars of about 1.3in each</w:t>
            </w:r>
          </w:p>
        </w:tc>
        <w:tc>
          <w:p>
            <w:pPr>
              <w:pStyle w:val="Compact"/>
              <w:jc w:val="left"/>
            </w:pPr>
            <w:r>
              <w:t xml:space="preserve">4.12in</w:t>
            </w:r>
          </w:p>
        </w:tc>
        <w:tc>
          <w:p>
            <w:pPr>
              <w:pStyle w:val="Compact"/>
              <w:jc w:val="left"/>
            </w:pPr>
            <w:r>
              <w:t xml:space="preserve">26 of 52</w:t>
            </w:r>
          </w:p>
        </w:tc>
        <w:tc>
          <w:p>
            <w:pPr>
              <w:pStyle w:val="Compact"/>
              <w:jc w:val="left"/>
            </w:pPr>
            <w:r>
              <w:t xml:space="preserve">7 of 31</w:t>
            </w:r>
          </w:p>
        </w:tc>
      </w:tr>
    </w:tbl>
    <w:p>
      <w:pPr>
        <w:pStyle w:val="BodyText"/>
      </w:pPr>
      <w:r>
        <w:t xml:space="preserve">The three-table opening slide needs 4.71 inches and so brands under the first</w:t>
      </w:r>
      <w:r>
        <w:t xml:space="preserve"> </w:t>
      </w:r>
      <w:r>
        <w:t xml:space="preserve">and not the second, which is the kind of thing deepening a bar by half an inch</w:t>
      </w:r>
      <w:r>
        <w:t xml:space="preserve"> </w:t>
      </w:r>
      <w:r>
        <w:t xml:space="preserve">costs. The figure slides go with it: an inch of bar is room a figure was not</w:t>
      </w:r>
      <w:r>
        <w:t xml:space="preserve"> </w:t>
      </w:r>
      <w:r>
        <w:t xml:space="preserve">using, and two and a half inches is room it was. Slide counts differ because</w:t>
      </w:r>
      <w:r>
        <w:t xml:space="preserve"> </w:t>
      </w:r>
      <w:r>
        <w:t xml:space="preserve">the closing sections repaginate against the band.</w:t>
      </w:r>
    </w:p>
    <w:p>
      <w:pPr>
        <w:pStyle w:val="BodyText"/>
      </w:pPr>
      <w:r>
        <w:rPr>
          <w:rStyle w:val="VerbatimChar"/>
        </w:rPr>
        <w:t xml:space="preserve">--template=FILE</w:t>
      </w:r>
      <w:r>
        <w:t xml:space="preserve"> </w:t>
      </w:r>
      <w:r>
        <w:t xml:space="preserve">overrides whatever the settings file says, and is how a</w:t>
      </w:r>
      <w:r>
        <w:t xml:space="preserve"> </w:t>
      </w:r>
      <w:r>
        <w:t xml:space="preserve">template that lives outside the repository is used without writing a machine’s</w:t>
      </w:r>
      <w:r>
        <w:t xml:space="preserve"> </w:t>
      </w:r>
      <w:r>
        <w:t xml:space="preserve">own paths into a tracked file. It is the setting most worth a flag: a template</w:t>
      </w:r>
      <w:r>
        <w:t xml:space="preserve"> </w:t>
      </w:r>
      <w:r>
        <w:t xml:space="preserve">belongs to the occasion rather than to the dataset, so the same analysis goes</w:t>
      </w:r>
      <w:r>
        <w:t xml:space="preserve"> </w:t>
      </w:r>
      <w:r>
        <w:t xml:space="preserve">branded to one audience and plain to another. Give the branded build its own</w:t>
      </w:r>
      <w:r>
        <w:t xml:space="preserve"> </w:t>
      </w:r>
      <w:r>
        <w:t xml:space="preserve">output name,</w:t>
      </w:r>
      <w:r>
        <w:t xml:space="preserve"> </w:t>
      </w:r>
      <w:r>
        <w:rPr>
          <w:rStyle w:val="VerbatimChar"/>
        </w:rPr>
        <w:t xml:space="preserve">reports/mlos_deck_with_template.pptx</w:t>
      </w:r>
      <w:r>
        <w:t xml:space="preserve"> </w:t>
      </w:r>
      <w:r>
        <w:t xml:space="preserve">say, and its workbook and</w:t>
      </w:r>
      <w:r>
        <w:t xml:space="preserve"> </w:t>
      </w:r>
      <w:r>
        <w:t xml:space="preserve">figures follow that name rather than displacing the plain deck’s.</w:t>
      </w:r>
    </w:p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On a dataset with one stratifier, an unstated stratifier defaults to</w:t>
      </w:r>
      <w:r>
        <w:rPr>
          <w:b/>
        </w:rPr>
        <w:t xml:space="preserve"> </w:t>
      </w:r>
      <w:r>
        <w:rPr>
          <w:rStyle w:val="VerbatimChar"/>
          <w:b/>
        </w:rPr>
        <w:t xml:space="preserve">ALWAYS</w:t>
      </w:r>
      <w:r>
        <w:rPr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let the findings decide</w:t>
      </w:r>
      <w:r>
        <w:t xml:space="preserve">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p>
      <w:pPr>
        <w:pStyle w:val="Heading3"/>
      </w:pPr>
      <w:bookmarkStart w:id="31" w:name="checking-a-deck-before-it-is-shown"/>
      <w:r>
        <w:t xml:space="preserve">Checking a deck before it is shown</w:t>
      </w:r>
      <w:bookmarkEnd w:id="31"/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Read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Where to look next</w:t>
      </w:r>
      <w:r>
        <w:rPr>
          <w:b/>
        </w:rPr>
        <w:t xml:space="preserve">”</w:t>
      </w:r>
      <w:r>
        <w:rPr>
          <w:b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p>
      <w:pPr>
        <w:pStyle w:val="Heading3"/>
      </w:pPr>
      <w:bookmarkStart w:id="32" w:name="checking-that-the-wording-is-complete"/>
      <w:r>
        <w:t xml:space="preserve">Checking that the wording is complete</w:t>
      </w:r>
      <w:bookmarkEnd w:id="32"/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p>
      <w:pPr>
        <w:pStyle w:val="Heading3"/>
      </w:pPr>
      <w:bookmarkStart w:id="33" w:name="Xa56e11bfac74954f54e941af4d9aa717aa2b639"/>
      <w:r>
        <w:t xml:space="preserve">Worked examples, and which run they come from</w:t>
      </w:r>
      <w:bookmarkEnd w:id="33"/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on OC1 and OC2</w:t>
      </w:r>
      <w:r>
        <w:t xml:space="preserve">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</w:t>
      </w:r>
      <w:r>
        <w:t xml:space="preserve">on either run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on the Orange County data</w:t>
      </w:r>
      <w:r>
        <w:t xml:space="preserve">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--data data/OC1_data.csv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--settings</w:t>
      </w:r>
      <w:r>
        <w:rPr>
          <w:rStyle w:val="NormalTok"/>
        </w:rPr>
        <w:t xml:space="preserve"> data/OC1_settings.yaml --results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p>
      <w:pPr>
        <w:pStyle w:val="Heading3"/>
      </w:pPr>
      <w:bookmarkStart w:id="34" w:name="what-you-cannot-do-yet"/>
      <w:r>
        <w:t xml:space="preserve">What you cannot do yet</w:t>
      </w:r>
      <w:bookmarkEnd w:id="34"/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deck’s own slide sequence</w:t>
      </w:r>
      <w:r>
        <w:t xml:space="preserve"> </w:t>
      </w:r>
      <w:r>
        <w:t xml:space="preserve">is fixed in code rather than planned against a budget; a variant deck’s is</w:t>
      </w:r>
      <w:r>
        <w:t xml:space="preserve"> </w:t>
      </w:r>
      <w:r>
        <w:t xml:space="preserve">written out by hand, which is a plan stated rather than solved. There is no</w:t>
      </w:r>
      <w:r>
        <w:t xml:space="preserve"> </w:t>
      </w:r>
      <w:r>
        <w:t xml:space="preserve">text-centered 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the-deck-slide-by-slide"/>
      <w:r>
        <w:t xml:space="preserve">The deck, slide by slide</w:t>
      </w:r>
      <w:bookmarkEnd w:id="35"/>
    </w:p>
    <w:p>
      <w:pPr>
        <w:pStyle w:val="FirstParagraph"/>
      </w:pPr>
      <w:r>
        <w:rPr>
          <w:i/>
        </w:rPr>
        <w:t xml:space="preserve">For whoever receives a deck, or presents one. What each slide shows and</w:t>
      </w:r>
      <w:r>
        <w:rPr>
          <w:i/>
        </w:rPr>
        <w:t xml:space="preserve"> </w:t>
      </w:r>
      <w:r>
        <w:rPr>
          <w:i/>
        </w:rPr>
        <w:t xml:space="preserve">how to read it. Why a slide says what it says is under</w:t>
      </w:r>
      <w:r>
        <w:rPr>
          <w:i/>
        </w:rPr>
        <w:t xml:space="preserve"> </w:t>
      </w:r>
      <w:hyperlink w:anchor="what-the-deck-decides">
        <w:r>
          <w:rPr>
            <w:rStyle w:val="Hyperlink"/>
            <w:i/>
          </w:rPr>
          <w:t xml:space="preserve">What the deck</w:t>
        </w:r>
        <w:r>
          <w:rPr>
            <w:rStyle w:val="Hyperlink"/>
            <w:i/>
          </w:rPr>
          <w:t xml:space="preserve"> </w:t>
        </w:r>
        <w:r>
          <w:rPr>
            <w:rStyle w:val="Hyperlink"/>
            <w:i/>
          </w:rPr>
          <w:t xml:space="preserve">decides</w:t>
        </w:r>
      </w:hyperlink>
      <w:r>
        <w:rPr>
          <w:i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</w:rPr>
        <w:t xml:space="preserve">an average day or an average resident, not a</w:t>
      </w:r>
      <w:r>
        <w:rPr>
          <w:b/>
        </w:rPr>
        <w:t xml:space="preserve"> </w:t>
      </w:r>
      <w:r>
        <w:rPr>
          <w:b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</w:t>
      </w:r>
      <w:r>
        <w:t xml:space="preserve">today’s</w:t>
      </w:r>
      <w:r>
        <w:t xml:space="preserve">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p>
      <w:pPr>
        <w:pStyle w:val="Heading3"/>
      </w:pPr>
      <w:bookmarkStart w:id="36" w:name="the-two-opening-slides"/>
      <w:r>
        <w:t xml:space="preserve">The two opening slides</w:t>
      </w:r>
      <w:bookmarkEnd w:id="36"/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the methodology every later number relies on. A slide of</w:t>
      </w:r>
      <w:r>
        <w:t xml:space="preserve"> </w:t>
      </w:r>
      <w:r>
        <w:rPr>
          <w:b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</w:rPr>
        <w:t xml:space="preserve">Both opening slides close their notes with the</w:t>
      </w:r>
      <w:r>
        <w:rPr>
          <w:b/>
        </w:rPr>
        <w:t xml:space="preserve"> </w:t>
      </w:r>
      <w:hyperlink w:anchor="observation-gaps">
        <w:r>
          <w:rPr>
            <w:rStyle w:val="Hyperlink"/>
            <w:b/>
          </w:rPr>
          <w:t xml:space="preserve">observation-gap</w:t>
        </w:r>
        <w:r>
          <w:rPr>
            <w:rStyle w:val="Hyperlink"/>
            <w:b/>
          </w:rPr>
          <w:t xml:space="preserve"> </w:t>
        </w:r>
        <w:r>
          <w:rPr>
            <w:rStyle w:val="Hyperlink"/>
            <w:b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unified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p>
      <w:pPr>
        <w:pStyle w:val="Heading3"/>
      </w:pPr>
      <w:bookmarkStart w:id="37" w:name="length-of-stay-per-stratifier"/>
      <w:r>
        <w:t xml:space="preserve">Length of stay, per stratifier</w:t>
      </w:r>
      <w:bookmarkEnd w:id="37"/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</w:t>
      </w:r>
      <w:r>
        <w:t xml:space="preserve">this group</w:t>
      </w:r>
      <w:r>
        <w:t xml:space="preserve"> </w:t>
      </w:r>
      <w:r>
        <w:t xml:space="preserve">stays longer</w:t>
      </w:r>
      <w:r>
        <w:t xml:space="preserve">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p>
      <w:pPr>
        <w:pStyle w:val="Heading3"/>
      </w:pPr>
      <w:bookmarkStart w:id="38" w:name="what-the-residents-still-owe"/>
      <w:r>
        <w:t xml:space="preserve">What the residents still owe</w:t>
      </w:r>
      <w:bookmarkEnd w:id="38"/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p>
      <w:pPr>
        <w:pStyle w:val="Heading3"/>
      </w:pPr>
      <w:bookmarkStart w:id="39" w:name="the-three-workload-slides"/>
      <w:r>
        <w:t xml:space="preserve">The three workload slides</w:t>
      </w:r>
      <w:bookmarkEnd w:id="39"/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 not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shelter residents are committed to.</w:t>
      </w:r>
    </w:p>
    <w:p>
      <w:pPr>
        <w:pStyle w:val="BodyText"/>
      </w:pPr>
      <w:r>
        <w:rPr>
          <w:b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</w:t>
      </w:r>
      <w:r>
        <w:t xml:space="preserve">LARGE holds 93% of the days owed</w:t>
      </w:r>
      <w:r>
        <w:t xml:space="preserve">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 not coexist to share a population.</w:t>
      </w:r>
    </w:p>
    <w:p>
      <w:pPr>
        <w:pStyle w:val="BodyText"/>
      </w:pPr>
      <w:r>
        <w:rPr>
          <w:b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and one counted below was carrying less.</w:t>
      </w:r>
      <w:r>
        <w:t xml:space="preserve"> </w:t>
      </w:r>
      <w:r>
        <w:t xml:space="preserve">A change in intakes and a change in how fast stays end both open the gap, in</w:t>
      </w:r>
      <w:r>
        <w:t xml:space="preserve"> </w:t>
      </w:r>
      <w:r>
        <w:t xml:space="preserve">either direction, so the finding states the gap and names no cause. The level</w:t>
      </w:r>
      <w:r>
        <w:t xml:space="preserve"> </w:t>
      </w:r>
      <w:r>
        <w:t xml:space="preserve">named is the one whose gap is largest against its own size, and it also has to</w:t>
      </w:r>
      <w:r>
        <w:t xml:space="preserve"> </w:t>
      </w:r>
      <w:r>
        <w:t xml:space="preserve">be a gap worth something at the shelter’s scale: every gap is converted to</w:t>
      </w:r>
      <w:r>
        <w:t xml:space="preserve"> </w:t>
      </w:r>
      <w:r>
        <w:t xml:space="preserve">animal-days and measured against</w:t>
      </w:r>
      <w:r>
        <w:t xml:space="preserve"> </w:t>
      </w:r>
      <w:r>
        <w:rPr>
          <w:rStyle w:val="VerbatimChar"/>
        </w:rPr>
        <w:t xml:space="preserve">DRIFT_FLOOR</w:t>
      </w:r>
      <w:r>
        <w:t xml:space="preserve">, since a ratio alone is loudest</w:t>
      </w:r>
      <w:r>
        <w:t xml:space="preserve"> </w:t>
      </w:r>
      <w:r>
        <w:t xml:space="preserve">on the smallest level, where both figures are noisy. Where the leading level</w:t>
      </w:r>
      <w:r>
        <w:t xml:space="preserve"> </w:t>
      </w:r>
      <w:r>
        <w:t xml:space="preserve">falls under the floor the stratifier says nothing on that slide.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Both sides are capped at</w:t>
      </w:r>
      <w:r>
        <w:t xml:space="preserve"> </w:t>
      </w:r>
      <w:r>
        <w:t xml:space="preserve">the stay cap.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on average, what a resident still has to come is what it has already</w:t>
      </w:r>
      <w:r>
        <w:t xml:space="preserve"> </w:t>
      </w:r>
      <w:r>
        <w:t xml:space="preserve">served plus exactly one day, on every level, always. In a population at steady</w:t>
      </w:r>
      <w:r>
        <w:t xml:space="preserve"> </w:t>
      </w:r>
      <w:r>
        <w:t xml:space="preserve">state, time served and time still to come have the same distribution, and the</w:t>
      </w:r>
      <w:r>
        <w:t xml:space="preserve"> </w:t>
      </w:r>
      <w:r>
        <w:t xml:space="preserve">extra day is the day the animal is having. On the third slide, days owed minus</w:t>
      </w:r>
      <w:r>
        <w:t xml:space="preserve"> </w:t>
      </w:r>
      <w:r>
        <w:t xml:space="preserve">animal-days elapsed is the census, which is the same fact multiplied out.</w:t>
      </w:r>
    </w:p>
    <w:p>
      <w:pPr>
        <w:pStyle w:val="BodyText"/>
      </w:pPr>
      <w:r>
        <w:rPr>
          <w:b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</w:t>
      </w:r>
      <w:r>
        <w:t xml:space="preserve">we are nearly done</w:t>
      </w:r>
      <w:r>
        <w:t xml:space="preserve">”</w:t>
      </w:r>
      <w:r>
        <w:t xml:space="preserve">.</w:t>
      </w:r>
    </w:p>
    <w:p>
      <w:pPr>
        <w:pStyle w:val="Heading3"/>
      </w:pPr>
      <w:bookmarkStart w:id="40" w:name="hazard-ratios-then-length-of-stay-ratios"/>
      <w:r>
        <w:t xml:space="preserve">Hazard ratios, then length-of-stay ratios</w:t>
      </w:r>
      <w:bookmarkEnd w:id="40"/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The reserve section holds the robustness check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.</w:t>
      </w:r>
      <w:r>
        <w:t xml:space="preserve"> </w:t>
      </w:r>
      <w:r>
        <w:t xml:space="preserve">It is built after the closing sections, behind a page separating it from the</w:t>
      </w:r>
      <w:r>
        <w:t xml:space="preserve"> </w:t>
      </w:r>
      <w:r>
        <w:t xml:space="preserve">presentation. Nothing there is gathered into the</w:t>
      </w:r>
      <w:r>
        <w:t xml:space="preserve"> </w:t>
      </w:r>
      <w:r>
        <w:t xml:space="preserve">closing sections.</w:t>
      </w:r>
    </w:p>
    <w:p>
      <w:pPr>
        <w:pStyle w:val="Heading3"/>
      </w:pPr>
      <w:bookmarkStart w:id="41" w:name="the-competing-risks-run"/>
      <w:r>
        <w:t xml:space="preserve">The competing-risks run</w:t>
      </w:r>
      <w:bookmarkEnd w:id="41"/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two whole-sample</w:t>
      </w:r>
      <w:r>
        <w:t xml:space="preserve"> </w:t>
      </w:r>
      <w:r>
        <w:t xml:space="preserve">slides,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rPr>
          <w:b/>
        </w:rPr>
        <w:t xml:space="preserve">The second whole-sample slide turns the question on the animals in the</w:t>
      </w:r>
      <w:r>
        <w:rPr>
          <w:b/>
        </w:rPr>
        <w:t xml:space="preserve"> </w:t>
      </w:r>
      <w:r>
        <w:rPr>
          <w:b/>
        </w:rPr>
        <w:t xml:space="preserve">building.</w:t>
      </w:r>
      <w:r>
        <w:t xml:space="preserve"> </w:t>
      </w:r>
      <w:r>
        <w:t xml:space="preserve">Where the teaser is about stays from intake, this one is about</w:t>
      </w:r>
      <w:r>
        <w:t xml:space="preserve"> </w:t>
      </w:r>
      <w:r>
        <w:t xml:space="preserve">residents: how much longer an animal of a given tenure has to go, and which</w:t>
      </w:r>
      <w:r>
        <w:t xml:space="preserve"> </w:t>
      </w:r>
      <w:r>
        <w:t xml:space="preserve">way it is going to leave. Its figures are the two curves it is read off,</w:t>
      </w:r>
      <w:r>
        <w:t xml:space="preserve"> </w:t>
      </w:r>
      <w:r>
        <w:t xml:space="preserve">remaining stay and the conditional outcome mix, both against tenure. Its table</w:t>
      </w:r>
      <w:r>
        <w:t xml:space="preserve"> </w:t>
      </w:r>
      <w:r>
        <w:t xml:space="preserve">is a row per resident tenure, median, mean and P90, each with the remaining</w:t>
      </w:r>
      <w:r>
        <w:t xml:space="preserve"> </w:t>
      </w:r>
      <w:r>
        <w:t xml:space="preserve">stay and the outcome mix at that tenure. Every outcome column is conditional on</w:t>
      </w:r>
      <w:r>
        <w:t xml:space="preserve"> </w:t>
      </w:r>
      <w:r>
        <w:t xml:space="preserve">having reached the tenure, and</w:t>
      </w:r>
      <w:r>
        <w:t xml:space="preserve"> </w:t>
      </w:r>
      <w:r>
        <w:rPr>
          <w:rStyle w:val="VerbatimChar"/>
        </w:rPr>
        <w:t xml:space="preserve">at cap</w:t>
      </w:r>
      <w:r>
        <w:t xml:space="preserve"> </w:t>
      </w:r>
      <w:r>
        <w:t xml:space="preserve">closes the row with the share still in</w:t>
      </w:r>
      <w:r>
        <w:t xml:space="preserve"> </w:t>
      </w:r>
      <w:r>
        <w:t xml:space="preserve">care when the analysis window ends. The mix comes from the bundle rather than</w:t>
      </w:r>
      <w:r>
        <w:t xml:space="preserve"> </w:t>
      </w:r>
      <w:r>
        <w:t xml:space="preserve">off the figure’s grid, so a number and the line a reader would draw at that</w:t>
      </w:r>
      <w:r>
        <w:t xml:space="preserve"> </w:t>
      </w:r>
      <w:r>
        <w:t xml:space="preserve">tenure name the same day.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whose stratifier the</w:t>
      </w:r>
      <w:r>
        <w:t xml:space="preserve"> </w:t>
      </w:r>
      <w:r>
        <w:t xml:space="preserve">function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 </w:t>
      </w:r>
      <w:r>
        <w:t xml:space="preserve">picks.</w:t>
      </w:r>
      <w:r>
        <w:t xml:space="preserve"> </w:t>
      </w:r>
      <w:r>
        <w:rPr>
          <w:b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p>
      <w:pPr>
        <w:pStyle w:val="Heading3"/>
      </w:pPr>
      <w:bookmarkStart w:id="42" w:name="closing-sections"/>
      <w:r>
        <w:t xml:space="preserve">Closing sections</w:t>
      </w:r>
      <w:bookmarkEnd w:id="42"/>
    </w:p>
    <w:p>
      <w:pPr>
        <w:pStyle w:val="FirstParagraph"/>
      </w:pPr>
      <w:r>
        <w:rPr>
          <w:b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twenty-nine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Heading3"/>
      </w:pPr>
      <w:bookmarkStart w:id="43" w:name="educational"/>
      <w:r>
        <w:t xml:space="preserve">Educational</w:t>
      </w:r>
      <w:bookmarkEnd w:id="43"/>
    </w:p>
    <w:p>
      <w:pPr>
        <w:pStyle w:val="FirstParagraph"/>
      </w:pPr>
      <w:r>
        <w:rPr>
          <w:b/>
        </w:rPr>
        <w:t xml:space="preserve">One section sits behind everything else</w:t>
      </w:r>
      <w:r>
        <w:t xml:space="preserve">, including the reserve section,</w:t>
      </w:r>
      <w:r>
        <w:t xml:space="preserve"> </w:t>
      </w:r>
      <w:r>
        <w:t xml:space="preserve">and teaches a way of reading rather than reporting a result. Its divider says</w:t>
      </w:r>
      <w:r>
        <w:t xml:space="preserve"> </w:t>
      </w:r>
      <w:r>
        <w:rPr>
          <w:rStyle w:val="VerbatimChar"/>
        </w:rPr>
        <w:t xml:space="preserve">Extra: educational</w:t>
      </w:r>
      <w:r>
        <w:t xml:space="preserve">, the way the reserve divider says</w:t>
      </w:r>
      <w:r>
        <w:t xml:space="preserve"> </w:t>
      </w:r>
      <w:r>
        <w:rPr>
          <w:rStyle w:val="VerbatimChar"/>
        </w:rPr>
        <w:t xml:space="preserve">Extra:</w:t>
      </w:r>
      <w:r>
        <w:t xml:space="preserve">, because to</w:t>
      </w:r>
      <w:r>
        <w:t xml:space="preserve"> </w:t>
      </w:r>
      <w:r>
        <w:t xml:space="preserve">a presenter the two are the same kind of thing: reached when a question from</w:t>
      </w:r>
      <w:r>
        <w:t xml:space="preserve"> </w:t>
      </w:r>
      <w:r>
        <w:t xml:space="preserve">the floor asks for them, and not walked through otherwise.</w:t>
      </w:r>
    </w:p>
    <w:p>
      <w:pPr>
        <w:pStyle w:val="BodyText"/>
      </w:pPr>
      <w:r>
        <w:t xml:space="preserve">The section stays in the deck rather than moving into a variant. What is here</w:t>
      </w:r>
      <w:r>
        <w:t xml:space="preserve"> </w:t>
      </w:r>
      <w:r>
        <w:t xml:space="preserve">is what every deck should carry, and it is also the pool a variant borrows</w:t>
      </w:r>
      <w:r>
        <w:t xml:space="preserve"> </w:t>
      </w:r>
      <w:r>
        <w:t xml:space="preserve">from: an outline that wants the opening diagram inserts it by name.</w:t>
      </w:r>
    </w:p>
    <w:p>
      <w:pPr>
        <w:pStyle w:val="BodyText"/>
      </w:pPr>
      <w:r>
        <w:rPr>
          <w:b/>
        </w:rPr>
        <w:t xml:space="preserve">An educational slide carries no findings and no recommendations.</w:t>
      </w:r>
      <w:r>
        <w:t xml:space="preserve"> </w:t>
      </w:r>
      <w:r>
        <w:t xml:space="preserve">The</w:t>
      </w:r>
      <w:r>
        <w:t xml:space="preserve"> </w:t>
      </w:r>
      <w:r>
        <w:t xml:space="preserve">section drops both from every slide it builds rather than asking each rule to</w:t>
      </w:r>
      <w:r>
        <w:t xml:space="preserve"> </w:t>
      </w:r>
      <w:r>
        <w:t xml:space="preserve">remember, so a rule added later cannot leak a sentence about method into a</w:t>
      </w:r>
      <w:r>
        <w:t xml:space="preserve"> </w:t>
      </w:r>
      <w:r>
        <w:t xml:space="preserve">summary of sentences about the shelter.</w:t>
      </w:r>
    </w:p>
    <w:p>
      <w:pPr>
        <w:pStyle w:val="BodyText"/>
      </w:pPr>
      <w:r>
        <w:t xml:space="preserve">Three slides today, in this order.</w:t>
      </w:r>
    </w:p>
    <w:p>
      <w:pPr>
        <w:pStyle w:val="BodyText"/>
      </w:pPr>
      <w:r>
        <w:rPr>
          <w:b/>
        </w:rPr>
        <w:t xml:space="preserve">Looking at Length of Stay (LOS)</w:t>
      </w:r>
      <w:r>
        <w:t xml:space="preserve"> </w:t>
      </w:r>
      <w:r>
        <w:t xml:space="preserve">is an alternate opening. It asks how a</w:t>
      </w:r>
      <w:r>
        <w:t xml:space="preserve"> </w:t>
      </w:r>
      <w:r>
        <w:t xml:space="preserve">period’s length of stay is computed at all, and carries the title slide’s own</w:t>
      </w:r>
      <w:r>
        <w:t xml:space="preserve"> </w:t>
      </w:r>
      <w:r>
        <w:t xml:space="preserve">truncation diagram, because the answer is that a period sees whole stays and</w:t>
      </w:r>
      <w:r>
        <w:t xml:space="preserve"> </w:t>
      </w:r>
      <w:r>
        <w:t xml:space="preserve">also parts of stays that began before it or end after it. It gives the DOIs of</w:t>
      </w:r>
      <w:r>
        <w:t xml:space="preserve"> </w:t>
      </w:r>
      <w:r>
        <w:t xml:space="preserve">the method paper and the software, and it is left deliberately unfilled: a figure</w:t>
      </w:r>
      <w:r>
        <w:t xml:space="preserve"> </w:t>
      </w:r>
      <w:r>
        <w:t xml:space="preserve">drawn from the data can take the space later. Always built.</w:t>
      </w:r>
    </w:p>
    <w:p>
      <w:pPr>
        <w:pStyle w:val="BodyText"/>
      </w:pPr>
      <w:r>
        <w:rPr>
          <w:b/>
        </w:rPr>
        <w:t xml:space="preserve">Working with Metrics: Just numbers, no plots</w:t>
      </w:r>
      <w:r>
        <w:t xml:space="preserve"> </w:t>
      </w:r>
      <w:r>
        <w:t xml:space="preserve">carries the two whole-sample</w:t>
      </w:r>
      <w:r>
        <w:t xml:space="preserve"> </w:t>
      </w:r>
      <w:r>
        <w:t xml:space="preserve">tables and nothing drawn, on the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layout. Above them is the identity an</w:t>
      </w:r>
      <w:r>
        <w:t xml:space="preserve"> </w:t>
      </w:r>
      <w:r>
        <w:t xml:space="preserve">audience can check by hand, mean stay times daily arrivals against the census,</w:t>
      </w:r>
      <w:r>
        <w:t xml:space="preserve"> </w:t>
      </w:r>
      <w:r>
        <w:t xml:space="preserve">which is why that table carries the arrival rate and the census as well as the</w:t>
      </w:r>
      <w:r>
        <w:t xml:space="preserve"> </w:t>
      </w:r>
      <w:r>
        <w:t xml:space="preserve">stay. The second table’s title spells out its outcome codes, since no legend on</w:t>
      </w:r>
      <w:r>
        <w:t xml:space="preserve"> </w:t>
      </w:r>
      <w:r>
        <w:t xml:space="preserve">the slide does; codes too many or too long for one line go in its footnote</w:t>
      </w:r>
      <w:r>
        <w:t xml:space="preserve"> </w:t>
      </w:r>
      <w:r>
        <w:t xml:space="preserve">instead. Below them is where to go next. Built wherever both tables exist.</w:t>
      </w:r>
    </w:p>
    <w:p>
      <w:pPr>
        <w:pStyle w:val="BodyText"/>
      </w:pPr>
      <w:r>
        <w:rPr>
          <w:b/>
        </w:rPr>
        <w:t xml:space="preserve">Working with Probabilities in Time Intervals</w:t>
      </w:r>
      <w:r>
        <w:t xml:space="preserve"> </w:t>
      </w:r>
      <w:r>
        <w:t xml:space="preserve">puts the two interval stacks</w:t>
      </w:r>
      <w:r>
        <w:t xml:space="preserve"> </w:t>
      </w:r>
      <w:r>
        <w:t xml:space="preserve">side by side, and carries no table: the numbers are read on the slide before</w:t>
      </w:r>
      <w:r>
        <w:t xml:space="preserve"> </w:t>
      </w:r>
      <w:r>
        <w:t xml:space="preserve">it and the picture on this one, so neither page asks for both at once. Its</w:t>
      </w:r>
      <w:r>
        <w:t xml:space="preserve"> </w:t>
      </w:r>
      <w:r>
        <w:t xml:space="preserve">figures need</w:t>
      </w:r>
      <w:r>
        <w:t xml:space="preserve"> </w:t>
      </w:r>
      <w:r>
        <w:rPr>
          <w:rStyle w:val="VerbatimChar"/>
        </w:rPr>
        <w:t xml:space="preserve">probability_mass_width</w:t>
      </w:r>
      <w:r>
        <w:t xml:space="preserve"> </w:t>
      </w:r>
      <w:r>
        <w:t xml:space="preserve">set in the analysis settings; without it</w:t>
      </w:r>
      <w:r>
        <w:t xml:space="preserve"> </w:t>
      </w:r>
      <w:r>
        <w:t xml:space="preserve">the slide is absent and the metrics slide closes the section.</w:t>
      </w:r>
    </w:p>
    <w:p>
      <w:pPr>
        <w:pStyle w:val="BodyText"/>
      </w:pPr>
      <w:r>
        <w:t xml:space="preserve">A bullet may sit one level in, which is what the opener’s sub-lists use. Deeper</w:t>
      </w:r>
      <w:r>
        <w:t xml:space="preserve"> </w:t>
      </w:r>
      <w:r>
        <w:t xml:space="preserve">than one level is a document rather than a slide.</w:t>
      </w:r>
    </w:p>
    <w:p>
      <w:pPr>
        <w:pStyle w:val="Heading3"/>
      </w:pPr>
      <w:bookmarkStart w:id="44" w:name="variant-decks"/>
      <w:r>
        <w:t xml:space="preserve">Variant decks</w:t>
      </w:r>
      <w:bookmarkEnd w:id="44"/>
    </w:p>
    <w:p>
      <w:pPr>
        <w:pStyle w:val="FirstParagraph"/>
      </w:pPr>
      <w:r>
        <w:t xml:space="preserve">A variant is a second deck, written as an outline: plain text slides typed by</w:t>
      </w:r>
      <w:r>
        <w:t xml:space="preserve"> </w:t>
      </w:r>
      <w:r>
        <w:t xml:space="preserve">hand, plus slides the deck already builds, borrowed as they are. It is what a</w:t>
      </w:r>
      <w:r>
        <w:t xml:space="preserve"> </w:t>
      </w:r>
      <w:r>
        <w:t xml:space="preserve">room asks for that the deck does not, a teaching section or a short version,</w:t>
      </w:r>
      <w:r>
        <w:t xml:space="preserve"> </w:t>
      </w:r>
      <w:r>
        <w:t xml:space="preserve">and it is the first piece of the deck plan below in its simplest form, a plan</w:t>
      </w:r>
      <w:r>
        <w:t xml:space="preserve"> </w:t>
      </w:r>
      <w:r>
        <w:t xml:space="preserve">written out rather than solved against a budget.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mlos_review.variant data/educational.md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mlos_review.variant --list results</w:t>
      </w:r>
    </w:p>
    <w:p>
      <w:pPr>
        <w:pStyle w:val="FirstParagraph"/>
      </w:pPr>
      <w:r>
        <w:t xml:space="preserve">The first writes</w:t>
      </w:r>
      <w:r>
        <w:t xml:space="preserve"> </w:t>
      </w:r>
      <w:r>
        <w:rPr>
          <w:rStyle w:val="VerbatimChar"/>
        </w:rPr>
        <w:t xml:space="preserve">reports/educational.pptx</w:t>
      </w:r>
      <w:r>
        <w:t xml:space="preserve"> </w:t>
      </w:r>
      <w:r>
        <w:t xml:space="preserve">and its figures, named after the</w:t>
      </w:r>
      <w:r>
        <w:t xml:space="preserve"> </w:t>
      </w:r>
      <w:r>
        <w:t xml:space="preserve">outline so two variants cannot collide and neither displaces the deck. The</w:t>
      </w:r>
      <w:r>
        <w:t xml:space="preserve"> </w:t>
      </w:r>
      <w:r>
        <w:t xml:space="preserve">second prints every title an outline may borrow.</w:t>
      </w:r>
      <w:r>
        <w:t xml:space="preserve"> </w:t>
      </w:r>
      <w:r>
        <w:rPr>
          <w:rStyle w:val="VerbatimChar"/>
        </w:rPr>
        <w:t xml:space="preserve">--settings=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--template=</w:t>
      </w:r>
      <w:r>
        <w:t xml:space="preserve"> </w:t>
      </w:r>
      <w:r>
        <w:t xml:space="preserve">mean what they mean for the deck. No workbook is written:</w:t>
      </w:r>
      <w:r>
        <w:t xml:space="preserve"> </w:t>
      </w:r>
      <w:r>
        <w:rPr>
          <w:rStyle w:val="VerbatimChar"/>
        </w:rPr>
        <w:t xml:space="preserve">workbook.sheets</w:t>
      </w:r>
      <w:r>
        <w:t xml:space="preserve"> </w:t>
      </w:r>
      <w:r>
        <w:t xml:space="preserve">reads the bundle rather than the slides, so a variant’s would be the deck’s</w:t>
      </w:r>
      <w:r>
        <w:t xml:space="preserve"> </w:t>
      </w:r>
      <w:r>
        <w:t xml:space="preserve">under another name.</w:t>
      </w:r>
    </w:p>
    <w:p>
      <w:pPr>
        <w:pStyle w:val="BodyText"/>
      </w:pPr>
      <w:r>
        <w:t xml:space="preserve">Two outlines ship with the repository.</w:t>
      </w:r>
      <w:r>
        <w:t xml:space="preserve"> </w:t>
      </w:r>
      <w:r>
        <w:rPr>
          <w:rStyle w:val="VerbatimChar"/>
        </w:rPr>
        <w:t xml:space="preserve">data/educational.md</w:t>
      </w:r>
      <w:r>
        <w:t xml:space="preserve"> </w:t>
      </w:r>
      <w:r>
        <w:t xml:space="preserve">is written to be</w:t>
      </w:r>
      <w:r>
        <w:t xml:space="preserve"> </w:t>
      </w:r>
      <w:r>
        <w:t xml:space="preserve">presented: a path from what shelters already do towards what mLOS adds.</w:t>
      </w:r>
      <w:r>
        <w:t xml:space="preserve"> </w:t>
      </w:r>
      <w:r>
        <w:rPr>
          <w:rStyle w:val="VerbatimChar"/>
        </w:rPr>
        <w:t xml:space="preserve">data/extended_variant_features.md</w:t>
      </w:r>
      <w:r>
        <w:t xml:space="preserve"> </w:t>
      </w:r>
      <w:r>
        <w:t xml:space="preserve">is written to be read beside this section,</w:t>
      </w:r>
      <w:r>
        <w:t xml:space="preserve"> </w:t>
      </w:r>
      <w:r>
        <w:t xml:space="preserve">and exercises every part of the format on the slides that use it, including the</w:t>
      </w:r>
      <w:r>
        <w:t xml:space="preserve"> </w:t>
      </w:r>
      <w:r>
        <w:t xml:space="preserve">ones a presentation would not want: a stub, a borrowed run of continuation</w:t>
      </w:r>
      <w:r>
        <w:t xml:space="preserve"> </w:t>
      </w:r>
      <w:r>
        <w:t xml:space="preserve">pages, and a page long enough to break in two.</w:t>
      </w:r>
    </w:p>
    <w:p>
      <w:pPr>
        <w:pStyle w:val="BodyText"/>
      </w:pPr>
      <w:r>
        <w:t xml:space="preserve">The outline is markdown a reader can preview:</w:t>
      </w:r>
    </w:p>
    <w:p>
      <w:pPr>
        <w:pStyle w:val="SourceCode"/>
      </w:pPr>
      <w:r>
        <w:rPr>
          <w:rStyle w:val="FunctionTok"/>
        </w:rPr>
        <w:t xml:space="preserve"># Educational {divider}</w:t>
      </w:r>
      <w:r>
        <w:br/>
      </w:r>
      <w:r>
        <w:br/>
      </w:r>
      <w:r>
        <w:rPr>
          <w:rStyle w:val="NormalTok"/>
        </w:rPr>
        <w:t xml:space="preserve">Not part of the presentation.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How to read what the analysis draws</w:t>
      </w:r>
      <w:r>
        <w:br/>
      </w:r>
      <w:r>
        <w:br/>
      </w:r>
      <w:r>
        <w:rPr>
          <w:rStyle w:val="AttributeTok"/>
        </w:rPr>
        <w:t xml:space="preserve">&gt; A paragraph of speaker notes.</w:t>
      </w:r>
      <w:r>
        <w:br/>
      </w:r>
      <w:r>
        <w:br/>
      </w:r>
      <w:r>
        <w:rPr>
          <w:rStyle w:val="NormalTok"/>
        </w:rPr>
        <w:t xml:space="preserve">@insert Looking at Length of Stay (LOS)</w:t>
      </w:r>
      <w:r>
        <w:br/>
      </w:r>
      <w:r>
        <w:br/>
      </w:r>
      <w:r>
        <w:rPr>
          <w:rStyle w:val="FunctionTok"/>
        </w:rPr>
        <w:t xml:space="preserve"># What a survival curve is reading</w:t>
      </w:r>
      <w:r>
        <w:br/>
      </w:r>
      <w:r>
        <w:rPr>
          <w:rStyle w:val="FunctionTok"/>
        </w:rPr>
        <w:t xml:space="preserve">## The height is a share, not a count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Every step down is a day on which somebody left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How far it steps is what share of those still here left that day</w:t>
      </w:r>
      <w:r>
        <w:br/>
      </w:r>
      <w:r>
        <w:br/>
      </w:r>
      <w:r>
        <w:rPr>
          <w:rStyle w:val="NormalTok"/>
        </w:rPr>
        <w:t xml:space="preserve">Which is what the next slide is about.</w:t>
      </w:r>
      <w:r>
        <w:br/>
      </w:r>
      <w:r>
        <w:br/>
      </w:r>
      <w:r>
        <w:rPr>
          <w:rStyle w:val="NormalTok"/>
        </w:rPr>
        <w:t xml:space="preserve">@stub Left truncation, worked   </w:t>
      </w:r>
      <w:r>
        <w:rPr>
          <w:rStyle w:val="CommentTok"/>
        </w:rPr>
        <w:t xml:space="preserve">&lt;!-- somebody has to draw this --&gt;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One animal, admitted before the period opened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What the period knows about it, and what it does not</w:t>
      </w:r>
      <w:r>
        <w:br/>
      </w:r>
      <w:r>
        <w:br/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# Switched off while a shorter version is tried</w:t>
      </w:r>
      <w:r>
        <w:br/>
      </w:r>
      <w:r>
        <w:rPr>
          <w:rStyle w:val="CommentTok"/>
        </w:rPr>
        <w:t xml:space="preserve">- this slide and its bullets are not built</w:t>
      </w:r>
      <w:r>
        <w:br/>
      </w:r>
      <w:r>
        <w:rPr>
          <w:rStyle w:val="CommentTok"/>
        </w:rPr>
        <w:t xml:space="preserve">--&gt;</w:t>
      </w:r>
    </w:p>
    <w:p>
      <w:pPr>
        <w:pStyle w:val="FirstParagraph"/>
      </w:pPr>
      <w:r>
        <w:rPr>
          <w:rStyle w:val="VerbatimChar"/>
        </w:rPr>
        <w:t xml:space="preserve">#</w:t>
      </w:r>
      <w:r>
        <w:t xml:space="preserve"> </w:t>
      </w:r>
      <w:r>
        <w:t xml:space="preserve">opens a slide.</w:t>
      </w:r>
      <w:r>
        <w:t xml:space="preserve"> </w:t>
      </w:r>
      <w:r>
        <w:rPr>
          <w:rStyle w:val="VerbatimChar"/>
        </w:rPr>
        <w:t xml:space="preserve">{divider}</w:t>
      </w:r>
      <w:r>
        <w:t xml:space="preserve"> </w:t>
      </w:r>
      <w:r>
        <w:t xml:space="preserve">is the only property today, and an unrecognized</w:t>
      </w:r>
      <w:r>
        <w:t xml:space="preserve"> </w:t>
      </w:r>
      <w:r>
        <w:t xml:space="preserve">one is refused by name for the settings file’s reason. Bullets take two levels:</w:t>
      </w:r>
      <w:r>
        <w:t xml:space="preserve"> </w:t>
      </w:r>
      <w:r>
        <w:t xml:space="preserve">no indent, and any indent up to one tab.</w:t>
      </w:r>
    </w:p>
    <w:p>
      <w:pPr>
        <w:pStyle w:val="BodyText"/>
      </w:pPr>
      <w:r>
        <w:rPr>
          <w:b/>
        </w:rPr>
        <w:t xml:space="preserve">A paragraph is a standing line, and which side of the bullets it sits on says</w:t>
      </w:r>
      <w:r>
        <w:rPr>
          <w:b/>
        </w:rPr>
        <w:t xml:space="preserve"> </w:t>
      </w:r>
      <w:r>
        <w:rPr>
          <w:b/>
        </w:rPr>
        <w:t xml:space="preserve">which one.</w:t>
      </w:r>
      <w:r>
        <w:t xml:space="preserve"> </w:t>
      </w:r>
      <w:r>
        <w:t xml:space="preserve">Above them it is the slide’s lead, the qualification everything</w:t>
      </w:r>
      <w:r>
        <w:t xml:space="preserve"> </w:t>
      </w:r>
      <w:r>
        <w:t xml:space="preserve">below is read under, and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sets the same thing. Below them it is the line</w:t>
      </w:r>
      <w:r>
        <w:t xml:space="preserve"> </w:t>
      </w:r>
      <w:r>
        <w:t xml:space="preserve">the slide closes on: what it concludes, or what it hands to the slide after it.</w:t>
      </w:r>
      <w:r>
        <w:t xml:space="preserve"> </w:t>
      </w:r>
      <w:r>
        <w:t xml:space="preserve">Both are set at bullet size in italic, so neither reads as an item of the list,</w:t>
      </w:r>
      <w:r>
        <w:t xml:space="preserve"> </w:t>
      </w:r>
      <w:r>
        <w:t xml:space="preserve">and both are placed by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rather than by a layout, so they cost the same</w:t>
      </w:r>
      <w:r>
        <w:t xml:space="preserve"> </w:t>
      </w:r>
      <w:r>
        <w:t xml:space="preserve">on every kind of slide. The closing line sits above a footnote where a slide</w:t>
      </w:r>
      <w:r>
        <w:t xml:space="preserve"> </w:t>
      </w:r>
      <w:r>
        <w:t xml:space="preserve">has one, provenance not being a conclusion. Two paragraphs on the same side of</w:t>
      </w:r>
      <w:r>
        <w:t xml:space="preserve"> </w:t>
      </w:r>
      <w:r>
        <w:t xml:space="preserve">the bullets is refused, naming both lines: each is one string the renderer</w:t>
      </w:r>
      <w:r>
        <w:t xml:space="preserve"> </w:t>
      </w:r>
      <w:r>
        <w:t xml:space="preserve">sizes, and running two together makes a slide that overflows rather than one</w:t>
      </w:r>
      <w:r>
        <w:t xml:space="preserve"> </w:t>
      </w:r>
      <w:r>
        <w:t xml:space="preserve">that says more.</w:t>
      </w:r>
    </w:p>
    <w:p>
      <w:pPr>
        <w:pStyle w:val="BodyText"/>
      </w:pPr>
      <w:r>
        <w:rPr>
          <w:rStyle w:val="VerbatimChar"/>
        </w:rPr>
        <w:t xml:space="preserve">@insert</w:t>
      </w:r>
      <w:r>
        <w:t xml:space="preserve"> </w:t>
      </w:r>
      <w:r>
        <w:t xml:space="preserve">borrows a slide by its exact title and brings its continuation pages</w:t>
      </w:r>
      <w:r>
        <w:t xml:space="preserve"> </w:t>
      </w:r>
      <w:r>
        <w:t xml:space="preserve">with it, which is why the Findings section is named through its head and not</w:t>
      </w:r>
      <w:r>
        <w:t xml:space="preserve"> </w:t>
      </w:r>
      <w:r>
        <w:t xml:space="preserve">page by page.</w:t>
      </w:r>
    </w:p>
    <w:p>
      <w:pPr>
        <w:pStyle w:val="BodyText"/>
      </w:pPr>
      <w:r>
        <w:rPr>
          <w:b/>
        </w:rPr>
        <w:t xml:space="preserve">An outline may annotate a slide it borrows, not alter it.</w:t>
      </w:r>
      <w:r>
        <w:t xml:space="preserve"> </w:t>
      </w:r>
      <w:r>
        <w:t xml:space="preserve">Speaker notes</w:t>
      </w:r>
      <w:r>
        <w:t xml:space="preserve"> </w:t>
      </w:r>
      <w:r>
        <w:t xml:space="preserve">written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 </w:t>
      </w:r>
      <w:r>
        <w:t xml:space="preserve">go in front of the slide’s own, each marked with 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so a presenter reading from a lectern can see which paragraphs came from</w:t>
      </w:r>
      <w:r>
        <w:t xml:space="preserve"> </w:t>
      </w:r>
      <w:r>
        <w:t xml:space="preserve">the outline and which the deck wrote. On a borrowed run they head the first</w:t>
      </w:r>
      <w:r>
        <w:t xml:space="preserve"> </w:t>
      </w:r>
      <w:r>
        <w:t xml:space="preserve">page only: a remark about why the section is here is read on arrival, not</w:t>
      </w:r>
      <w:r>
        <w:t xml:space="preserve"> </w:t>
      </w:r>
      <w:r>
        <w:t xml:space="preserve">again on every continuation page. Anything else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, a bullet</w:t>
      </w:r>
      <w:r>
        <w:t xml:space="preserve"> </w:t>
      </w:r>
      <w:r>
        <w:t xml:space="preserve">or a subheading, is refused rather than lost, because it would have to displace</w:t>
      </w:r>
      <w:r>
        <w:t xml:space="preserve"> </w:t>
      </w:r>
      <w:r>
        <w:t xml:space="preserve">something the deck put on the page. That line is what keeps an outline a plan</w:t>
      </w:r>
      <w:r>
        <w:t xml:space="preserve"> </w:t>
      </w:r>
      <w:r>
        <w:t xml:space="preserve">rather than a program.</w:t>
      </w:r>
    </w:p>
    <w:p>
      <w:pPr>
        <w:pStyle w:val="BodyText"/>
      </w:pPr>
      <w:r>
        <w:rPr>
          <w:rStyle w:val="VerbatimChar"/>
        </w:rPr>
        <w:t xml:space="preserve">@stub</w:t>
      </w:r>
      <w:r>
        <w:t xml:space="preserve"> </w:t>
      </w:r>
      <w:r>
        <w:t xml:space="preserve">holds a gap open for a slide nobody has written, and takes the same</w:t>
      </w:r>
      <w:r>
        <w:t xml:space="preserve"> </w:t>
      </w:r>
      <w:r>
        <w:t xml:space="preserve">body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slide takes, which is where the note saying what the missing slide</w:t>
      </w:r>
      <w:r>
        <w:t xml:space="preserve"> </w:t>
      </w:r>
      <w:r>
        <w:t xml:space="preserve">is about belongs. Its own title is set at the divider’s size and wants to stay</w:t>
      </w:r>
      <w:r>
        <w:t xml:space="preserve"> </w:t>
      </w:r>
      <w:r>
        <w:t xml:space="preserve">short. Every stub left in a deck is warned about at build time, and so is any</w:t>
      </w:r>
      <w:r>
        <w:t xml:space="preserve"> </w:t>
      </w:r>
      <w:r>
        <w:t xml:space="preserve">title long enough to wrap: a title box grows down over the body rather than</w:t>
      </w:r>
      <w:r>
        <w:t xml:space="preserve"> </w:t>
      </w:r>
      <w:r>
        <w:t xml:space="preserve">shrinking its type, and the writer is the only one who can shorten the words.</w:t>
      </w:r>
    </w:p>
    <w:p>
      <w:pPr>
        <w:pStyle w:val="BodyText"/>
      </w:pPr>
      <w:r>
        <w:rPr>
          <w:rStyle w:val="VerbatimChar"/>
        </w:rPr>
        <w:t xml:space="preserve">@extra</w:t>
      </w:r>
      <w:r>
        <w:t xml:space="preserve"> </w:t>
      </w:r>
      <w:r>
        <w:t xml:space="preserve">names a slide built from files a separate tool writes beside the run,</w:t>
      </w:r>
      <w:r>
        <w:t xml:space="preserve"> </w:t>
      </w:r>
      <w:r>
        <w:t xml:space="preserve">so no standard deck carries one and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 </w:t>
      </w:r>
      <w:r>
        <w:t xml:space="preserve">cannot reach one. The names are</w:t>
      </w:r>
      <w:r>
        <w:t xml:space="preserve"> </w:t>
      </w:r>
      <w:r>
        <w:t xml:space="preserve">the keys of</w:t>
      </w:r>
      <w:r>
        <w:t xml:space="preserve"> </w:t>
      </w:r>
      <w:r>
        <w:rPr>
          <w:rStyle w:val="VerbatimChar"/>
        </w:rPr>
        <w:t xml:space="preserve">extras.EXTRAS</w:t>
      </w:r>
      <w:r>
        <w:t xml:space="preserve">.</w:t>
      </w:r>
      <w:r>
        <w:t xml:space="preserve"> </w:t>
      </w:r>
      <w:r>
        <w:rPr>
          <w:rStyle w:val="VerbatimChar"/>
        </w:rPr>
        <w:t xml:space="preserve">@extra HistLOS</w:t>
      </w:r>
      <w:r>
        <w:t xml:space="preserve"> </w:t>
      </w:r>
      <w:r>
        <w:t xml:space="preserve">puts the Kaplan-Meier curves by</w:t>
      </w:r>
      <w:r>
        <w:t xml:space="preserve"> </w:t>
      </w:r>
      <w:r>
        <w:t xml:space="preserve">period on the left, where the standard LOS slide has them, and HistLOS on the</w:t>
      </w:r>
      <w:r>
        <w:t xml:space="preserve"> </w:t>
      </w:r>
      <w:r>
        <w:t xml:space="preserve">right: the whole stay of every animal that exits in a period. Each sits over a</w:t>
      </w:r>
      <w:r>
        <w:t xml:space="preserve"> </w:t>
      </w:r>
      <w:r>
        <w:t xml:space="preserve">table of its median, mean, and P90. The HistLOS files come from</w:t>
      </w:r>
      <w:r>
        <w:t xml:space="preserve"> </w:t>
      </w:r>
      <w:r>
        <w:rPr>
          <w:rStyle w:val="VerbatimChar"/>
        </w:rPr>
        <w:t xml:space="preserve">tools/histlos_by_period.R</w:t>
      </w:r>
      <w:r>
        <w:t xml:space="preserve">, run into</w:t>
      </w:r>
      <w:r>
        <w:t xml:space="preserve"> </w:t>
      </w:r>
      <w:r>
        <w:rPr>
          <w:rStyle w:val="VerbatimChar"/>
        </w:rPr>
        <w:t xml:space="preserve">histlos/</w:t>
      </w:r>
      <w:r>
        <w:t xml:space="preserve"> </w:t>
      </w:r>
      <w:r>
        <w:t xml:space="preserve">beside the run’s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They record the mLOS version and the data and settings hashes,</w:t>
      </w:r>
      <w:r>
        <w:t xml:space="preserve"> </w:t>
      </w:r>
      <w:r>
        <w:t xml:space="preserve">and the slide is built only when all three match the run’s; otherwise the</w:t>
      </w:r>
      <w:r>
        <w:t xml:space="preserve"> </w:t>
      </w:r>
      <w:r>
        <w:t xml:space="preserve">build warns and leaves it out. The plot is copied into the variant’s figures</w:t>
      </w:r>
      <w:r>
        <w:t xml:space="preserve"> </w:t>
      </w:r>
      <w:r>
        <w:t xml:space="preserve">directory and listed in its manifest. Like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, an</w:t>
      </w:r>
      <w:r>
        <w:t xml:space="preserve"> </w:t>
      </w:r>
      <w:r>
        <w:rPr>
          <w:rStyle w:val="VerbatimChar"/>
        </w:rPr>
        <w:t xml:space="preserve">@extra</w:t>
      </w:r>
      <w:r>
        <w:t xml:space="preserve"> </w:t>
      </w:r>
      <w:r>
        <w:t xml:space="preserve">takes</w:t>
      </w:r>
      <w:r>
        <w:t xml:space="preserve"> </w:t>
      </w:r>
      <w:r>
        <w:t xml:space="preserve">speaker notes and nothing else.</w:t>
      </w:r>
    </w:p>
    <w:p>
      <w:pPr>
        <w:pStyle w:val="BodyText"/>
      </w:pPr>
      <w:r>
        <w:rPr>
          <w:b/>
        </w:rPr>
        <w:t xml:space="preserve">Borrowed slides are built again, not copied out of the deck file.</w:t>
      </w:r>
      <w:r>
        <w:t xml:space="preserve"> </w:t>
      </w:r>
      <w:r>
        <w:t xml:space="preserve">A slide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has its numbers formatted into strings and its geometry fixed at</w:t>
      </w:r>
      <w:r>
        <w:t xml:space="preserve"> </w:t>
      </w:r>
      <w:r>
        <w:t xml:space="preserve">the page it was laid out for, so a copied one could not be set into a</w:t>
      </w:r>
      <w:r>
        <w:t xml:space="preserve"> </w:t>
      </w:r>
      <w:r>
        <w:t xml:space="preserve">template’s band or rendered at any other size. What guards against the two</w:t>
      </w:r>
      <w:r>
        <w:t xml:space="preserve"> </w:t>
      </w:r>
      <w:r>
        <w:t xml:space="preserve">builds disagreeing is</w:t>
      </w:r>
      <w:r>
        <w:t xml:space="preserve"> </w:t>
      </w:r>
      <w:r>
        <w:rPr>
          <w:rStyle w:val="VerbatimChar"/>
        </w:rPr>
        <w:t xml:space="preserve">mlos_deck_slides.json</w:t>
      </w:r>
      <w:r>
        <w:t xml:space="preserve">: a variant compares the slides it</w:t>
      </w:r>
      <w:r>
        <w:t xml:space="preserve"> </w:t>
      </w:r>
      <w:r>
        <w:t xml:space="preserve">assembled against the ones the deck recorded and refuses if a title has</w:t>
      </w:r>
      <w:r>
        <w:t xml:space="preserve"> </w:t>
      </w:r>
      <w:r>
        <w:t xml:space="preserve">appeared or vanished, naming which. Pagination is exempt, since how many pages</w:t>
      </w:r>
      <w:r>
        <w:t xml:space="preserve"> </w:t>
      </w:r>
      <w:r>
        <w:t xml:space="preserve">a run takes is decided by height at render time and a branded variant</w:t>
      </w:r>
      <w:r>
        <w:t xml:space="preserve"> </w:t>
      </w:r>
      <w:r>
        <w:t xml:space="preserve">legitimately breaks the findings differently.</w:t>
      </w:r>
      <w:r>
        <w:t xml:space="preserve"> </w:t>
      </w:r>
      <w:r>
        <w:rPr>
          <w:rStyle w:val="VerbatimChar"/>
        </w:rPr>
        <w:t xml:space="preserve">--no-check</w:t>
      </w:r>
      <w:r>
        <w:t xml:space="preserve"> </w:t>
      </w:r>
      <w:r>
        <w:t xml:space="preserve">builds anyway.</w:t>
      </w:r>
    </w:p>
    <w:p>
      <w:pPr>
        <w:pStyle w:val="BodyText"/>
      </w:pPr>
      <w:r>
        <w:t xml:space="preserve">Slides are addressed by title, which stands in for the rule ids the registry</w:t>
      </w:r>
      <w:r>
        <w:t xml:space="preserve"> </w:t>
      </w:r>
      <w:r>
        <w:t xml:space="preserve">below will carry. Titles hold vocabulary labels, so an outline written for one</w:t>
      </w:r>
      <w:r>
        <w:t xml:space="preserve"> </w:t>
      </w:r>
      <w:r>
        <w:t xml:space="preserve">dataset can fail against another; that failure is loud, and</w:t>
      </w:r>
      <w:r>
        <w:t xml:space="preserve"> </w:t>
      </w:r>
      <w:r>
        <w:rPr>
          <w:rStyle w:val="VerbatimChar"/>
        </w:rPr>
        <w:t xml:space="preserve">--list</w:t>
      </w:r>
      <w:r>
        <w:t xml:space="preserve"> </w:t>
      </w:r>
      <w:r>
        <w:t xml:space="preserve">says what</w:t>
      </w:r>
      <w:r>
        <w:t xml:space="preserve"> </w:t>
      </w:r>
      <w:r>
        <w:t xml:space="preserve">the titles are. Every deck’s titles are unique apart from continuation runs,</w:t>
      </w:r>
      <w:r>
        <w:t xml:space="preserve"> </w:t>
      </w:r>
      <w:r>
        <w:t xml:space="preserve">which the test suite checks on every fixture.</w:t>
      </w:r>
    </w:p>
    <w:p>
      <w:pPr>
        <w:pStyle w:val="BodyText"/>
      </w:pPr>
      <w:r>
        <w:rPr>
          <w:b/>
        </w:rPr>
        <w:t xml:space="preserve">Speaker notes follow markdown’s blockquote.</w:t>
      </w:r>
      <w:r>
        <w:t xml:space="preserve"> </w:t>
      </w:r>
      <w:r>
        <w:t xml:space="preserve">Consecutive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lines run on</w:t>
      </w:r>
      <w:r>
        <w:t xml:space="preserve"> </w:t>
      </w:r>
      <w:r>
        <w:t xml:space="preserve">into one paragraph, so a sentence may be wrapped in the source and arrives</w:t>
      </w:r>
      <w:r>
        <w:t xml:space="preserve"> </w:t>
      </w:r>
      <w:r>
        <w:t xml:space="preserve">whole. A blank line,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item, or two spaces ending a line</w:t>
      </w:r>
      <w:r>
        <w:t xml:space="preserve"> </w:t>
      </w:r>
      <w:r>
        <w:t xml:space="preserve">starts the next paragraph. A notes pane draws no glyphs, so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any</w:t>
      </w:r>
      <w:r>
        <w:t xml:space="preserve"> </w:t>
      </w:r>
      <w:r>
        <w:t xml:space="preserve">indent before it are kept: they are what makes a list read as one.</w:t>
      </w:r>
    </w:p>
    <w:p>
      <w:pPr>
        <w:pStyle w:val="BodyText"/>
      </w:pPr>
      <w:r>
        <w:rPr>
          <w:b/>
        </w:rPr>
        <w:t xml:space="preserve">Two kinds of writing never reach a slide, and they are spelled differently</w:t>
      </w:r>
      <w:r>
        <w:rPr>
          <w:b/>
        </w:rPr>
        <w:t xml:space="preserve"> </w:t>
      </w:r>
      <w:r>
        <w:rPr>
          <w:b/>
        </w:rPr>
        <w:t xml:space="preserve">on purpose.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 is spoken and not shown, and becomes a speaker note.</w:t>
      </w:r>
      <w:r>
        <w:t xml:space="preserve"> </w:t>
      </w:r>
      <w:r>
        <w:t xml:space="preserve">A comment is neither spoken nor shown, and is there for whoever maintains the</w:t>
      </w:r>
      <w:r>
        <w:t xml:space="preserve"> </w:t>
      </w:r>
      <w:r>
        <w:t xml:space="preserve">outline. Tools that spell speaker notes as an HTML comment, Marp and Slidev</w:t>
      </w:r>
      <w:r>
        <w:t xml:space="preserve"> </w:t>
      </w:r>
      <w:r>
        <w:t xml:space="preserve">among them, are left with nothing to write the second kind with. The price of</w:t>
      </w:r>
      <w:r>
        <w:t xml:space="preserve"> </w:t>
      </w:r>
      <w:r>
        <w:t xml:space="preserve">keeping both is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a note here rather than the quotation a markdown</w:t>
      </w:r>
      <w:r>
        <w:t xml:space="preserve"> </w:t>
      </w:r>
      <w:r>
        <w:t xml:space="preserve">reader draws, which is at any rate the right shape for an aside, and which</w:t>
      </w:r>
      <w:r>
        <w:t xml:space="preserve"> </w:t>
      </w:r>
      <w:r>
        <w:t xml:space="preserve">keeps notes visible while an outline is being written.</w:t>
      </w:r>
    </w:p>
    <w:p>
      <w:pPr>
        <w:pStyle w:val="BodyText"/>
      </w:pPr>
      <w:r>
        <w:rPr>
          <w:rStyle w:val="VerbatimChar"/>
        </w:rPr>
        <w:t xml:space="preserve">&lt;!-- ... --&gt;</w:t>
      </w:r>
      <w:r>
        <w:t xml:space="preserve"> </w:t>
      </w:r>
      <w:r>
        <w:t xml:space="preserve">is a comment, in markdown’s own spelling, so a reader</w:t>
      </w:r>
      <w:r>
        <w:t xml:space="preserve"> </w:t>
      </w:r>
      <w:r>
        <w:t xml:space="preserve">previewing the outline sees nothing where one sits. It may end a line, take a</w:t>
      </w:r>
      <w:r>
        <w:t xml:space="preserve"> </w:t>
      </w:r>
      <w:r>
        <w:t xml:space="preserve">whole line, or run over several, which is also how a slide is switched off</w:t>
      </w:r>
      <w:r>
        <w:t xml:space="preserve"> </w:t>
      </w:r>
      <w:r>
        <w:t xml:space="preserve">while a shorter talk is tried. A comment opened and never closed is refused,</w:t>
      </w:r>
      <w:r>
        <w:t xml:space="preserve"> </w:t>
      </w:r>
      <w:r>
        <w:t xml:space="preserve">naming the line it opened on, because everything after it would be swallowed.</w:t>
      </w:r>
    </w:p>
    <w:p>
      <w:pPr>
        <w:pStyle w:val="BodyText"/>
      </w:pPr>
      <w:r>
        <w:t xml:space="preserve">Templates belong in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, which git ignores wholesale. A template is</w:t>
      </w:r>
      <w:r>
        <w:t xml:space="preserve"> </w:t>
      </w:r>
      <w:r>
        <w:t xml:space="preserve">usually somebody else’s file, carrying their branding, and committing one would</w:t>
      </w:r>
      <w:r>
        <w:t xml:space="preserve"> </w:t>
      </w:r>
      <w:r>
        <w:t xml:space="preserve">publish it. Outlines are yours and belong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so does</w:t>
      </w:r>
      <w:r>
        <w:t xml:space="preserve"> </w:t>
      </w:r>
      <w:r>
        <w:rPr>
          <w:rStyle w:val="VerbatimChar"/>
        </w:rPr>
        <w:t xml:space="preserve">deck_example_template.pptx</w:t>
      </w:r>
      <w:r>
        <w:t xml:space="preserve">, which is this repository’s own and is tracked so</w:t>
      </w:r>
      <w:r>
        <w:t xml:space="preserve"> </w:t>
      </w:r>
      <w:r>
        <w:t xml:space="preserve">that the example above is a file rather than a description.</w:t>
      </w:r>
    </w:p>
    <w:p>
      <w:pPr>
        <w:pStyle w:val="Heading3"/>
      </w:pPr>
      <w:bookmarkStart w:id="45" w:name="speaker-notes"/>
      <w:r>
        <w:t xml:space="preserve">Speaker notes</w:t>
      </w:r>
      <w:bookmarkEnd w:id="45"/>
    </w:p>
    <w:p>
      <w:pPr>
        <w:pStyle w:val="FirstParagraph"/>
      </w:pPr>
      <w:r>
        <w:rPr>
          <w:b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p>
      <w:pPr>
        <w:pStyle w:val="Heading3"/>
      </w:pPr>
      <w:bookmarkStart w:id="46" w:name="the-file-you-get"/>
      <w:r>
        <w:t xml:space="preserve">The file you get</w:t>
      </w:r>
      <w:bookmarkEnd w:id="46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what-the-deck-decides"/>
      <w:r>
        <w:t xml:space="preserve">What the deck decides</w:t>
      </w:r>
      <w:bookmarkEnd w:id="47"/>
    </w:p>
    <w:p>
      <w:pPr>
        <w:pStyle w:val="FirstParagraph"/>
      </w:pPr>
      <w:r>
        <w:rPr>
          <w:i/>
        </w:rPr>
        <w:t xml:space="preserve">For whoever has to defend a line on a slide. Which rows appear, which</w:t>
      </w:r>
      <w:r>
        <w:rPr>
          <w:i/>
        </w:rPr>
        <w:t xml:space="preserve"> </w:t>
      </w:r>
      <w:r>
        <w:rPr>
          <w:i/>
        </w:rPr>
        <w:t xml:space="preserve">numbers are marked, when the deck stays silent, and what every threshold</w:t>
      </w:r>
      <w:r>
        <w:rPr>
          <w:i/>
        </w:rPr>
        <w:t xml:space="preserve"> </w:t>
      </w:r>
      <w:r>
        <w:rPr>
          <w:i/>
        </w:rPr>
        <w:t xml:space="preserve">is set to.</w:t>
      </w:r>
    </w:p>
    <w:p>
      <w:pPr>
        <w:pStyle w:val="Heading3"/>
      </w:pPr>
      <w:bookmarkStart w:id="48" w:name="the-opening-summary"/>
      <w:r>
        <w:t xml:space="preserve">The opening summary</w:t>
      </w:r>
      <w:bookmarkEnd w:id="48"/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holds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lands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p>
            <w:pPr>
              <w:pStyle w:val="Compact"/>
              <w:jc w:val="left"/>
            </w:pPr>
            <w:r>
              <w:t xml:space="preserve">the window and its periods, with dates and day counts</w:t>
            </w:r>
          </w:p>
        </w:tc>
        <w:tc>
          <w:p>
            <w:pPr>
              <w:pStyle w:val="Compact"/>
              <w:jc w:val="left"/>
            </w:pPr>
            <w:r>
              <w:t xml:space="preserve">the title slide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sample_table</w:t>
            </w:r>
          </w:p>
        </w:tc>
        <w:tc>
          <w:p>
            <w:pPr>
              <w:pStyle w:val="Compact"/>
              <w:jc w:val="left"/>
            </w:pPr>
            <w:r>
              <w:t xml:space="preserve">stays, distinct animals, intakes, the cap, and the stays that ran past it, then the outcome tallies</w:t>
            </w:r>
          </w:p>
        </w:tc>
        <w:tc>
          <w:p>
            <w:pPr>
              <w:pStyle w:val="Compact"/>
              <w:jc w:val="left"/>
            </w:pPr>
            <w:r>
              <w:t xml:space="preserve">the summary slide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p>
            <w:pPr>
              <w:pStyle w:val="Compact"/>
              <w:jc w:val="left"/>
            </w:pPr>
            <w:r>
              <w:t xml:space="preserve">one field’s levels, with their stays</w:t>
            </w:r>
          </w:p>
        </w:tc>
        <w:tc>
          <w:p>
            <w:pPr>
              <w:pStyle w:val="Compact"/>
              <w:jc w:val="left"/>
            </w:pPr>
            <w:r>
              <w:t xml:space="preserve">the summary slide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p>
            <w:pPr>
              <w:pStyle w:val="Compact"/>
              <w:jc w:val="left"/>
            </w:pPr>
            <w:r>
              <w:t xml:space="preserve">one row per field: level count, and the levels with the fewest and most stays</w:t>
            </w:r>
          </w:p>
        </w:tc>
        <w:tc>
          <w:p>
            <w:pPr>
              <w:pStyle w:val="Compact"/>
              <w:jc w:val="left"/>
            </w:pPr>
            <w:r>
              <w:t xml:space="preserve">nowhere yet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workload_table</w:t>
            </w:r>
          </w:p>
        </w:tc>
        <w:tc>
          <w:p>
            <w:pPr>
              <w:pStyle w:val="Compact"/>
              <w:jc w:val="lef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p>
            <w:pPr>
              <w:pStyle w:val="Compact"/>
              <w:jc w:val="left"/>
            </w:pPr>
            <w:r>
              <w:t xml:space="preserve">each of the three workload slides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p>
            <w:pPr>
              <w:pStyle w:val="Compact"/>
              <w:jc w:val="left"/>
            </w:pPr>
            <w:r>
              <w:t xml:space="preserve">what the observation-gap scan found among the periods</w:t>
            </w:r>
          </w:p>
        </w:tc>
        <w:tc>
          <w:p>
            <w:pPr>
              <w:pStyle w:val="Compact"/>
              <w:jc w:val="left"/>
            </w:pPr>
            <w:r>
              <w:t xml:space="preserve">the title slide’s 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p>
            <w:pPr>
              <w:pStyle w:val="Compact"/>
              <w:jc w:val="left"/>
            </w:pPr>
            <w:r>
              <w:t xml:space="preserve">the same for the unified data and each field</w:t>
            </w:r>
          </w:p>
        </w:tc>
        <w:tc>
          <w:p>
            <w:pPr>
              <w:pStyle w:val="Compact"/>
              <w:jc w:val="lef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</w:rPr>
        <w:t xml:space="preserve">The footnote</w:t>
      </w:r>
      <w:r>
        <w:rPr>
          <w:b/>
        </w:rPr>
        <w:t xml:space="preserve"> </w:t>
      </w:r>
      <w:r>
        <w:rPr>
          <w:b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</w:rPr>
        <w:t xml:space="preserve">The window drops its unified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p>
      <w:pPr>
        <w:pStyle w:val="Heading3"/>
      </w:pPr>
      <w:bookmarkStart w:id="49" w:name="observation-gaps"/>
      <w:r>
        <w:t xml:space="preserve">Observation gaps</w:t>
      </w:r>
      <w:bookmarkEnd w:id="49"/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unified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</w:t>
      </w:r>
      <w:r>
        <w:t xml:space="preserve">there are none</w:t>
      </w:r>
      <w:r>
        <w:t xml:space="preserve">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unified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p>
      <w:pPr>
        <w:pStyle w:val="Heading3"/>
      </w:pPr>
      <w:bookmarkStart w:id="50" w:name="the-measures-a-slide-leads-with"/>
      <w:r>
        <w:t xml:space="preserve">The measures a slide leads with</w:t>
      </w:r>
      <w:bookmarkEnd w:id="50"/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</w:t>
      </w:r>
      <w:r>
        <w:t xml:space="preserve">Remaining, resident mean</w:t>
      </w:r>
      <w:r>
        <w:t xml:space="preserve">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</w:t>
      </w:r>
      <w:r>
        <w:t xml:space="preserve">highest of one</w:t>
      </w:r>
      <w:r>
        <w:t xml:space="preserve">”</w:t>
      </w:r>
      <w:r>
        <w:t xml:space="preserve"> </w:t>
      </w:r>
      <w:r>
        <w:t xml:space="preserve">would be noise.</w:t>
      </w:r>
    </w:p>
    <w:p>
      <w:pPr>
        <w:pStyle w:val="Heading3"/>
      </w:pPr>
      <w:bookmarkStart w:id="51" w:name="high-low-and-flat"/>
      <w:r>
        <w:t xml:space="preserve">High, low, and flat</w:t>
      </w:r>
      <w:bookmarkEnd w:id="51"/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</w:t>
      </w:r>
      <w:r>
        <w:t xml:space="preserve">H</w:t>
      </w:r>
      <w:r>
        <w:t xml:space="preserve">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</w:t>
      </w:r>
      <w:r>
        <w:t xml:space="preserve">highest of the four I happened to pick</w:t>
      </w:r>
      <w:r>
        <w:t xml:space="preserve">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</w:rPr>
        <w:t xml:space="preserve">F</w:t>
      </w:r>
      <w:r>
        <w:rPr>
          <w:b/>
        </w:rPr>
        <w:t xml:space="preserve"> </w:t>
      </w:r>
      <w:r>
        <w:rPr>
          <w:b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p>
      <w:pPr>
        <w:pStyle w:val="Heading3"/>
      </w:pPr>
      <w:bookmarkStart w:id="52" w:name="which-levels-a-table-shows"/>
      <w:r>
        <w:t xml:space="preserve">Which levels a table shows</w:t>
      </w:r>
      <w:bookmarkEnd w:id="52"/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</w:t>
      </w:r>
      <w:r>
        <w:t xml:space="preserve">n of m levels shown</w:t>
      </w:r>
      <w:r>
        <w:t xml:space="preserve">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</w:t>
      </w:r>
      <w:r>
        <w:t xml:space="preserve">most intakes per day</w:t>
      </w:r>
      <w:r>
        <w:t xml:space="preserve">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p>
      <w:pPr>
        <w:pStyle w:val="Heading3"/>
      </w:pPr>
      <w:bookmarkStart w:id="53" w:name="the-competing-risk-tables"/>
      <w:r>
        <w:t xml:space="preserve">The competing-risk tables</w:t>
      </w:r>
      <w:bookmarkEnd w:id="53"/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</w:rPr>
        <w:t xml:space="preserve">conditional on the</w:t>
      </w:r>
      <w:r>
        <w:rPr>
          <w:b/>
        </w:rPr>
        <w:t xml:space="preserve"> </w:t>
      </w:r>
      <w:r>
        <w:rPr>
          <w:b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any outcome</w:t>
      </w:r>
      <w:r>
        <w:t xml:space="preserve">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</w:rPr>
        <w:t xml:space="preserve">companion Excel</w:t>
      </w:r>
      <w:r>
        <w:rPr>
          <w:b/>
        </w:rPr>
        <w:t xml:space="preserve"> </w:t>
      </w:r>
      <w:r>
        <w:rPr>
          <w:b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p>
      <w:pPr>
        <w:pStyle w:val="Heading3"/>
      </w:pPr>
      <w:bookmarkStart w:id="54" w:name="caveats-the-data-triggers"/>
      <w:r>
        <w:t xml:space="preserve">Caveats the data triggers</w:t>
      </w:r>
      <w:bookmarkEnd w:id="54"/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</w:rPr>
        <w:t xml:space="preserve">A data-conditional caveat belongs in the block layer, not in the slide</w:t>
      </w:r>
      <w:r>
        <w:rPr>
          <w:b/>
        </w:rPr>
        <w:t xml:space="preserve"> </w:t>
      </w:r>
      <w:r>
        <w:rPr>
          <w:b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p>
      <w:pPr>
        <w:pStyle w:val="Heading3"/>
      </w:pPr>
      <w:bookmarkStart w:id="55" w:name="when-the-deck-says-nothing"/>
      <w:r>
        <w:t xml:space="preserve">When the deck says nothing</w:t>
      </w:r>
      <w:bookmarkEnd w:id="55"/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twenty-nine test fixtures, ten produce none at all.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p>
      <w:pPr>
        <w:pStyle w:val="Heading3"/>
      </w:pPr>
      <w:bookmarkStart w:id="56" w:name="findings"/>
      <w:r>
        <w:t xml:space="preserve">Findings</w:t>
      </w:r>
      <w:bookmarkEnd w:id="56"/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</w:t>
      </w:r>
      <w:r>
        <w:t xml:space="preserve">Findings, continued</w:t>
      </w:r>
      <w:r>
        <w:t xml:space="preserve">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</w:t>
      </w:r>
      <w:r>
        <w:t xml:space="preserve">Among animal group levels, LRG has the</w:t>
      </w:r>
      <w:r>
        <w:t xml:space="preserve"> </w:t>
      </w:r>
      <w:r>
        <w:t xml:space="preserve">longest average stay at 31 days, and the largest share of residents at 67%.</w:t>
      </w:r>
      <w:r>
        <w:t xml:space="preserve">”</w:t>
      </w:r>
      <w:r>
        <w:t xml:space="preserve"> </w:t>
      </w:r>
      <w:r>
        <w:t xml:space="preserve">(</w:t>
      </w:r>
      <w:r>
        <w:rPr>
          <w:b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</w:t>
      </w:r>
      <w:r>
        <w:t xml:space="preserve">the longest of several identical values</w:t>
      </w:r>
      <w:r>
        <w:t xml:space="preserve">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Whole-sample LOS</w:t>
            </w:r>
          </w:p>
        </w:tc>
        <w:tc>
          <w:p>
            <w:pPr>
              <w:pStyle w:val="Compact"/>
              <w:jc w:val="lef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Whole-sample outlook</w:t>
            </w:r>
          </w:p>
        </w:tc>
        <w:tc>
          <w:p>
            <w:pPr>
              <w:pStyle w:val="Compact"/>
              <w:jc w:val="left"/>
            </w:pPr>
            <w:r>
              <w:t xml:space="preserve">how long the middle resident has been here and how much longer it expects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LOS by stratifier</w:t>
            </w:r>
          </w:p>
        </w:tc>
        <w:tc>
          <w:p>
            <w:pPr>
              <w:pStyle w:val="Compact"/>
              <w:jc w:val="lef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Outlook by stratifier</w:t>
            </w:r>
          </w:p>
        </w:tc>
        <w:tc>
          <w:p>
            <w:pPr>
              <w:pStyle w:val="Compact"/>
              <w:jc w:val="left"/>
            </w:pPr>
            <w:r>
              <w:t xml:space="preserve">which levels’ residents are furthest from leaving and which nearest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p>
            <w:pPr>
              <w:pStyle w:val="Compact"/>
              <w:jc w:val="left"/>
            </w:pPr>
            <w:r>
              <w:t xml:space="preserve">the shelter’s committed animal-days, and the level carrying them where one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Hazard ratios by stratifier</w:t>
            </w:r>
          </w:p>
        </w:tc>
        <w:tc>
          <w:p>
            <w:pPr>
              <w:pStyle w:val="Compact"/>
              <w:jc w:val="lef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Competing risks</w:t>
            </w:r>
          </w:p>
        </w:tc>
        <w:tc>
          <w:p>
            <w:pPr>
              <w:pStyle w:val="Compact"/>
              <w:jc w:val="lef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</w:rPr>
        <w:t xml:space="preserve">fires only where a level</w:t>
      </w:r>
      <w:r>
        <w:rPr>
          <w:b/>
        </w:rPr>
        <w:t xml:space="preserve"> </w:t>
      </w:r>
      <w:r>
        <w:rPr>
          <w:b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</w:t>
      </w:r>
      <w:r>
        <w:t xml:space="preserve">somewhat longer</w:t>
      </w:r>
      <w:r>
        <w:t xml:space="preserve">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</w:rPr>
        <w:t xml:space="preserve">It ignores levels with fewer than</w:t>
      </w:r>
      <w:r>
        <w:rPr>
          <w:b/>
        </w:rPr>
        <w:t xml:space="preserve"> </w:t>
      </w:r>
      <w:r>
        <w:rPr>
          <w:rStyle w:val="VerbatimChar"/>
          <w:b/>
        </w:rPr>
        <w:t xml:space="preserve">OUTCOME_SPREAD_MINIMUM_EVENTS</w:t>
      </w:r>
      <w:r>
        <w:rPr>
          <w:b/>
        </w:rPr>
        <w:t xml:space="preserve"> </w:t>
      </w:r>
      <w:r>
        <w:rPr>
          <w:b/>
        </w:rPr>
        <w:t xml:space="preserve">of that</w:t>
      </w:r>
      <w:r>
        <w:rPr>
          <w:b/>
        </w:rPr>
        <w:t xml:space="preserve"> </w:t>
      </w:r>
      <w:r>
        <w:rPr>
          <w:b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</w:t>
      </w:r>
      <w:r>
        <w:t xml:space="preserve">some 0</w:t>
      </w:r>
      <w:r>
        <w:t xml:space="preserve"> </w:t>
      </w:r>
      <w:r>
        <w:t xml:space="preserve">animal-years</w:t>
      </w:r>
      <w:r>
        <w:t xml:space="preserve">”</w:t>
      </w:r>
      <w:r>
        <w:t xml:space="preserve">.</w:t>
      </w:r>
    </w:p>
    <w:p>
      <w:pPr>
        <w:pStyle w:val="Heading3"/>
      </w:pPr>
      <w:bookmarkStart w:id="57" w:name="recommendations"/>
      <w:r>
        <w:t xml:space="preserve">Recommendations</w:t>
      </w:r>
      <w:bookmarkEnd w:id="57"/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</w:t>
      </w:r>
      <w:r>
        <w:t xml:space="preserve">Where to</w:t>
      </w:r>
      <w:r>
        <w:t xml:space="preserve"> </w:t>
      </w:r>
      <w:r>
        <w:t xml:space="preserve">look next</w:t>
      </w:r>
      <w:r>
        <w:t xml:space="preserve">”</w:t>
      </w:r>
      <w:r>
        <w:t xml:space="preserve">.</w:t>
      </w:r>
      <w:r>
        <w:t xml:space="preserve"> </w:t>
      </w:r>
      <w:r>
        <w:rPr>
          <w:b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Fires when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narrowing</w:t>
            </w:r>
          </w:p>
        </w:tc>
        <w:tc>
          <w:p>
            <w:pPr>
              <w:pStyle w:val="Compact"/>
              <w:jc w:val="lef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p>
            <w:pPr>
              <w:pStyle w:val="Compact"/>
              <w:jc w:val="left"/>
            </w:pPr>
            <w:r>
              <w:t xml:space="preserve">a stratifier falls below the salience threshold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p>
            <w:pPr>
              <w:pStyle w:val="Compact"/>
              <w:jc w:val="lef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p>
            <w:pPr>
              <w:pStyle w:val="Compact"/>
              <w:jc w:val="left"/>
            </w:pPr>
            <w:r>
              <w:t xml:space="preserve">merging, or the source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cap_binding</w:t>
            </w:r>
          </w:p>
        </w:tc>
        <w:tc>
          <w:p>
            <w:pPr>
              <w:pStyle w:val="Compact"/>
              <w:jc w:val="lef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tail_spread</w:t>
            </w:r>
          </w:p>
        </w:tc>
        <w:tc>
          <w:p>
            <w:pPr>
              <w:pStyle w:val="Compact"/>
              <w:jc w:val="lef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p>
            <w:pPr>
              <w:pStyle w:val="Compact"/>
              <w:jc w:val="left"/>
            </w:pPr>
            <w:r>
              <w:t xml:space="preserve">splitting the level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falling_hazard</w:t>
            </w:r>
          </w:p>
        </w:tc>
        <w:tc>
          <w:p>
            <w:pPr>
              <w:pStyle w:val="Compact"/>
              <w:jc w:val="lef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p>
            <w:pPr>
              <w:pStyle w:val="Compact"/>
              <w:jc w:val="left"/>
            </w:pPr>
            <w:r>
              <w:t xml:space="preserve">a tenure threshold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gap_remedy</w:t>
            </w:r>
          </w:p>
        </w:tc>
        <w:tc>
          <w:p>
            <w:pPr>
              <w:pStyle w:val="Compact"/>
              <w:jc w:val="left"/>
            </w:pPr>
            <w:r>
              <w:t xml:space="preserve">an observation gap starts inside the plot cap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</w:rPr>
        <w:t xml:space="preserve">narrowing</w:t>
      </w:r>
      <w:r>
        <w:rPr>
          <w:b/>
        </w:rPr>
        <w:t xml:space="preserve"> </w:t>
      </w:r>
      <w:r>
        <w:rPr>
          <w:b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</w:rPr>
        <w:t xml:space="preserve">narrowing</w:t>
      </w:r>
      <w:r>
        <w:rPr>
          <w:b/>
        </w:rPr>
        <w:t xml:space="preserve"> </w:t>
      </w:r>
      <w:r>
        <w:rPr>
          <w:b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</w:rPr>
        <w:t xml:space="preserve">tail_spread</w:t>
      </w:r>
      <w:r>
        <w:rPr>
          <w:b/>
        </w:rPr>
        <w:t xml:space="preserve"> </w:t>
      </w:r>
      <w:r>
        <w:rPr>
          <w:b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unified ratio; LARGE at 1.5 times does not clear it.</w:t>
      </w:r>
    </w:p>
    <w:p>
      <w:pPr>
        <w:pStyle w:val="BodyText"/>
      </w:pPr>
      <w:r>
        <w:rPr>
          <w:rStyle w:val="VerbatimChar"/>
          <w:b/>
        </w:rPr>
        <w:t xml:space="preserve">falling_hazard</w:t>
      </w:r>
      <w:r>
        <w:rPr>
          <w:b/>
        </w:rPr>
        <w:t xml:space="preserve"> </w:t>
      </w:r>
      <w:r>
        <w:rPr>
          <w:b/>
        </w:rPr>
        <w:t xml:space="preserve">reads the shape</w:t>
      </w:r>
      <w:r>
        <w:rPr>
          <w:b/>
        </w:rPr>
        <w:t xml:space="preserve"> </w:t>
      </w:r>
      <w:r>
        <w:rPr>
          <w:i/>
          <w:b/>
        </w:rPr>
        <w:t xml:space="preserve">variants</w:t>
      </w:r>
      <w:r>
        <w:rPr>
          <w:b/>
        </w:rPr>
        <w:t xml:space="preserve">, and one crossed variant</w:t>
      </w:r>
      <w:r>
        <w:rPr>
          <w:b/>
        </w:rPr>
        <w:t xml:space="preserve"> </w:t>
      </w:r>
      <w:r>
        <w:rPr>
          <w:b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</w:rPr>
        <w:t xml:space="preserve">falling hazard</w:t>
      </w:r>
      <w:r>
        <w:rPr>
          <w:b/>
        </w:rPr>
        <w:t xml:space="preserve"> </w:t>
      </w:r>
      <w:r>
        <w:rPr>
          <w:b/>
        </w:rPr>
        <w:t xml:space="preserve">reads the level’s</w:t>
      </w:r>
      <w:r>
        <w:rPr>
          <w:b/>
        </w:rPr>
        <w:t xml:space="preserve"> </w:t>
      </w:r>
      <w:r>
        <w:rPr>
          <w:i/>
          <w:b/>
        </w:rPr>
        <w:t xml:space="preserve">own</w:t>
      </w:r>
      <w:r>
        <w:rPr>
          <w:b/>
        </w:rPr>
        <w:t xml:space="preserve"> </w:t>
      </w:r>
      <w:r>
        <w:rPr>
          <w:b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</w:t>
      </w:r>
      <w:r>
        <w:t xml:space="preserve">LRG and XL have the longest average</w:t>
      </w:r>
      <w:r>
        <w:t xml:space="preserve"> </w:t>
      </w:r>
      <w:r>
        <w:t xml:space="preserve">stay</w:t>
      </w:r>
      <w:r>
        <w:t xml:space="preserve">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</w:rPr>
        <w:t xml:space="preserve">selected_levels</w:t>
      </w:r>
      <w:r>
        <w:rPr>
          <w:b/>
        </w:rPr>
        <w:t xml:space="preserve"> </w:t>
      </w:r>
      <w:r>
        <w:rPr>
          <w:b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</w:t>
      </w:r>
      <w:r>
        <w:t xml:space="preserve">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</w:t>
      </w:r>
      <w:r>
        <w:t xml:space="preserve">”</w:t>
      </w:r>
      <w:r>
        <w:t xml:space="preserve"> </w:t>
      </w:r>
      <w:r>
        <w:t xml:space="preserve">(</w:t>
      </w:r>
      <w:r>
        <w:rPr>
          <w:b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</w:rPr>
        <w:t xml:space="preserve">sweep</w:t>
      </w:r>
      <w:r>
        <w:t xml:space="preserve">:</w:t>
      </w:r>
      <w:r>
        <w:t xml:space="preserve"> </w:t>
      </w:r>
      <w:r>
        <w:t xml:space="preserve">“</w:t>
      </w:r>
      <w:r>
        <w:t xml:space="preserve">By animal group, PUPPY is</w:t>
      </w:r>
      <w:r>
        <w:t xml:space="preserve"> </w:t>
      </w:r>
      <w:r>
        <w:t xml:space="preserve">the fastest in every outcome type.</w:t>
      </w:r>
      <w:r>
        <w:t xml:space="preserve">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one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</w:rPr>
        <w:t xml:space="preserve">A share of residents is only meaningful when the levels partition the</w:t>
      </w:r>
      <w:r>
        <w:rPr>
          <w:b/>
        </w:rPr>
        <w:t xml:space="preserve"> </w:t>
      </w:r>
      <w:r>
        <w:rPr>
          <w:b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</w:t>
      </w:r>
      <w:r>
        <w:t xml:space="preserve">share of residents by period</w:t>
      </w:r>
      <w:r>
        <w:t xml:space="preserve">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unified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p>
      <w:pPr>
        <w:pStyle w:val="Heading3"/>
      </w:pPr>
      <w:bookmarkStart w:id="58" w:name="salience"/>
      <w:r>
        <w:t xml:space="preserve">Salience</w:t>
      </w:r>
      <w:bookmarkEnd w:id="58"/>
    </w:p>
    <w:p>
      <w:pPr>
        <w:pStyle w:val="FirstParagraph"/>
      </w:pPr>
      <w:r>
        <w:rPr>
          <w:b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unified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p>
      <w:pPr>
        <w:pStyle w:val="Heading3"/>
      </w:pPr>
      <w:bookmarkStart w:id="59" w:name="the-salience-threshold"/>
      <w:r>
        <w:t xml:space="preserve">The salience threshold</w:t>
      </w:r>
      <w:bookmarkEnd w:id="59"/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unified mean LOS</w:t>
      </w:r>
      <w:r>
        <w:br/>
      </w:r>
      <w:r>
        <w:rPr>
          <w:rStyle w:val="VerbatimChar"/>
        </w:rPr>
        <w:t xml:space="preserve">    =   1 day  +  15% of the unified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unified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unified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Stratifier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observed spread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noise floor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salient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p>
            <w:pPr>
              <w:pStyle w:val="Compact"/>
              <w:jc w:val="left"/>
            </w:pPr>
            <w:r>
              <w:t xml:space="preserve">no, by 0.1 days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Intake type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4.49</w:t>
            </w:r>
          </w:p>
        </w:tc>
        <w:tc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p>
            <w:pPr>
              <w:pStyle w:val="Compact"/>
              <w:jc w:val="left"/>
            </w:pPr>
            <w:r>
              <w:t xml:space="preserve">yes, 1.3x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Animal group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11.09</w:t>
            </w:r>
          </w:p>
        </w:tc>
        <w:tc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p>
            <w:pPr>
              <w:pStyle w:val="Compact"/>
              <w:jc w:val="left"/>
            </w:pPr>
            <w:r>
              <w:t xml:space="preserve">11.07</w:t>
            </w:r>
          </w:p>
        </w:tc>
        <w:tc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p>
            <w:pPr>
              <w:pStyle w:val="Compact"/>
              <w:jc w:val="lef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</w:rPr>
        <w:t xml:space="preserve">Weight by</w:t>
      </w:r>
      <w:r>
        <w:rPr>
          <w:b/>
        </w:rPr>
        <w:t xml:space="preserve"> </w:t>
      </w:r>
      <w:r>
        <w:rPr>
          <w:rStyle w:val="VerbatimChar"/>
          <w:b/>
        </w:rPr>
        <w:t xml:space="preserve">total_intakes</w:t>
      </w:r>
      <w:r>
        <w:rPr>
          <w:b/>
        </w:rPr>
        <w:t xml:space="preserve">, not</w:t>
      </w:r>
      <w:r>
        <w:rPr>
          <w:b/>
        </w:rPr>
        <w:t xml:space="preserve"> </w:t>
      </w:r>
      <w:r>
        <w:rPr>
          <w:rStyle w:val="VerbatimChar"/>
          <w:b/>
        </w:rPr>
        <w:t xml:space="preserve">mean_daily_intakes</w:t>
      </w:r>
      <w:r>
        <w:rPr>
          <w:b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every golden file regenerated per adjustment. Move it into R only if it</w:t>
      </w:r>
      <w:r>
        <w:t xml:space="preserve"> </w:t>
      </w:r>
      <w:r>
        <w:t xml:space="preserve">ever becomes a reported quantity.</w:t>
      </w:r>
    </w:p>
    <w:p>
      <w:pPr>
        <w:pStyle w:val="Heading3"/>
      </w:pPr>
      <w:bookmarkStart w:id="60" w:name="every-threshold-in-one-place"/>
      <w:r>
        <w:t xml:space="preserve">Every threshold in one place</w:t>
      </w:r>
      <w:bookmarkEnd w:id="60"/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p>
            <w:pPr>
              <w:pStyle w:val="Compact"/>
              <w:jc w:val="left"/>
            </w:pPr>
            <w:r>
              <w:t xml:space="preserve">1 day</w:t>
            </w:r>
          </w:p>
        </w:tc>
        <w:tc>
          <w:p>
            <w:pPr>
              <w:pStyle w:val="Compact"/>
              <w:jc w:val="lef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p>
            <w:pPr>
              <w:pStyle w:val="Compact"/>
              <w:jc w:val="left"/>
            </w:pPr>
            <w:r>
              <w:t xml:space="preserve">15% of the unified restricted mean</w:t>
            </w:r>
          </w:p>
        </w:tc>
        <w:tc>
          <w:p>
            <w:pPr>
              <w:pStyle w:val="Compact"/>
              <w:jc w:val="left"/>
            </w:pPr>
            <w:r>
              <w:t xml:space="preserve">the same; the two are added, and cross at 6.7 days of mean LOS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p>
            <w:pPr>
              <w:pStyle w:val="Compact"/>
              <w:jc w:val="left"/>
            </w:pPr>
            <w:r>
              <w:t xml:space="preserve">4 levels</w:t>
            </w:r>
          </w:p>
        </w:tc>
        <w:tc>
          <w:p>
            <w:pPr>
              <w:pStyle w:val="Compact"/>
              <w:jc w:val="left"/>
            </w:pPr>
            <w:r>
              <w:t xml:space="preserve">above this an LOS highlights table selects rather than shows all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p>
            <w:pPr>
              <w:pStyle w:val="Compact"/>
              <w:jc w:val="left"/>
            </w:pPr>
            <w:r>
              <w:t xml:space="preserve">6 levels</w:t>
            </w:r>
          </w:p>
        </w:tc>
        <w:tc>
          <w:p>
            <w:pPr>
              <w:pStyle w:val="Compact"/>
              <w:jc w:val="left"/>
            </w:pPr>
            <w:r>
              <w:t xml:space="preserve">the same for a competing-risk highlights 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p>
            <w:pPr>
              <w:pStyle w:val="Compact"/>
              <w:jc w:val="left"/>
            </w:pPr>
            <w:r>
              <w:t xml:space="preserve">10 levels</w:t>
            </w:r>
          </w:p>
        </w:tc>
        <w:tc>
          <w:p>
            <w:pPr>
              <w:pStyle w:val="Compact"/>
              <w:jc w:val="lef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p>
            <w:pPr>
              <w:pStyle w:val="Compact"/>
              <w:jc w:val="left"/>
            </w:pPr>
            <w:r>
              <w:t xml:space="preserve">10 levels</w:t>
            </w:r>
          </w:p>
        </w:tc>
        <w:tc>
          <w:p>
            <w:pPr>
              <w:pStyle w:val="Compact"/>
              <w:jc w:val="left"/>
            </w:pPr>
            <w:r>
              <w:t xml:space="preserve">how many rows a workload table keeps, largest by its counted column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p>
            <w:pPr>
              <w:pStyle w:val="Compact"/>
              <w:jc w:val="left"/>
            </w:pPr>
            <w:r>
              <w:t xml:space="preserve">2 levels</w:t>
            </w:r>
          </w:p>
        </w:tc>
        <w:tc>
          <w:p>
            <w:pPr>
              <w:pStyle w:val="Compact"/>
              <w:jc w:val="left"/>
            </w:pPr>
            <w:r>
              <w:t xml:space="preserve">how many levels may share an extreme before a finding names none of them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p>
            <w:pPr>
              <w:pStyle w:val="Compact"/>
              <w:jc w:val="left"/>
            </w:pPr>
            <w:r>
              <w:t xml:space="preserve">1 day</w:t>
            </w:r>
          </w:p>
        </w:tc>
        <w:tc>
          <w:p>
            <w:pPr>
              <w:pStyle w:val="Compact"/>
              <w:jc w:val="left"/>
            </w:pPr>
            <w:r>
              <w:t xml:space="preserve">the difference below which two levels tie on a mark, so no order shift is read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p>
            <w:pPr>
              <w:pStyle w:val="Compact"/>
              <w:jc w:val="left"/>
            </w:pPr>
            <w:r>
              <w:t xml:space="preserve">0.5% still in care at the cap</w:t>
            </w:r>
          </w:p>
        </w:tc>
        <w:tc>
          <w:p>
            <w:pPr>
              <w:pStyle w:val="Compact"/>
              <w:jc w:val="left"/>
            </w:pPr>
            <w:r>
              <w:t xml:space="preserve">when a slide starts saying the cap shapes its tenure figures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p>
            <w:pPr>
              <w:pStyle w:val="Compact"/>
              <w:jc w:val="left"/>
            </w:pPr>
            <w:r>
              <w:t xml:space="preserve">5% still in care at the cap</w:t>
            </w:r>
          </w:p>
        </w:tc>
        <w:tc>
          <w:p>
            <w:pPr>
              <w:pStyle w:val="Compact"/>
              <w:jc w:val="lef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p>
            <w:pPr>
              <w:pStyle w:val="Compact"/>
              <w:jc w:val="left"/>
            </w:pPr>
            <w:r>
              <w:t xml:space="preserve">2.0x</w:t>
            </w:r>
          </w:p>
        </w:tc>
        <w:tc>
          <w:p>
            <w:pPr>
              <w:pStyle w:val="Compact"/>
              <w:jc w:val="left"/>
            </w:pPr>
            <w:r>
              <w:t xml:space="preserve">how far apart two outcome timings have to be before the gap is a finding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p>
            <w:pPr>
              <w:pStyle w:val="Compact"/>
              <w:jc w:val="left"/>
            </w:pPr>
            <w:r>
              <w:t xml:space="preserve">30 events</w:t>
            </w:r>
          </w:p>
        </w:tc>
        <w:tc>
          <w:p>
            <w:pPr>
              <w:pStyle w:val="Compact"/>
              <w:jc w:val="left"/>
            </w:pPr>
            <w:r>
              <w:t xml:space="preserve">how many of an outcome a level needs before its timing enters that comparison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WIDE_MARGIN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p>
            <w:pPr>
              <w:pStyle w:val="Compact"/>
              <w:jc w:val="left"/>
            </w:pPr>
            <w:r>
              <w:t xml:space="preserve">the agreement margin past which a level counts as unestimable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p>
            <w:pPr>
              <w:pStyle w:val="Compact"/>
              <w:jc w:val="left"/>
            </w:pPr>
            <w:r>
              <w:t xml:space="preserve">2.0x the unified ratio</w:t>
            </w:r>
          </w:p>
        </w:tc>
        <w:tc>
          <w:p>
            <w:pPr>
              <w:pStyle w:val="Compact"/>
              <w:jc w:val="lef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SHAPE_CEILING</w:t>
            </w:r>
          </w:p>
        </w:tc>
        <w:tc>
          <w:p>
            <w:pPr>
              <w:pStyle w:val="Compact"/>
              <w:jc w:val="left"/>
            </w:pPr>
            <w:r>
              <w:t xml:space="preserve">k = 0.85</w:t>
            </w:r>
          </w:p>
        </w:tc>
        <w:tc>
          <w:p>
            <w:pPr>
              <w:pStyle w:val="Compact"/>
              <w:jc w:val="left"/>
            </w:pPr>
            <w:r>
              <w:t xml:space="preserve">how far below 1 a level’s whole own-shape interval must sit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p>
            <w:pPr>
              <w:pStyle w:val="Compact"/>
              <w:jc w:val="left"/>
            </w:pPr>
            <w:r>
              <w:t xml:space="preserve">95% of the pooled adjusted k</w:t>
            </w:r>
          </w:p>
        </w:tc>
        <w:tc>
          <w:p>
            <w:pPr>
              <w:pStyle w:val="Compact"/>
              <w:jc w:val="left"/>
            </w:pPr>
            <w:r>
              <w:t xml:space="preserve">and how far below the shelter’s own shape; the two cross at a pooled k of 0.895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DRIFT_GAP</w:t>
            </w:r>
          </w:p>
        </w:tc>
        <w:tc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p>
            <w:pPr>
              <w:pStyle w:val="Compact"/>
              <w:jc w:val="left"/>
            </w:pPr>
            <w:r>
              <w:t xml:space="preserve">how far a level’s counted figure must sit from its fitted one before the gap is a finding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DRIFT_FLOOR</w:t>
            </w:r>
          </w:p>
        </w:tc>
        <w:tc>
          <w:p>
            <w:pPr>
              <w:pStyle w:val="Compact"/>
              <w:jc w:val="left"/>
            </w:pPr>
            <w:r>
              <w:t xml:space="preserve">1% of the whole sample’s counted animal-days</w:t>
            </w:r>
          </w:p>
        </w:tc>
        <w:tc>
          <w:p>
            <w:pPr>
              <w:pStyle w:val="Compact"/>
              <w:jc w:val="left"/>
            </w:pPr>
            <w:r>
              <w:t xml:space="preserve">how much that gap must be worth at the shelter’s scale, every slide’s gap converted to animal-days 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p>
            <w:pPr>
              <w:pStyle w:val="Compact"/>
              <w:jc w:val="left"/>
            </w:pPr>
            <w:r>
              <w:t xml:space="preserve">1,000 stays</w:t>
            </w:r>
          </w:p>
        </w:tc>
        <w:tc>
          <w:p>
            <w:pPr>
              <w:pStyle w:val="Compact"/>
              <w:jc w:val="left"/>
            </w:pPr>
            <w:r>
              <w:t xml:space="preserve">how large a level must be before a rerun narrowed to it is worth suggesting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p>
            <w:pPr>
              <w:pStyle w:val="Compact"/>
              <w:jc w:val="left"/>
            </w:pPr>
            <w:r>
              <w:t xml:space="preserve">2% of stays</w:t>
            </w:r>
          </w:p>
        </w:tc>
        <w:tc>
          <w:p>
            <w:pPr>
              <w:pStyle w:val="Compact"/>
              <w:jc w:val="lef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1" w:name="extending-the-package"/>
      <w:r>
        <w:t xml:space="preserve">Extending the package</w:t>
      </w:r>
      <w:bookmarkEnd w:id="61"/>
    </w:p>
    <w:p>
      <w:pPr>
        <w:pStyle w:val="FirstParagraph"/>
      </w:pPr>
      <w:r>
        <w:rPr>
          <w:i/>
        </w:rPr>
        <w:t xml:space="preserve">For whoever changes the code. Nothing here is needed to read a deck or to</w:t>
      </w:r>
      <w:r>
        <w:rPr>
          <w:i/>
        </w:rPr>
        <w:t xml:space="preserve"> </w:t>
      </w:r>
      <w:r>
        <w:rPr>
          <w:i/>
        </w:rPr>
        <w:t xml:space="preserve">build one.</w:t>
      </w:r>
    </w:p>
    <w:p>
      <w:pPr>
        <w:pStyle w:val="Heading3"/>
      </w:pPr>
      <w:bookmarkStart w:id="62" w:name="where-it-sits"/>
      <w:r>
        <w:t xml:space="preserve">Where it sits</w:t>
      </w:r>
      <w:bookmarkEnd w:id="62"/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built; an outline</w:t>
      </w:r>
      <w:r>
        <w:br/>
      </w:r>
      <w:r>
        <w:rPr>
          <w:rStyle w:val="VerbatimChar"/>
        </w:rPr>
        <w:t xml:space="preserve">      |                                            states one: variant.py)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</w:t>
      </w:r>
    </w:p>
    <w:p>
      <w:pPr>
        <w:pStyle w:val="Heading3"/>
      </w:pPr>
      <w:bookmarkStart w:id="63" w:name="reading-the-bundle"/>
      <w:r>
        <w:t xml:space="preserve">Reading the bundle</w:t>
      </w:r>
      <w:bookmarkEnd w:id="63"/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unified row comes from the same code path as a stratified one and</w:t>
      </w:r>
      <w:r>
        <w:t xml:space="preserve"> </w:t>
      </w:r>
      <w:r>
        <w:t xml:space="preserve">cannot drift from it.</w:t>
      </w:r>
    </w:p>
    <w:p>
      <w:pPr>
        <w:pStyle w:val="Heading3"/>
      </w:pPr>
      <w:bookmarkStart w:id="64" w:name="the-regression-frames"/>
      <w:r>
        <w:t xml:space="preserve">The regression frames</w:t>
      </w:r>
      <w:bookmarkEnd w:id="64"/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pooled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p>
      <w:pPr>
        <w:pStyle w:val="Heading4"/>
      </w:pPr>
      <w:bookmarkStart w:id="65" w:name="two-comparisons-kept-apart"/>
      <w:r>
        <w:t xml:space="preserve">Two comparisons, kept apart</w:t>
      </w:r>
      <w:bookmarkEnd w:id="65"/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</w:rPr>
        <w:t xml:space="preserve">Both columns share one variance, and it treats the two fits as independent,</w:t>
      </w:r>
      <w:r>
        <w:rPr>
          <w:b/>
        </w:rPr>
        <w:t xml:space="preserve"> </w:t>
      </w:r>
      <w:r>
        <w:rPr>
          <w:b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p>
      <w:pPr>
        <w:pStyle w:val="Heading4"/>
      </w:pPr>
      <w:bookmarkStart w:id="66" w:name="why-this-one-file-derives"/>
      <w:r>
        <w:t xml:space="preserve">Why this one file derives</w:t>
      </w:r>
      <w:bookmarkEnd w:id="66"/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p>
      <w:pPr>
        <w:pStyle w:val="Heading3"/>
      </w:pPr>
      <w:bookmarkStart w:id="67" w:name="display-names"/>
      <w:r>
        <w:t xml:space="preserve">Display names</w:t>
      </w:r>
      <w:bookmarkEnd w:id="67"/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median LOS</w:t>
      </w:r>
      <w:r>
        <w:t xml:space="preserve">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p>
      <w:pPr>
        <w:pStyle w:val="Heading4"/>
      </w:pPr>
      <w:bookmarkStart w:id="68" w:name="conventions"/>
      <w:r>
        <w:t xml:space="preserve">Conventions</w:t>
      </w:r>
      <w:bookmarkEnd w:id="68"/>
    </w:p>
    <w:p>
      <w:pPr>
        <w:pStyle w:val="FirstParagraph"/>
      </w:pPr>
      <w:r>
        <w:rPr>
          <w:b/>
        </w:rPr>
        <w:t xml:space="preserve">Labels begin lowercase.</w:t>
      </w:r>
      <w:r>
        <w:t xml:space="preserve"> </w:t>
      </w:r>
      <w:r>
        <w:t xml:space="preserve">“</w:t>
      </w:r>
      <w:r>
        <w:t xml:space="preserve">mean daily intakes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Mean daily intakes</w:t>
      </w:r>
      <w:r>
        <w:t xml:space="preserve">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</w:t>
      </w:r>
      <w:r>
        <w:t xml:space="preserve">in care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in-care</w:t>
      </w:r>
      <w:r>
        <w:t xml:space="preserve">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already in</w:t>
      </w:r>
      <w:r>
        <w:t xml:space="preserve"> </w:t>
      </w:r>
      <w:r>
        <w:t xml:space="preserve">care;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</w:t>
      </w:r>
      <w:r>
        <w:t xml:space="preserve"> </w:t>
      </w:r>
      <w:r>
        <w:t xml:space="preserve">both views side by side and they diverge hard.</w:t>
      </w:r>
    </w:p>
    <w:p>
      <w:pPr>
        <w:pStyle w:val="Heading4"/>
      </w:pPr>
      <w:bookmarkStart w:id="69" w:name="entry-shape"/>
      <w:r>
        <w:t xml:space="preserve">Entry shape</w:t>
      </w:r>
      <w:bookmarkEnd w:id="69"/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</w:t>
      </w:r>
      <w:r>
        <w:t xml:space="preserve">Median</w:t>
      </w:r>
      <w:r>
        <w:t xml:space="preserve">”</w:t>
      </w:r>
      <w:r>
        <w:t xml:space="preserve">.</w:t>
      </w:r>
    </w:p>
    <w:p>
      <w:pPr>
        <w:pStyle w:val="Heading4"/>
      </w:pPr>
      <w:bookmarkStart w:id="70" w:name="three-namespaces"/>
      <w:r>
        <w:t xml:space="preserve">Three namespaces</w:t>
      </w:r>
      <w:bookmarkEnd w:id="7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Namespace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Maps 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</w:t>
            </w:r>
          </w:p>
        </w:tc>
        <w:tc>
          <w:p>
            <w:pPr>
              <w:pStyle w:val="Compact"/>
              <w:jc w:val="left"/>
            </w:pPr>
            <w:r>
              <w:t xml:space="preserve">measure names from stratum matrices, unified scalars, regression table columns</w:t>
            </w:r>
          </w:p>
        </w:tc>
        <w:tc>
          <w:p>
            <w:pPr>
              <w:pStyle w:val="Compact"/>
              <w:jc w:val="left"/>
            </w:pPr>
            <w:r>
              <w:t xml:space="preserve">a phrase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KINDS</w:t>
            </w:r>
          </w:p>
        </w:tc>
        <w:tc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p>
            <w:pPr>
              <w:pStyle w:val="Compact"/>
              <w:jc w:val="left"/>
            </w:pPr>
            <w:r>
              <w:t xml:space="preserve">a figure title, and the filename stem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STRATIFIERS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a phrase used inside titles</w:t>
            </w:r>
          </w:p>
        </w:tc>
      </w:tr>
    </w:tbl>
    <w:p>
      <w:pPr>
        <w:pStyle w:val="Heading4"/>
      </w:pPr>
      <w:bookmarkStart w:id="71" w:name="three-structural-rules"/>
      <w:r>
        <w:t xml:space="preserve">Three structural rules</w:t>
      </w:r>
      <w:bookmarkEnd w:id="71"/>
    </w:p>
    <w:p>
      <w:pPr>
        <w:pStyle w:val="FirstParagraph"/>
      </w:pPr>
      <w:r>
        <w:rPr>
          <w:b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</w:t>
      </w:r>
      <w:r>
        <w:t xml:space="preserve">L community live</w:t>
      </w:r>
      <w:r>
        <w:t xml:space="preserve">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</w:rPr>
        <w:t xml:space="preserve">Any</w:t>
      </w:r>
      <w:r>
        <w:rPr>
          <w:b/>
        </w:rPr>
        <w:t xml:space="preserve"> </w:t>
      </w:r>
      <w:r>
        <w:rPr>
          <w:b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</w:t>
      </w:r>
      <w:r>
        <w:t xml:space="preserve">any outcome</w:t>
      </w:r>
      <w:r>
        <w:t xml:space="preserve">”</w:t>
      </w:r>
      <w:r>
        <w:t xml:space="preserve"> </w:t>
      </w:r>
      <w:r>
        <w:t xml:space="preserve">for it.</w:t>
      </w:r>
    </w:p>
    <w:p>
      <w:pPr>
        <w:pStyle w:val="Heading4"/>
      </w:pPr>
      <w:bookmarkStart w:id="72" w:name="the-fallback"/>
      <w:r>
        <w:t xml:space="preserve">The fallback</w:t>
      </w:r>
      <w:bookmarkEnd w:id="72"/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p>
      <w:pPr>
        <w:pStyle w:val="Heading3"/>
      </w:pPr>
      <w:bookmarkStart w:id="73" w:name="content-blocks"/>
      <w:r>
        <w:t xml:space="preserve">Content blocks</w:t>
      </w:r>
      <w:bookmarkEnd w:id="73"/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p>
      <w:pPr>
        <w:pStyle w:val="Heading4"/>
      </w:pPr>
      <w:bookmarkStart w:id="74" w:name="table"/>
      <w:r>
        <w:rPr>
          <w:rStyle w:val="VerbatimChar"/>
        </w:rPr>
        <w:t xml:space="preserve">Table</w:t>
      </w:r>
      <w:bookmarkEnd w:id="74"/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</w:t>
      </w:r>
      <w:r>
        <w:t xml:space="preserve">9 H</w:t>
      </w:r>
      <w:r>
        <w:t xml:space="preserve">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p>
      <w:pPr>
        <w:pStyle w:val="Heading3"/>
      </w:pPr>
      <w:bookmarkStart w:id="75" w:name="slide-rules"/>
      <w:r>
        <w:t xml:space="preserve">Slide rules</w:t>
      </w:r>
      <w:bookmarkEnd w:id="75"/>
    </w:p>
    <w:p>
      <w:pPr>
        <w:pStyle w:val="FirstParagraph"/>
      </w:pPr>
      <w:r>
        <w:rPr>
          <w:b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  <w:r>
        <w:t xml:space="preserve"> </w:t>
      </w:r>
      <w:r>
        <w:rPr>
          <w:rStyle w:val="VerbatimChar"/>
        </w:rPr>
        <w:t xml:space="preserve">resolved_settings</w:t>
      </w:r>
      <w:r>
        <w:t xml:space="preserve"> </w:t>
      </w:r>
      <w:r>
        <w:t xml:space="preserve">does it and is idempotent, so a second entry point that</w:t>
      </w:r>
      <w:r>
        <w:t xml:space="preserve"> </w:t>
      </w:r>
      <w:r>
        <w:t xml:space="preserve">resolves again loses nothing.</w:t>
      </w:r>
    </w:p>
    <w:p>
      <w:pPr>
        <w:pStyle w:val="BodyText"/>
      </w:pPr>
      <w:r>
        <w:rPr>
          <w:rStyle w:val="VerbatimChar"/>
        </w:rPr>
        <w:t xml:space="preserve">assemble</w:t>
      </w:r>
      <w:r>
        <w:t xml:space="preserve"> </w:t>
      </w:r>
      <w:r>
        <w:t xml:space="preserve">is the seam that separates choosing slides from writing a deck: it</w:t>
      </w:r>
      <w:r>
        <w:t xml:space="preserve"> </w:t>
      </w:r>
      <w:r>
        <w:t xml:space="preserve">returns the whole list and writes no file, which is how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 </w:t>
      </w:r>
      <w:r>
        <w:t xml:space="preserve">composes</w:t>
      </w:r>
      <w:r>
        <w:t xml:space="preserve"> </w:t>
      </w:r>
      <w:r>
        <w:t xml:space="preserve">a second deck from the same rules rather than reading one back out of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. It draws, though, putting the ratio and reserve figures in the</w:t>
      </w:r>
      <w:r>
        <w:t xml:space="preserve"> </w:t>
      </w:r>
      <w:r>
        <w:t xml:space="preserve">directory it is handed, so a caller wanting only the titles gives it one it is</w:t>
      </w:r>
      <w:r>
        <w:t xml:space="preserve"> </w:t>
      </w:r>
      <w:r>
        <w:t xml:space="preserve">willing to have written to.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is that call plus the output: the workbook,</w:t>
      </w:r>
      <w:r>
        <w:t xml:space="preserve"> </w:t>
      </w:r>
      <w:r>
        <w:t xml:space="preserve">the figure manifest, the slide sidecar, and the render.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</w:t>
      </w:r>
      <w:r>
        <w:t xml:space="preserve">if intake type turns out to</w:t>
      </w:r>
      <w:r>
        <w:t xml:space="preserve"> </w:t>
      </w:r>
      <w:r>
        <w:t xml:space="preserve">matter</w:t>
      </w:r>
      <w:r>
        <w:t xml:space="preserve">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length-of-stay, resident-outlook, and competing-risk rules share a fallback</w:t>
      </w:r>
      <w:r>
        <w:t xml:space="preserve"> </w:t>
      </w:r>
      <w:r>
        <w:t xml:space="preserve">discipline: their figures are optional, since output flags can switch them off. With one of two missing the</w:t>
      </w:r>
      <w:r>
        <w:t xml:space="preserve"> </w:t>
      </w:r>
      <w:r>
        <w:t xml:space="preserve">survivor runs full width; with both missing the table still carries the slide.</w:t>
      </w:r>
    </w:p>
    <w:p>
      <w:pPr>
        <w:pStyle w:val="Heading3"/>
      </w:pPr>
      <w:bookmarkStart w:id="76" w:name="the-deck-plan"/>
      <w:r>
        <w:t xml:space="preserve">The deck plan</w:t>
      </w:r>
      <w:bookmarkEnd w:id="76"/>
    </w:p>
    <w:p>
      <w:pPr>
        <w:pStyle w:val="FirstParagraph"/>
      </w:pPr>
      <w:r>
        <w:rPr>
          <w:b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p>
      <w:pPr>
        <w:pStyle w:val="Heading3"/>
      </w:pPr>
      <w:bookmarkStart w:id="77" w:name="figures-this-package-draws"/>
      <w:r>
        <w:t xml:space="preserve">Figures this package draws</w:t>
      </w:r>
      <w:bookmarkEnd w:id="77"/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plain title inside the figure at the axis-label</w:t>
      </w:r>
      <w:r>
        <w:t xml:space="preserve"> </w:t>
      </w:r>
      <w:r>
        <w:t xml:space="preserve">size, dashed light-gray gridlines, boxed legend, and the same 3200 x 2133</w:t>
      </w:r>
      <w:r>
        <w:t xml:space="preserve"> </w:t>
      </w:r>
      <w:r>
        <w:t xml:space="preserve">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</w:t>
      </w:r>
      <w:r>
        <w:t xml:space="preserve">hazard ratios (HR)</w:t>
      </w:r>
      <w:r>
        <w:t xml:space="preserve">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</w:t>
      </w:r>
      <w:r>
        <w:t xml:space="preserve">HR</w:t>
      </w:r>
      <w:r>
        <w:t xml:space="preserve">”</w:t>
      </w:r>
      <w:r>
        <w:t xml:space="preserve">, the figure having less width to spare.</w:t>
      </w:r>
    </w:p>
    <w:p>
      <w:pPr>
        <w:pStyle w:val="Heading3"/>
      </w:pPr>
      <w:bookmarkStart w:id="78" w:name="renderers"/>
      <w:r>
        <w:t xml:space="preserve">Renderers</w:t>
      </w:r>
      <w:bookmarkEnd w:id="78"/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</w:t>
      </w:r>
    </w:p>
    <w:p>
      <w:pPr>
        <w:pStyle w:val="BodyText"/>
      </w:pPr>
      <w:r>
        <w:t xml:space="preserve">A slide names one of six</w:t>
      </w:r>
      <w:r>
        <w:t xml:space="preserve"> </w:t>
      </w:r>
      <w:r>
        <w:rPr>
          <w:b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</w:rPr>
        <w:t xml:space="preserve">No</w:t>
      </w:r>
      <w:r>
        <w:rPr>
          <w:b/>
        </w:rPr>
        <w:t xml:space="preserve"> </w:t>
      </w:r>
      <w:r>
        <w:rPr>
          <w:b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rPr>
          <w:rStyle w:val="VerbatimChar"/>
        </w:rPr>
        <w:t xml:space="preserve">COLUMN</w:t>
      </w:r>
      <w:r>
        <w:t xml:space="preserve"> </w:t>
      </w:r>
      <w:r>
        <w:t xml:space="preserve">puts them one above another instead, each centered on its own width</w:t>
      </w:r>
      <w:r>
        <w:t xml:space="preserve"> </w:t>
      </w:r>
      <w:r>
        <w:t xml:space="preserve">so its title sits over its own first column. For tables wide enough that a row</w:t>
      </w:r>
      <w:r>
        <w:t xml:space="preserve"> </w:t>
      </w:r>
      <w:r>
        <w:t xml:space="preserve">would squeeze both to half a slide and would invite a reader to compare them</w:t>
      </w:r>
      <w:r>
        <w:t xml:space="preserve"> </w:t>
      </w:r>
      <w:r>
        <w:t xml:space="preserve">column against column when they share none. Two is its capacity, a column</w:t>
      </w:r>
      <w:r>
        <w:t xml:space="preserve"> </w:t>
      </w:r>
      <w:r>
        <w:t xml:space="preserve">spending the slide’s height where a row spends its width.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Every table row is one line tall, header included, and pptx reads that as a</w:t>
      </w:r>
      <w:r>
        <w:t xml:space="preserve"> </w:t>
      </w:r>
      <w:r>
        <w:t xml:space="preserve">minimum: a header that genuinely wraps grows, and one that does not costs</w:t>
      </w:r>
      <w:r>
        <w:t xml:space="preserve"> </w:t>
      </w:r>
      <w:r>
        <w:t xml:space="preserve">nothing. The height a table is given counts the header as as many lines as the</w:t>
      </w:r>
      <w:r>
        <w:t xml:space="preserve"> </w:t>
      </w:r>
      <w:r>
        <w:t xml:space="preserve">width estimate predicts, and that estimate is deliberately generous; left to</w:t>
      </w:r>
      <w:r>
        <w:t xml:space="preserve"> </w:t>
      </w:r>
      <w:r>
        <w:t xml:space="preserve">divide evenly, the room reserved for a second header line was spread over the</w:t>
      </w:r>
      <w:r>
        <w:t xml:space="preserve"> </w:t>
      </w:r>
      <w:r>
        <w:t xml:space="preserve">data rows too.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</w:rPr>
        <w:t xml:space="preserve">one footnote of</w:t>
      </w:r>
      <w:r>
        <w:rPr>
          <w:b/>
        </w:rPr>
        <w:t xml:space="preserve"> </w:t>
      </w:r>
      <w:r>
        <w:rPr>
          <w:b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</w:rPr>
        <w:t xml:space="preserve">centered when it does not need the full</w:t>
      </w:r>
      <w:r>
        <w:rPr>
          <w:b/>
        </w:rPr>
        <w:t xml:space="preserve"> </w:t>
      </w:r>
      <w:r>
        <w:rPr>
          <w:b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more width than the slide has and is squeezed to fit.</w:t>
      </w:r>
    </w:p>
    <w:p>
      <w:pPr>
        <w:pStyle w:val="BodyText"/>
      </w:pPr>
      <w:r>
        <w:rPr>
          <w:b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one slide’s width. The animal-days slide has no</w:t>
      </w:r>
      <w:r>
        <w:t xml:space="preserve"> </w:t>
      </w:r>
      <w:r>
        <w:t xml:space="preserve">room for a fourth column, and the reason is the numbers rather than the</w:t>
      </w:r>
      <w:r>
        <w:t xml:space="preserve"> </w:t>
      </w:r>
      <w:r>
        <w:t xml:space="preserve">headings, since five and six digits with a thousands separator need a wide</w:t>
      </w:r>
      <w:r>
        <w:t xml:space="preserve"> </w:t>
      </w:r>
      <w:r>
        <w:t xml:space="preserve">column whatever it is called; a share of the days owed does not fit. It goes to</w:t>
      </w:r>
      <w:r>
        <w:t xml:space="preserve"> </w:t>
      </w:r>
      <w:r>
        <w:t xml:space="preserve">the workbook and the slide’s findings instead. That is the rule whenever a</w:t>
      </w:r>
      <w:r>
        <w:t xml:space="preserve"> </w:t>
      </w:r>
      <w:r>
        <w:t xml:space="preserve">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No Style, No Grid</w:t>
      </w:r>
      <w:r>
        <w:rPr>
          <w:b/>
        </w:rP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every other data row washed</w:t>
      </w:r>
      <w:r>
        <w:rPr>
          <w:b/>
        </w:rPr>
        <w:t xml:space="preserve"> </w:t>
      </w:r>
      <w:r>
        <w:rPr>
          <w:b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OC1 and OC2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p>
      <w:pPr>
        <w:pStyle w:val="Heading3"/>
      </w:pPr>
      <w:bookmarkStart w:id="79" w:name="everything-a-build-writes"/>
      <w:r>
        <w:t xml:space="preserve">Everything a build writes</w:t>
      </w:r>
      <w:bookmarkEnd w:id="79"/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the files below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Overwritten?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mlos_deck.pptx</w:t>
            </w:r>
          </w:p>
        </w:tc>
        <w:tc>
          <w:p>
            <w:pPr>
              <w:pStyle w:val="Compact"/>
              <w:jc w:val="left"/>
            </w:pPr>
            <w:r>
              <w:t xml:space="preserve">the deck</w:t>
            </w:r>
          </w:p>
        </w:tc>
        <w:tc>
          <w:p>
            <w:pPr>
              <w:pStyle w:val="Compact"/>
              <w:jc w:val="left"/>
            </w:pPr>
            <w:r>
              <w:t xml:space="preserve">archived 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p>
            <w:pPr>
              <w:pStyle w:val="Compact"/>
              <w:jc w:val="left"/>
            </w:pPr>
            <w:r>
              <w:t xml:space="preserve">every table the build made</w:t>
            </w:r>
          </w:p>
        </w:tc>
        <w:tc>
          <w:p>
            <w:pPr>
              <w:pStyle w:val="Compact"/>
              <w:jc w:val="left"/>
            </w:pPr>
            <w:r>
              <w:t xml:space="preserve">archived 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mlos_deck_slides.json</w:t>
            </w:r>
          </w:p>
        </w:tc>
        <w:tc>
          <w:p>
            <w:pPr>
              <w:pStyle w:val="Compact"/>
              <w:jc w:val="left"/>
            </w:pPr>
            <w:r>
              <w:t xml:space="preserve">what the deck holds, slide by slide</w:t>
            </w:r>
          </w:p>
        </w:tc>
        <w:tc>
          <w:p>
            <w:pPr>
              <w:pStyle w:val="Compact"/>
              <w:jc w:val="left"/>
            </w:pPr>
            <w:r>
              <w:t xml:space="preserve">archived 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p>
            <w:pPr>
              <w:pStyle w:val="Compact"/>
              <w:jc w:val="left"/>
            </w:pPr>
            <w:r>
              <w:t xml:space="preserve">every figure this package drew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p>
            <w:pPr>
              <w:pStyle w:val="Compact"/>
              <w:jc w:val="left"/>
            </w:pPr>
            <w:r>
              <w:t xml:space="preserve">what those PNGs are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p>
      <w:pPr>
        <w:pStyle w:val="Heading4"/>
      </w:pPr>
      <w:bookmarkStart w:id="80" w:name="the-figure-manifest"/>
      <w:r>
        <w:t xml:space="preserve">The figure manifest</w:t>
      </w:r>
      <w:bookmarkEnd w:id="80"/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p>
      <w:pPr>
        <w:pStyle w:val="Heading4"/>
      </w:pPr>
      <w:bookmarkStart w:id="81" w:name="what-gets-a-sheet"/>
      <w:r>
        <w:t xml:space="preserve">What gets a sheet</w:t>
      </w:r>
      <w:bookmarkEnd w:id="81"/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numPr>
          <w:ilvl w:val="0"/>
          <w:numId w:val="1009"/>
        </w:numPr>
        <w:pStyle w:val="Compact"/>
      </w:pPr>
      <w:r>
        <w:t xml:space="preserve">a table that never reaches a reader, existing only as a step between frames;</w:t>
      </w:r>
    </w:p>
    <w:p>
      <w:pPr>
        <w:numPr>
          <w:ilvl w:val="0"/>
          <w:numId w:val="1009"/>
        </w:numPr>
        <w:pStyle w:val="Compact"/>
      </w:pPr>
      <w:r>
        <w:t xml:space="preserve">a table that is merely a</w:t>
      </w:r>
      <w:r>
        <w:t xml:space="preserve"> </w:t>
      </w:r>
      <w:r>
        <w:rPr>
          <w:i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numPr>
          <w:ilvl w:val="0"/>
          <w:numId w:val="1009"/>
        </w:numPr>
        <w:pStyle w:val="Compact"/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Each share column follows the column it divides, and its header names that</w:t>
      </w:r>
      <w:r>
        <w:t xml:space="preserve"> </w:t>
      </w:r>
      <w:r>
        <w:t xml:space="preserve">quantity:</w:t>
      </w:r>
      <w:r>
        <w:t xml:space="preserve"> </w:t>
      </w:r>
      <w:r>
        <w:rPr>
          <w:rStyle w:val="VerbatimChar"/>
        </w:rPr>
        <w:t xml:space="preserve">Intakes,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Intakes/day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Census counted,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Census, counted</w:t>
      </w:r>
      <w:r>
        <w:t xml:space="preserve">. The slides can head a share</w:t>
      </w:r>
      <w:r>
        <w:t xml:space="preserve"> </w:t>
      </w:r>
      <w:r>
        <w:rPr>
          <w:rStyle w:val="VerbatimChar"/>
        </w:rPr>
        <w:t xml:space="preserve">Pct</w:t>
      </w:r>
      <w:r>
        <w:t xml:space="preserve"> </w:t>
      </w:r>
      <w:r>
        <w:t xml:space="preserve">because the column beside</w:t>
      </w:r>
      <w:r>
        <w:t xml:space="preserve"> </w:t>
      </w:r>
      <w:r>
        <w:t xml:space="preserve">it says what of; a sheet is read a column at a time and its order is not fixed,</w:t>
      </w:r>
      <w:r>
        <w:t xml:space="preserve"> </w:t>
      </w:r>
      <w:r>
        <w:t xml:space="preserve">so a header that leans on its neighbor is one column move away from being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</w:t>
      </w:r>
      <w:r>
        <w:t xml:space="preserve">Lower, Upper</w:t>
      </w:r>
      <w:r>
        <w:t xml:space="preserve">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p>
      <w:pPr>
        <w:pStyle w:val="Heading3"/>
      </w:pPr>
      <w:bookmarkStart w:id="82" w:name="invariants"/>
      <w:r>
        <w:t xml:space="preserve">Invariants</w:t>
      </w:r>
      <w:bookmarkEnd w:id="82"/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Every rule runs against every fixture.</w:t>
      </w:r>
      <w:r>
        <w:t xml:space="preserve"> </w:t>
      </w:r>
      <w:r>
        <w:t xml:space="preserve">The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unified and per stratum, and</w:t>
      </w:r>
      <w:r>
        <w:t xml:space="preserve"> </w:t>
      </w:r>
      <w:r>
        <w:t xml:space="preserve">selectively disabled outputs.</w:t>
      </w:r>
    </w:p>
    <w:p>
      <w:pPr>
        <w:pStyle w:val="Heading3"/>
      </w:pPr>
      <w:bookmarkStart w:id="83" w:name="running-the-pieces"/>
      <w:r>
        <w:t xml:space="preserve">Running the pieces</w:t>
      </w:r>
      <w:bookmarkEnd w:id="83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                          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                    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results out.pptx    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--settings=x.yaml   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--template=b.pptx   # branded, whatever the file says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mlos_review.variant o.md             # a variant deck from an outline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mlos_review.variant --list           # the titles an outline may borrow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--headless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--convert-to</w:t>
      </w:r>
      <w:r>
        <w:rPr>
          <w:rStyle w:val="NormalTok"/>
        </w:rPr>
        <w:t xml:space="preserve"> pdf --outdir . out.pptx</w:t>
      </w:r>
    </w:p>
    <w:p>
      <w:pPr>
        <w:pStyle w:val="FirstParagraph"/>
      </w:pPr>
      <w:r>
        <w:t xml:space="preserve">Dependencies are declared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at the repository root, which is</w:t>
      </w:r>
      <w:r>
        <w:t xml:space="preserve"> </w:t>
      </w:r>
      <w:r>
        <w:t xml:space="preserve">the one place they are stated: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, on Python 3.9 or newer. All five are needed by an ordinary</w:t>
      </w:r>
      <w:r>
        <w:t xml:space="preserve"> </w:t>
      </w:r>
      <w:r>
        <w:t xml:space="preserve">build: matplotlib draws the hazard-ratio figure and is imported the moment</w:t>
      </w:r>
      <w:r>
        <w:t xml:space="preserve"> </w:t>
      </w:r>
      <w:r>
        <w:rPr>
          <w:rStyle w:val="VerbatimChar"/>
        </w:rPr>
        <w:t xml:space="preserve">deck</w:t>
      </w:r>
      <w:r>
        <w:t xml:space="preserve"> </w:t>
      </w:r>
      <w:r>
        <w:t xml:space="preserve">is, and openpyxl writes the companion workbook every run produces.</w:t>
      </w:r>
      <w:r>
        <w:t xml:space="preserve"> </w:t>
      </w:r>
      <w:r>
        <w:t xml:space="preserve">Neither pandas major is preferred: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sets no ceiling, so an</w:t>
      </w:r>
      <w:r>
        <w:t xml:space="preserve"> </w:t>
      </w:r>
      <w:r>
        <w:t xml:space="preserve">install picks pandas 3 on Python 3.11 or newer and pandas 2 below it, and</w:t>
      </w:r>
      <w:r>
        <w:t xml:space="preserve"> </w:t>
      </w:r>
      <w:r>
        <w:t xml:space="preserve">continuous integration runs the suite against both. To install them, from the</w:t>
      </w:r>
      <w:r>
        <w:t xml:space="preserve"> </w:t>
      </w:r>
      <w:r>
        <w:t xml:space="preserve">repository root: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-e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design-decisions-and-why"/>
      <w:r>
        <w:t xml:space="preserve">Design decisions and why</w:t>
      </w:r>
      <w:bookmarkEnd w:id="84"/>
    </w:p>
    <w:p>
      <w:pPr>
        <w:pStyle w:val="FirstParagraph"/>
      </w:pPr>
      <w:r>
        <w:rPr>
          <w:b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5" w:name="known-gaps"/>
      <w:r>
        <w:t xml:space="preserve">Known gaps</w:t>
      </w:r>
      <w:bookmarkEnd w:id="85"/>
    </w:p>
    <w:p>
      <w:pPr>
        <w:pStyle w:val="FirstParagraph"/>
      </w:pPr>
      <w:r>
        <w:t xml:space="preserve">Ordered roughly by how much they block the next step.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/>
        </w:rPr>
        <w:t xml:space="preserve">field_summary_table</w:t>
      </w:r>
      <w:r>
        <w:rPr>
          <w:b/>
        </w:rPr>
        <w:t xml:space="preserve"> </w:t>
      </w:r>
      <w:r>
        <w:rPr>
          <w:b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such fields, nine levels between them on</w:t>
      </w:r>
      <w:r>
        <w:t xml:space="preserve"> </w:t>
      </w:r>
      <w:r>
        <w:rPr>
          <w:b/>
        </w:rPr>
        <w:t xml:space="preserve">OC2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report and spreadsheet renderers do not exist.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creativecommons.org/licenses/by/4.0/" TargetMode="External" /><Relationship Type="http://schemas.openxmlformats.org/officeDocument/2006/relationships/hyperlink" Id="rId29" Target="https://doi.org/10.5281/zenodo.22652329" TargetMode="External" /><Relationship Type="http://schemas.openxmlformats.org/officeDocument/2006/relationships/hyperlink" Id="rId26" Target="https://github.com/Shelter-Data-Analysis/mLOS/blob/main/CONTRIBUTING.md" TargetMode="External" /><Relationship Type="http://schemas.openxmlformats.org/officeDocument/2006/relationships/hyperlink" Id="rId25" Target="https://github.com/Shelter-Data-Analysis/mLOS/issue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creativecommons.org/licenses/by/4.0/" TargetMode="External" /><Relationship Type="http://schemas.openxmlformats.org/officeDocument/2006/relationships/hyperlink" Id="rId29" Target="https://doi.org/10.5281/zenodo.22652329" TargetMode="External" /><Relationship Type="http://schemas.openxmlformats.org/officeDocument/2006/relationships/hyperlink" Id="rId26" Target="https://github.com/Shelter-Data-Analysis/mLOS/blob/main/CONTRIBUTING.md" TargetMode="External" /><Relationship Type="http://schemas.openxmlformats.org/officeDocument/2006/relationships/hyperlink" Id="rId25" Target="https://github.com/Shelter-Data-Analysis/mLOS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2026-09-26T03:53:58Z</dcterms:created>
  <dcterms:modified xsi:type="dcterms:W3CDTF">2026-09-26T03:53:58Z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