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mlos-presentation-guide"/>
    <w:p>
      <w:pPr>
        <w:pStyle w:val="Heading1"/>
      </w:pPr>
      <w:r>
        <w:t xml:space="preserve">mLOS Presentation Guide</w:t>
      </w:r>
    </w:p>
    <w:p>
      <w:pPr>
        <w:pStyle w:val="FirstParagraph"/>
      </w:pPr>
      <w:r>
        <w:rPr>
          <w:i/>
          <w:iCs/>
        </w:rPr>
        <w:t xml:space="preserve">Note: This Markdown file is the documentation of record for the mLOS</w:t>
      </w:r>
      <w:r>
        <w:rPr>
          <w:i/>
          <w:iCs/>
        </w:rPr>
        <w:t xml:space="preserve"> </w:t>
      </w:r>
      <w:r>
        <w:rPr>
          <w:i/>
          <w:iCs/>
        </w:rPr>
        <w:t xml:space="preserve">presentation guide, version 20260906_001. Read it in any markdown reader,</w:t>
      </w:r>
      <w:r>
        <w:rPr>
          <w:i/>
          <w:iCs/>
        </w:rPr>
        <w:t xml:space="preserve"> </w:t>
      </w:r>
      <w:r>
        <w:rPr>
          <w:i/>
          <w:iCs/>
        </w:rPr>
        <w:t xml:space="preserve">Obsidian among them. The companion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presentation_guide.docx</w:t>
      </w:r>
      <w:r>
        <w:rPr>
          <w:i/>
          <w:iCs/>
        </w:rPr>
        <w:t xml:space="preserve"> </w:t>
      </w:r>
      <w:r>
        <w:rPr>
          <w:i/>
          <w:iCs/>
        </w:rPr>
        <w:t xml:space="preserve">is tracked here,</w:t>
      </w:r>
      <w:r>
        <w:rPr>
          <w:i/>
          <w:iCs/>
        </w:rPr>
        <w:t xml:space="preserve"> </w:t>
      </w:r>
      <w:r>
        <w:rPr>
          <w:i/>
          <w:iCs/>
        </w:rPr>
        <w:t xml:space="preserve">but it is rebuilt only for a release, so it carries the version it was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from: where the two differ, this file is the current one and the Word copy</w:t>
      </w:r>
      <w:r>
        <w:rPr>
          <w:i/>
          <w:iCs/>
        </w:rPr>
        <w:t xml:space="preserve"> </w:t>
      </w:r>
      <w:r>
        <w:rPr>
          <w:i/>
          <w:iCs/>
        </w:rPr>
        <w:t xml:space="preserve">lags it.</w:t>
      </w:r>
    </w:p>
    <w:p>
      <w:pPr>
        <w:pStyle w:val="BodyText"/>
      </w:pPr>
      <w:r>
        <w:rPr>
          <w:i/>
          <w:iCs/>
        </w:rPr>
        <w:t xml:space="preserve">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presentation_guide.md</w:t>
      </w:r>
      <w:r>
        <w:rPr>
          <w:i/>
          <w:iCs/>
        </w:rPr>
        <w:t xml:space="preserve"> </w:t>
      </w:r>
      <w:r>
        <w:rPr>
          <w:i/>
          <w:iCs/>
        </w:rPr>
        <w:t xml:space="preserve">at commit 6cdd5d4 (2026-09-06). Where that is not the newest commit touching the file, this Word copy is behind it.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pStyle w:val="Compact"/>
        <w:numPr>
          <w:ilvl w:val="0"/>
          <w:numId w:val="1001"/>
        </w:numPr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pStyle w:val="Compact"/>
        <w:numPr>
          <w:ilvl w:val="0"/>
          <w:numId w:val="1001"/>
        </w:numPr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pStyle w:val="Compact"/>
        <w:numPr>
          <w:ilvl w:val="1"/>
          <w:numId w:val="1002"/>
        </w:numPr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pStyle w:val="Compact"/>
        <w:numPr>
          <w:ilvl w:val="1"/>
          <w:numId w:val="1002"/>
        </w:numPr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pStyle w:val="Compact"/>
        <w:numPr>
          <w:ilvl w:val="1"/>
          <w:numId w:val="1002"/>
        </w:numPr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pStyle w:val="Compact"/>
        <w:numPr>
          <w:ilvl w:val="1"/>
          <w:numId w:val="1002"/>
        </w:numPr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pStyle w:val="Compact"/>
        <w:numPr>
          <w:ilvl w:val="1"/>
          <w:numId w:val="1002"/>
        </w:numPr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pStyle w:val="Compact"/>
        <w:numPr>
          <w:ilvl w:val="1"/>
          <w:numId w:val="1002"/>
        </w:numPr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pStyle w:val="Compact"/>
        <w:numPr>
          <w:ilvl w:val="0"/>
          <w:numId w:val="1001"/>
        </w:numPr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pStyle w:val="Compact"/>
        <w:numPr>
          <w:ilvl w:val="1"/>
          <w:numId w:val="1003"/>
        </w:numPr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pStyle w:val="Compact"/>
        <w:numPr>
          <w:ilvl w:val="1"/>
          <w:numId w:val="1003"/>
        </w:numPr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pStyle w:val="Compact"/>
        <w:numPr>
          <w:ilvl w:val="1"/>
          <w:numId w:val="1003"/>
        </w:numPr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pStyle w:val="Compact"/>
        <w:numPr>
          <w:ilvl w:val="1"/>
          <w:numId w:val="1003"/>
        </w:numPr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pStyle w:val="Compact"/>
        <w:numPr>
          <w:ilvl w:val="1"/>
          <w:numId w:val="1003"/>
        </w:numPr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pStyle w:val="Compact"/>
        <w:numPr>
          <w:ilvl w:val="1"/>
          <w:numId w:val="1003"/>
        </w:numPr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pStyle w:val="Compact"/>
        <w:numPr>
          <w:ilvl w:val="1"/>
          <w:numId w:val="1003"/>
        </w:numPr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pStyle w:val="Compact"/>
        <w:numPr>
          <w:ilvl w:val="1"/>
          <w:numId w:val="1003"/>
        </w:numPr>
      </w:pPr>
      <w:hyperlink w:anchor="educational">
        <w:r>
          <w:rPr>
            <w:rStyle w:val="Hyperlink"/>
          </w:rPr>
          <w:t xml:space="preserve">Educational</w:t>
        </w:r>
      </w:hyperlink>
    </w:p>
    <w:p>
      <w:pPr>
        <w:pStyle w:val="Compact"/>
        <w:numPr>
          <w:ilvl w:val="1"/>
          <w:numId w:val="1003"/>
        </w:numPr>
      </w:pPr>
      <w:hyperlink w:anchor="variant-decks">
        <w:r>
          <w:rPr>
            <w:rStyle w:val="Hyperlink"/>
          </w:rPr>
          <w:t xml:space="preserve">Variant decks</w:t>
        </w:r>
      </w:hyperlink>
    </w:p>
    <w:p>
      <w:pPr>
        <w:pStyle w:val="Compact"/>
        <w:numPr>
          <w:ilvl w:val="1"/>
          <w:numId w:val="1003"/>
        </w:numPr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pStyle w:val="Compact"/>
        <w:numPr>
          <w:ilvl w:val="1"/>
          <w:numId w:val="1003"/>
        </w:numPr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pStyle w:val="Compact"/>
        <w:numPr>
          <w:ilvl w:val="0"/>
          <w:numId w:val="1001"/>
        </w:numPr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pStyle w:val="Compact"/>
        <w:numPr>
          <w:ilvl w:val="1"/>
          <w:numId w:val="1004"/>
        </w:numPr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pStyle w:val="Compact"/>
        <w:numPr>
          <w:ilvl w:val="1"/>
          <w:numId w:val="1004"/>
        </w:numPr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pStyle w:val="Compact"/>
        <w:numPr>
          <w:ilvl w:val="1"/>
          <w:numId w:val="1004"/>
        </w:numPr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pStyle w:val="Compact"/>
        <w:numPr>
          <w:ilvl w:val="1"/>
          <w:numId w:val="1004"/>
        </w:numPr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pStyle w:val="Compact"/>
        <w:numPr>
          <w:ilvl w:val="1"/>
          <w:numId w:val="1004"/>
        </w:numPr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pStyle w:val="Compact"/>
        <w:numPr>
          <w:ilvl w:val="1"/>
          <w:numId w:val="1004"/>
        </w:numPr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pStyle w:val="Compact"/>
        <w:numPr>
          <w:ilvl w:val="1"/>
          <w:numId w:val="1004"/>
        </w:numPr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pStyle w:val="Compact"/>
        <w:numPr>
          <w:ilvl w:val="1"/>
          <w:numId w:val="1004"/>
        </w:numPr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pStyle w:val="Compact"/>
        <w:numPr>
          <w:ilvl w:val="1"/>
          <w:numId w:val="1004"/>
        </w:numPr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4"/>
        </w:numPr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pStyle w:val="Compact"/>
        <w:numPr>
          <w:ilvl w:val="1"/>
          <w:numId w:val="1004"/>
        </w:numPr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pStyle w:val="Compact"/>
        <w:numPr>
          <w:ilvl w:val="1"/>
          <w:numId w:val="1004"/>
        </w:numPr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pStyle w:val="Compact"/>
        <w:numPr>
          <w:ilvl w:val="1"/>
          <w:numId w:val="1004"/>
        </w:numPr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pStyle w:val="Compact"/>
        <w:numPr>
          <w:ilvl w:val="0"/>
          <w:numId w:val="1001"/>
        </w:numPr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pStyle w:val="Compact"/>
        <w:numPr>
          <w:ilvl w:val="1"/>
          <w:numId w:val="1005"/>
        </w:numPr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pStyle w:val="Compact"/>
        <w:numPr>
          <w:ilvl w:val="1"/>
          <w:numId w:val="1005"/>
        </w:numPr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pStyle w:val="Compact"/>
        <w:numPr>
          <w:ilvl w:val="1"/>
          <w:numId w:val="1005"/>
        </w:numPr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pStyle w:val="Compact"/>
        <w:numPr>
          <w:ilvl w:val="1"/>
          <w:numId w:val="1005"/>
        </w:numPr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pStyle w:val="Compact"/>
        <w:numPr>
          <w:ilvl w:val="1"/>
          <w:numId w:val="1005"/>
        </w:numPr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pStyle w:val="Compact"/>
        <w:numPr>
          <w:ilvl w:val="1"/>
          <w:numId w:val="1005"/>
        </w:numPr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pStyle w:val="Compact"/>
        <w:numPr>
          <w:ilvl w:val="1"/>
          <w:numId w:val="1005"/>
        </w:numPr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pStyle w:val="Compact"/>
        <w:numPr>
          <w:ilvl w:val="1"/>
          <w:numId w:val="1005"/>
        </w:numPr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pStyle w:val="Compact"/>
        <w:numPr>
          <w:ilvl w:val="1"/>
          <w:numId w:val="1005"/>
        </w:numPr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pStyle w:val="Compact"/>
        <w:numPr>
          <w:ilvl w:val="1"/>
          <w:numId w:val="1005"/>
        </w:numPr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pStyle w:val="Compact"/>
        <w:numPr>
          <w:ilvl w:val="1"/>
          <w:numId w:val="1005"/>
        </w:numPr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pStyle w:val="Compact"/>
        <w:numPr>
          <w:ilvl w:val="1"/>
          <w:numId w:val="1005"/>
        </w:numPr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pStyle w:val="Compact"/>
        <w:numPr>
          <w:ilvl w:val="0"/>
          <w:numId w:val="1001"/>
        </w:numPr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pStyle w:val="Compact"/>
        <w:numPr>
          <w:ilvl w:val="0"/>
          <w:numId w:val="1001"/>
        </w:numPr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recompute a statistic. Everything it shows has already been computed once,</w:t>
      </w:r>
      <w:r>
        <w:t xml:space="preserve"> </w:t>
      </w:r>
      <w:r>
        <w:t xml:space="preserve">cross-checked by the test suite, and written out.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deck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Workbook of every table the slide deck build made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report with inset figures and tables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Audience-tailored spreadsheets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  <w:bCs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bookmarkEnd w:id="10"/>
    <w:bookmarkStart w:id="13" w:name="what-a-deck-is-worth"/>
    <w:p>
      <w:pPr>
        <w:pStyle w:val="Heading2"/>
      </w:pPr>
      <w:r>
        <w:t xml:space="preserve">What a deck is worth</w:t>
      </w:r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  <w:bCs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the number the analysis wrote for</w:t>
      </w:r>
      <w:r>
        <w:t xml:space="preserve"> </w:t>
      </w:r>
      <w:r>
        <w:t xml:space="preserve">it,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  <w:bCs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  <w:bCs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  <w:bCs/>
        </w:rPr>
        <w:t xml:space="preserve">A finding’s absence from a deck is not evidence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  <w:bCs/>
        </w:rPr>
        <w:t xml:space="preserve">raw material for a briefing</w:t>
      </w:r>
      <w:r>
        <w:t xml:space="preserve"> </w:t>
      </w:r>
      <w:r>
        <w:t xml:space="preserve">somebody writes, and is not itself the briefing.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pPr>
        <w:pStyle w:val="BodyText"/>
      </w:pPr>
      <w:r>
        <w:rPr>
          <w:b/>
          <w:bCs/>
        </w:rPr>
        <w:t xml:space="preserve">Saying how a deck landed.</w:t>
      </w:r>
      <w:r>
        <w:t xml:space="preserve"> </w:t>
      </w:r>
      <w:r>
        <w:t xml:space="preserve">The most useful report is what became of it in</w:t>
      </w:r>
      <w:r>
        <w:t xml:space="preserve"> </w:t>
      </w:r>
      <w:r>
        <w:t xml:space="preserve">use: which slides survived into the briefing actually given, which were cut,</w:t>
      </w:r>
      <w:r>
        <w:t xml:space="preserve"> </w:t>
      </w:r>
      <w:r>
        <w:t xml:space="preserve">and what had to be written by hand from the workbook or the plots. The</w:t>
      </w:r>
      <w:r>
        <w:t xml:space="preserve"> </w:t>
      </w:r>
      <w:hyperlink r:id="rId11">
        <w:r>
          <w:rPr>
            <w:rStyle w:val="Hyperlink"/>
          </w:rPr>
          <w:t xml:space="preserve">issue tracker</w:t>
        </w:r>
      </w:hyperlink>
      <w:r>
        <w:t xml:space="preserve"> </w:t>
      </w:r>
      <w:r>
        <w:t xml:space="preserve">carries a</w:t>
      </w:r>
      <w:r>
        <w:t xml:space="preserve"> </w:t>
      </w:r>
      <w:r>
        <w:t xml:space="preserve">form for that account, and</w:t>
      </w:r>
      <w:r>
        <w:t xml:space="preserve"> </w:t>
      </w:r>
      <w:hyperlink r:id="rId12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says what to attach and what a deposited run holds. The selection rules are</w:t>
      </w:r>
      <w:r>
        <w:t xml:space="preserve"> </w:t>
      </w:r>
      <w:r>
        <w:t xml:space="preserve">where this package is least settled, and reports of real use are what will</w:t>
      </w:r>
      <w:r>
        <w:t xml:space="preserve"> </w:t>
      </w:r>
      <w:r>
        <w:t xml:space="preserve">settle them.</w:t>
      </w:r>
    </w:p>
    <w:p>
      <w:r>
        <w:pict>
          <v:rect style="width:0;height:1.5pt" o:hralign="center" o:hrstd="t" o:hr="t"/>
        </w:pict>
      </w:r>
    </w:p>
    <w:bookmarkEnd w:id="13"/>
    <w:bookmarkStart w:id="21" w:name="producing-a-deck"/>
    <w:p>
      <w:pPr>
        <w:pStyle w:val="Heading2"/>
      </w:pPr>
      <w:r>
        <w:t xml:space="preserve">Producing a deck</w:t>
      </w:r>
    </w:p>
    <w:p>
      <w:pPr>
        <w:pStyle w:val="FirstParagraph"/>
      </w:pPr>
      <w:r>
        <w:rPr>
          <w:i/>
          <w:iCs/>
        </w:rPr>
        <w:t xml:space="preserve">For whoever runs the builder. What a build writes, what the settings</w:t>
      </w:r>
      <w:r>
        <w:rPr>
          <w:i/>
          <w:iCs/>
        </w:rPr>
        <w:t xml:space="preserve"> </w:t>
      </w:r>
      <w:r>
        <w:rPr>
          <w:i/>
          <w:iCs/>
        </w:rPr>
        <w:t xml:space="preserve">change, and what to check before a deck reaches anybody.</w:t>
      </w:r>
    </w:p>
    <w:p>
      <w:pPr>
        <w:pStyle w:val="BodyText"/>
      </w:pPr>
      <w:r>
        <w:rPr>
          <w:b/>
          <w:bCs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bookmarkStart w:id="15" w:name="running-it-and-what-it-writes"/>
    <w:p>
      <w:pPr>
        <w:pStyle w:val="Heading3"/>
      </w:pPr>
      <w:r>
        <w:t xml:space="preserve">Running it, and what it writes</w:t>
      </w:r>
    </w:p>
    <w:p>
      <w:pPr>
        <w:pStyle w:val="FirstParagraph"/>
      </w:pPr>
      <w:r>
        <w:t xml:space="preserve">A deck built from the shipped OC2 settings is deposited at</w:t>
      </w:r>
      <w:r>
        <w:t xml:space="preserve"> </w:t>
      </w:r>
      <w:hyperlink r:id="rId14">
        <w:r>
          <w:rPr>
            <w:rStyle w:val="Hyperlink"/>
          </w:rPr>
          <w:t xml:space="preserve">10.5281/zenodo.22135419</w:t>
        </w:r>
      </w:hyperlink>
      <w:r>
        <w:t xml:space="preserve">, with its</w:t>
      </w:r>
      <w:r>
        <w:t xml:space="preserve"> </w:t>
      </w:r>
      <w:r>
        <w:t xml:space="preserve">table workbook, its figures, and the settings file it was built under, so the</w:t>
      </w:r>
      <w:r>
        <w:t xml:space="preserve"> </w:t>
      </w:r>
      <w:r>
        <w:t xml:space="preserve">output described below can be read without running anything. That deposit is</w:t>
      </w:r>
      <w:r>
        <w:t xml:space="preserve"> </w:t>
      </w:r>
      <w:r>
        <w:t xml:space="preserve">derived from the results deposit rather than standing on its own, and the</w:t>
      </w:r>
      <w:r>
        <w:t xml:space="preserve"> </w:t>
      </w:r>
      <w:r>
        <w:t xml:space="preserve">caveats above apply to it exactly as they apply to a deck built here.</w:t>
      </w:r>
    </w:p>
    <w:p>
      <w:pPr>
        <w:pStyle w:val="BodyText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five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mlos_deck_slides.json</w:t>
      </w:r>
      <w:r>
        <w:t xml:space="preserve">, what the deck holds: every slide’s position, title,</w:t>
      </w:r>
      <w:r>
        <w:t xml:space="preserve"> </w:t>
      </w:r>
      <w:r>
        <w:t xml:space="preserve">layout, and which run it belongs to;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deck is never overwritten, and neither is the workbook or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list.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bookmarkEnd w:id="15"/>
    <w:bookmarkStart w:id="16" w:name="settings"/>
    <w:p>
      <w:pPr>
        <w:pStyle w:val="Heading3"/>
      </w:pPr>
      <w:r>
        <w:t xml:space="preserve">Settings</w:t>
      </w:r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tcPr/>
          <w:p>
            <w:pPr>
              <w:pStyle w:val="Compact"/>
            </w:pPr>
            <w:r>
              <w:t xml:space="preserve">all four, for the one decision salience currently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figures.ratio_log_scale</w:t>
            </w:r>
          </w:p>
        </w:tc>
        <w:tc>
          <w:tcPr/>
          <w:p>
            <w:pPr>
              <w:pStyle w:val="Compact"/>
            </w:pPr>
            <w:r>
              <w:t xml:space="preserve">yes, no</w:t>
            </w:r>
          </w:p>
        </w:tc>
        <w:tc>
          <w:tcPr/>
          <w:p>
            <w:pPr>
              <w:pStyle w:val="Compact"/>
            </w:pPr>
            <w:r>
              <w:t xml:space="preserve">yes; the log x axis on the two ratio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path to a one-slide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</w:p>
        </w:tc>
        <w:tc>
          <w:tcPr/>
          <w:p>
            <w:pPr>
              <w:pStyle w:val="Compact"/>
            </w:pPr>
            <w:r>
              <w:t xml:space="preserve">yes, on the slides that have room for it</w:t>
            </w:r>
          </w:p>
        </w:tc>
      </w:tr>
    </w:tbl>
    <w:p>
      <w:pPr>
        <w:pStyle w:val="BodyText"/>
      </w:pPr>
      <w:r>
        <w:t xml:space="preserve">A template is branding, not a layout: its slide carries artwork and nothing</w:t>
      </w:r>
      <w:r>
        <w:t xml:space="preserve"> </w:t>
      </w:r>
      <w:r>
        <w:t xml:space="preserve">else, and the renderer copies that artwork onto the slides it fits. The band</w:t>
      </w:r>
      <w:r>
        <w:t xml:space="preserve"> </w:t>
      </w:r>
      <w:r>
        <w:t xml:space="preserve">left free is measured from where the artwork sits, so a header, a footer strip</w:t>
      </w:r>
      <w:r>
        <w:t xml:space="preserve"> </w:t>
      </w:r>
      <w:r>
        <w:t xml:space="preserve">of logos or both are read as what they are. A slide carrying a figure is left</w:t>
      </w:r>
      <w:r>
        <w:t xml:space="preserve"> </w:t>
      </w:r>
      <w:r>
        <w:t xml:space="preserve">plain, the figures being opaque and sized to whatever the body leaves them, and</w:t>
      </w:r>
      <w:r>
        <w:t xml:space="preserve"> </w:t>
      </w:r>
      <w:r>
        <w:t xml:space="preserve">so is a slide whose content is taller than the band at any bullet size. On the</w:t>
      </w:r>
      <w:r>
        <w:t xml:space="preserve"> </w:t>
      </w:r>
      <w:r>
        <w:t xml:space="preserve">OC2 deck twenty-one of the fifty-two slides are branded: the closing findings,</w:t>
      </w:r>
      <w:r>
        <w:t xml:space="preserve"> </w:t>
      </w:r>
      <w:r>
        <w:t xml:space="preserve">the recommendations, the section openers, three of the four table slides, and</w:t>
      </w:r>
      <w:r>
        <w:t xml:space="preserve"> </w:t>
      </w:r>
      <w:r>
        <w:t xml:space="preserve">the educational slide that carries the observation-window diagram.</w:t>
      </w:r>
    </w:p>
    <w:p>
      <w:pPr>
        <w:pStyle w:val="BodyText"/>
      </w:pPr>
      <w:r>
        <w:t xml:space="preserve">A slide that does not fit at eighteen point is measured again at sixteen and at</w:t>
      </w:r>
      <w:r>
        <w:t xml:space="preserve"> </w:t>
      </w:r>
      <w:r>
        <w:t xml:space="preserve">fourteen, and takes the artwork at the largest size that fits. The alternative</w:t>
      </w:r>
      <w:r>
        <w:t xml:space="preserve"> </w:t>
      </w:r>
      <w:r>
        <w:t xml:space="preserve">is a slide that loses the branding its neighbours have over a quarter of an</w:t>
      </w:r>
      <w:r>
        <w:t xml:space="preserve"> </w:t>
      </w:r>
      <w:r>
        <w:t xml:space="preserve">inch. On OC2 one slide steps down.</w:t>
      </w:r>
    </w:p>
    <w:p>
      <w:pPr>
        <w:pStyle w:val="BodyText"/>
      </w:pPr>
      <w:r>
        <w:rPr>
          <w:rStyle w:val="VerbatimChar"/>
        </w:rPr>
        <w:t xml:space="preserve">Slide.schematic</w:t>
      </w:r>
      <w:r>
        <w:t xml:space="preserve"> </w:t>
      </w:r>
      <w:r>
        <w:t xml:space="preserve">is how the diagram slide qualifies at all. It says the</w:t>
      </w:r>
      <w:r>
        <w:t xml:space="preserve"> </w:t>
      </w:r>
      <w:r>
        <w:t xml:space="preserve">figures are drawn to be recognized rather than measured, so room taken from</w:t>
      </w:r>
      <w:r>
        <w:t xml:space="preserve"> </w:t>
      </w:r>
      <w:r>
        <w:t xml:space="preserve">them costs nothing; the rule that builds the slide sets it, since what a figure</w:t>
      </w:r>
      <w:r>
        <w:t xml:space="preserve"> </w:t>
      </w:r>
      <w:r>
        <w:t xml:space="preserve">is showing is the rule’s to say. It applies where the figure sits beside the</w:t>
      </w:r>
      <w:r>
        <w:t xml:space="preserve"> </w:t>
      </w:r>
      <w:r>
        <w:t xml:space="preserve">text rather than under it, which on the TITLE layout it does: what the figure</w:t>
      </w:r>
      <w:r>
        <w:t xml:space="preserve"> </w:t>
      </w:r>
      <w:r>
        <w:t xml:space="preserve">gives up is width it can spare, and under a list it would be giving up the</w:t>
      </w:r>
      <w:r>
        <w:t xml:space="preserve"> </w:t>
      </w:r>
      <w:r>
        <w:t xml:space="preserve">height it is read in. On OC2 the diagram goes from 6.17 by 4.16 inches to 6.11</w:t>
      </w:r>
      <w:r>
        <w:t xml:space="preserve"> </w:t>
      </w:r>
      <w:r>
        <w:t xml:space="preserve">by 4.12.</w:t>
      </w:r>
    </w:p>
    <w:p>
      <w:pPr>
        <w:pStyle w:val="BodyText"/>
      </w:pPr>
      <w:r>
        <w:t xml:space="preserve">The template sets the page’s color scheme and has to be the same page size,</w:t>
      </w:r>
      <w:r>
        <w:t xml:space="preserve"> </w:t>
      </w:r>
      <w:r>
        <w:t xml:space="preserve">13.333 by 7.5 inches. Type stays Calibri, which is what the column widths and</w:t>
      </w:r>
      <w:r>
        <w:t xml:space="preserve"> </w:t>
      </w:r>
      <w:r>
        <w:t xml:space="preserve">the page breaks are measured in; a wider face wraps a table header mid-word.</w:t>
      </w:r>
    </w:p>
    <w:p>
      <w:pPr>
        <w:pStyle w:val="BodyText"/>
      </w:pPr>
      <w:r>
        <w:rPr>
          <w:rStyle w:val="VerbatimChar"/>
        </w:rPr>
        <w:t xml:space="preserve">data/deck_example_template.pptx</w:t>
      </w:r>
      <w:r>
        <w:t xml:space="preserve"> </w:t>
      </w:r>
      <w:r>
        <w:t xml:space="preserve">is a working one, and the shape to copy: a</w:t>
      </w:r>
      <w:r>
        <w:t xml:space="preserve"> </w:t>
      </w:r>
      <w:r>
        <w:t xml:space="preserve">bar across the top, a bar across the foot, and a line of text inside each.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--template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data/deck_example_template.pptx</w:t>
      </w:r>
    </w:p>
    <w:p>
      <w:pPr>
        <w:pStyle w:val="FirstParagraph"/>
      </w:pPr>
      <w:r>
        <w:rPr>
          <w:b/>
          <w:bCs/>
        </w:rPr>
        <w:t xml:space="preserve">How deep the bars are is the decision that matters.</w:t>
      </w:r>
      <w:r>
        <w:t xml:space="preserve"> </w:t>
      </w:r>
      <w:r>
        <w:t xml:space="preserve">They set the band, and</w:t>
      </w:r>
      <w:r>
        <w:t xml:space="preserve"> </w:t>
      </w:r>
      <w:r>
        <w:t xml:space="preserve">the band decides how much of a deck can carry the branding. Measured as the</w:t>
      </w:r>
      <w:r>
        <w:t xml:space="preserve"> </w:t>
      </w:r>
      <w:r>
        <w:t xml:space="preserve">room left under a slide’s title: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branded, of the OC2 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plain slide</w:t>
            </w:r>
          </w:p>
        </w:tc>
        <w:tc>
          <w:tcPr/>
          <w:p>
            <w:pPr>
              <w:pStyle w:val="Compact"/>
            </w:pPr>
            <w:r>
              <w:t xml:space="preserve">5.90in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deck_example_template.pptx</w:t>
            </w:r>
            <w:r>
              <w:t xml:space="preserve">, bars of 0.8in and 0.7in</w:t>
            </w:r>
          </w:p>
        </w:tc>
        <w:tc>
          <w:tcPr/>
          <w:p>
            <w:pPr>
              <w:pStyle w:val="Compact"/>
            </w:pPr>
            <w:r>
              <w:t xml:space="preserve">4.90in</w:t>
            </w:r>
          </w:p>
        </w:tc>
        <w:tc>
          <w:tcPr/>
          <w:p>
            <w:pPr>
              <w:pStyle w:val="Compact"/>
            </w:pPr>
            <w:r>
              <w:t xml:space="preserve">18 of 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bars of about 1.3in each</w:t>
            </w:r>
          </w:p>
        </w:tc>
        <w:tc>
          <w:tcPr/>
          <w:p>
            <w:pPr>
              <w:pStyle w:val="Compact"/>
            </w:pPr>
            <w:r>
              <w:t xml:space="preserve">4.12in</w:t>
            </w:r>
          </w:p>
        </w:tc>
        <w:tc>
          <w:tcPr/>
          <w:p>
            <w:pPr>
              <w:pStyle w:val="Compact"/>
            </w:pPr>
            <w:r>
              <w:t xml:space="preserve">20 of 52</w:t>
            </w:r>
          </w:p>
        </w:tc>
      </w:tr>
    </w:tbl>
    <w:p>
      <w:pPr>
        <w:pStyle w:val="BodyText"/>
      </w:pPr>
      <w:r>
        <w:t xml:space="preserve">The three-table opening slide needs 4.71 inches and so brands under the first</w:t>
      </w:r>
      <w:r>
        <w:t xml:space="preserve"> </w:t>
      </w:r>
      <w:r>
        <w:t xml:space="preserve">and not the second, which is the kind of thing deepening a bar by half an inch</w:t>
      </w:r>
      <w:r>
        <w:t xml:space="preserve"> </w:t>
      </w:r>
      <w:r>
        <w:t xml:space="preserve">costs. Slide counts differ because the closing sections repaginate against the</w:t>
      </w:r>
      <w:r>
        <w:t xml:space="preserve"> </w:t>
      </w:r>
      <w:r>
        <w:t xml:space="preserve">band.</w:t>
      </w:r>
    </w:p>
    <w:p>
      <w:pPr>
        <w:pStyle w:val="BodyText"/>
      </w:pPr>
      <w:r>
        <w:rPr>
          <w:rStyle w:val="VerbatimChar"/>
        </w:rPr>
        <w:t xml:space="preserve">--template=FILE</w:t>
      </w:r>
      <w:r>
        <w:t xml:space="preserve"> </w:t>
      </w:r>
      <w:r>
        <w:t xml:space="preserve">overrides whatever the settings file says, and is how a</w:t>
      </w:r>
      <w:r>
        <w:t xml:space="preserve"> </w:t>
      </w:r>
      <w:r>
        <w:t xml:space="preserve">template that lives outside the repository is used without writing a machine’s</w:t>
      </w:r>
      <w:r>
        <w:t xml:space="preserve"> </w:t>
      </w:r>
      <w:r>
        <w:t xml:space="preserve">own paths into a tracked file. It is the setting most worth a flag: a template</w:t>
      </w:r>
      <w:r>
        <w:t xml:space="preserve"> </w:t>
      </w:r>
      <w:r>
        <w:t xml:space="preserve">belongs to the occasion rather than to the dataset, so the same analysis goes</w:t>
      </w:r>
      <w:r>
        <w:t xml:space="preserve"> </w:t>
      </w:r>
      <w:r>
        <w:t xml:space="preserve">branded to one audience and plain to another. Give the branded build its own</w:t>
      </w:r>
      <w:r>
        <w:t xml:space="preserve"> </w:t>
      </w:r>
      <w:r>
        <w:t xml:space="preserve">output name,</w:t>
      </w:r>
      <w:r>
        <w:t xml:space="preserve"> </w:t>
      </w:r>
      <w:r>
        <w:rPr>
          <w:rStyle w:val="VerbatimChar"/>
        </w:rPr>
        <w:t xml:space="preserve">reports/mlos_deck_with_template.pptx</w:t>
      </w:r>
      <w:r>
        <w:t xml:space="preserve"> </w:t>
      </w:r>
      <w:r>
        <w:t xml:space="preserve">say, and its workbook and</w:t>
      </w:r>
      <w:r>
        <w:t xml:space="preserve"> </w:t>
      </w:r>
      <w:r>
        <w:t xml:space="preserve">figures follow that name rather than displacing the plain deck’s.</w:t>
      </w:r>
    </w:p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On a dataset with one stratifier, an unstated stratifier 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“let the findings decide”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bookmarkEnd w:id="16"/>
    <w:bookmarkStart w:id="17" w:name="checking-a-deck-before-it-is-shown"/>
    <w:p>
      <w:pPr>
        <w:pStyle w:val="Heading3"/>
      </w:pPr>
      <w:r>
        <w:t xml:space="preserve">Checking a deck before it is shown</w:t>
      </w:r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to look next”</w:t>
      </w:r>
      <w:r>
        <w:rPr>
          <w:b/>
          <w:bCs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 A finding’s absence from a deck is not</w:t>
      </w:r>
      <w:r>
        <w:t xml:space="preserve"> </w:t>
      </w:r>
      <w:r>
        <w:t xml:space="preserve">evidence that it is absent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bookmarkEnd w:id="17"/>
    <w:bookmarkStart w:id="18" w:name="checking-that-the-wording-is-complete"/>
    <w:p>
      <w:pPr>
        <w:pStyle w:val="Heading3"/>
      </w:pPr>
      <w:r>
        <w:t xml:space="preserve">Checking that the wording is complete</w:t>
      </w:r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bookmarkEnd w:id="18"/>
    <w:bookmarkStart w:id="19" w:name="Xa56e11bfac74954f54e941af4d9aa717aa2b639"/>
    <w:p>
      <w:pPr>
        <w:pStyle w:val="Heading3"/>
      </w:pPr>
      <w:r>
        <w:t xml:space="preserve">Worked examples, and which run they come from</w:t>
      </w:r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  <w:bCs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“on OC1 and OC2”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“on either run”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Orange County data”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data/OC1_data.csv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data/OC1_settings.yaml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bookmarkEnd w:id="19"/>
    <w:bookmarkStart w:id="20" w:name="what-you-cannot-do-yet"/>
    <w:p>
      <w:pPr>
        <w:pStyle w:val="Heading3"/>
      </w:pPr>
      <w:r>
        <w:t xml:space="preserve">What you cannot do yet</w:t>
      </w:r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deck’s own slide sequence</w:t>
      </w:r>
      <w:r>
        <w:t xml:space="preserve"> </w:t>
      </w:r>
      <w:r>
        <w:t xml:space="preserve">is fixed in code rather than planned against a budget; a variant deck’s is</w:t>
      </w:r>
      <w:r>
        <w:t xml:space="preserve"> </w:t>
      </w:r>
      <w:r>
        <w:t xml:space="preserve">written out by hand, which is a plan stated rather than solved. There is no</w:t>
      </w:r>
      <w:r>
        <w:t xml:space="preserve"> </w:t>
      </w:r>
      <w:r>
        <w:t xml:space="preserve">text-centered 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the-deck-slide-by-slide"/>
    <w:p>
      <w:pPr>
        <w:pStyle w:val="Heading2"/>
      </w:pPr>
      <w:r>
        <w:t xml:space="preserve">The deck, slide by slide</w:t>
      </w:r>
    </w:p>
    <w:p>
      <w:pPr>
        <w:pStyle w:val="FirstParagraph"/>
      </w:pPr>
      <w:r>
        <w:rPr>
          <w:i/>
          <w:iCs/>
        </w:rPr>
        <w:t xml:space="preserve">For whoever receives a deck, or presents one. What each slide shows and</w:t>
      </w:r>
      <w:r>
        <w:rPr>
          <w:i/>
          <w:iCs/>
        </w:rPr>
        <w:t xml:space="preserve"> </w:t>
      </w:r>
      <w:r>
        <w:rPr>
          <w:i/>
          <w:iCs/>
        </w:rPr>
        <w:t xml:space="preserve">how to read it. Why a slide says what it says is under</w:t>
      </w:r>
      <w:r>
        <w:rPr>
          <w:i/>
          <w:iCs/>
        </w:rPr>
        <w:t xml:space="preserve"> </w:t>
      </w:r>
      <w:hyperlink w:anchor="what-the-deck-decides">
        <w:r>
          <w:rPr>
            <w:rStyle w:val="Hyperlink"/>
            <w:i/>
            <w:iCs/>
          </w:rPr>
          <w:t xml:space="preserve">What the deck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decides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  <w:bCs/>
        </w:rPr>
        <w:t xml:space="preserve">an average day or an average resident, not a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LOS, not a count taken on any particular date.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“today’s”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bookmarkStart w:id="22" w:name="the-two-opening-slides"/>
    <w:p>
      <w:pPr>
        <w:pStyle w:val="Heading3"/>
      </w:pPr>
      <w:r>
        <w:t xml:space="preserve">The two opening slides</w:t>
      </w:r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  <w:bCs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not a finding, it is the methodology every later number relies on. A slide of</w:t>
      </w:r>
      <w:r>
        <w:t xml:space="preserve"> </w:t>
      </w:r>
      <w:r>
        <w:rPr>
          <w:b/>
          <w:bCs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  <w:bCs/>
        </w:rPr>
        <w:t xml:space="preserve">Both opening slides close their notes with the</w:t>
      </w:r>
      <w:r>
        <w:rPr>
          <w:b/>
          <w:bCs/>
        </w:rPr>
        <w:t xml:space="preserve"> </w:t>
      </w:r>
      <w:hyperlink w:anchor="observation-gaps">
        <w:r>
          <w:rPr>
            <w:rStyle w:val="Hyperlink"/>
            <w:b/>
            <w:bCs/>
          </w:rPr>
          <w:t xml:space="preserve">observation-gap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pooled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bookmarkEnd w:id="22"/>
    <w:bookmarkStart w:id="23" w:name="length-of-stay-per-stratifier"/>
    <w:p>
      <w:pPr>
        <w:pStyle w:val="Heading3"/>
      </w:pPr>
      <w:r>
        <w:t xml:space="preserve">Length of stay, per stratifier</w:t>
      </w:r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“this group</w:t>
      </w:r>
      <w:r>
        <w:t xml:space="preserve"> </w:t>
      </w:r>
      <w:r>
        <w:t xml:space="preserve">stays longer”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bookmarkEnd w:id="23"/>
    <w:bookmarkStart w:id="24" w:name="what-the-residents-still-owe"/>
    <w:p>
      <w:pPr>
        <w:pStyle w:val="Heading3"/>
      </w:pPr>
      <w:r>
        <w:t xml:space="preserve">What the residents still owe</w:t>
      </w:r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  <w:bCs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  <w:bCs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  <w:bCs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bookmarkEnd w:id="24"/>
    <w:bookmarkStart w:id="25" w:name="the-three-workload-slides"/>
    <w:p>
      <w:pPr>
        <w:pStyle w:val="Heading3"/>
      </w:pPr>
      <w:r>
        <w:t xml:space="preserve">The three workload slides</w:t>
      </w:r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don’t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the current residents are committed to.</w:t>
      </w:r>
    </w:p>
    <w:p>
      <w:pPr>
        <w:pStyle w:val="BodyText"/>
      </w:pPr>
      <w:r>
        <w:rPr>
          <w:b/>
          <w:bCs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“LARGE holds 93% of the days owed”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don’t coexist to share a population.</w:t>
      </w:r>
    </w:p>
    <w:p>
      <w:pPr>
        <w:pStyle w:val="BodyText"/>
      </w:pPr>
      <w:r>
        <w:rPr>
          <w:b/>
          <w:bCs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  <w:iCs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  <w:bCs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  <w:bCs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the long stays of a busier past still in</w:t>
      </w:r>
      <w:r>
        <w:t xml:space="preserve"> </w:t>
      </w:r>
      <w:r>
        <w:t xml:space="preserve">the building; counted below, it was still filling up behind a rise.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The fitted side is</w:t>
      </w:r>
      <w:r>
        <w:t xml:space="preserve"> </w:t>
      </w:r>
      <w:r>
        <w:t xml:space="preserve">capped at the stay cap and the counted side is not.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  <w:bCs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what a resident still has to come is what it has already served plus</w:t>
      </w:r>
      <w:r>
        <w:t xml:space="preserve"> </w:t>
      </w:r>
      <w:r>
        <w:t xml:space="preserve">exactly one day, on every level, always. In a population at steady state, time</w:t>
      </w:r>
      <w:r>
        <w:t xml:space="preserve"> </w:t>
      </w:r>
      <w:r>
        <w:t xml:space="preserve">served and time still to come have the same distribution, and the extra day is</w:t>
      </w:r>
      <w:r>
        <w:t xml:space="preserve"> </w:t>
      </w:r>
      <w:r>
        <w:t xml:space="preserve">the day the animal is having. On the third slide, days owed minus animal-days</w:t>
      </w:r>
      <w:r>
        <w:t xml:space="preserve"> </w:t>
      </w:r>
      <w:r>
        <w:t xml:space="preserve">elapsed is the census, which is the same fact multiplied out.</w:t>
      </w:r>
    </w:p>
    <w:p>
      <w:pPr>
        <w:pStyle w:val="BodyText"/>
      </w:pPr>
      <w:r>
        <w:rPr>
          <w:b/>
          <w:bCs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  <w:bCs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“we are nearly done”</w:t>
      </w:r>
      <w:r>
        <w:t xml:space="preserve">.</w:t>
      </w:r>
    </w:p>
    <w:bookmarkEnd w:id="25"/>
    <w:bookmarkStart w:id="26" w:name="hazard-ratios-then-length-of-stay-ratios"/>
    <w:p>
      <w:pPr>
        <w:pStyle w:val="Heading3"/>
      </w:pPr>
      <w:r>
        <w:t xml:space="preserve">Hazard ratios, then length-of-stay ratios</w:t>
      </w:r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  <w:bCs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  <w:bCs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  <w:bCs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A robustness check these two slides replaced,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,</w:t>
      </w:r>
      <w:r>
        <w:t xml:space="preserve"> </w:t>
      </w:r>
      <w:r>
        <w:t xml:space="preserve">is still built, and is kept after the closing sections, behind a page</w:t>
      </w:r>
      <w:r>
        <w:t xml:space="preserve"> </w:t>
      </w:r>
      <w:r>
        <w:t xml:space="preserve">separating it from the presentation. Nothing there is gathered into the</w:t>
      </w:r>
      <w:r>
        <w:t xml:space="preserve"> </w:t>
      </w:r>
      <w:r>
        <w:t xml:space="preserve">closing sections.</w:t>
      </w:r>
    </w:p>
    <w:bookmarkEnd w:id="26"/>
    <w:bookmarkStart w:id="27" w:name="the-competing-risks-run"/>
    <w:p>
      <w:pPr>
        <w:pStyle w:val="Heading3"/>
      </w:pPr>
      <w:r>
        <w:t xml:space="preserve">The competing-risks run</w:t>
      </w:r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two whole-sample</w:t>
      </w:r>
      <w:r>
        <w:t xml:space="preserve"> </w:t>
      </w:r>
      <w:r>
        <w:t xml:space="preserve">slides,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rPr>
          <w:b/>
          <w:bCs/>
        </w:rPr>
        <w:t xml:space="preserve">The second whole-sample slide turns the question on the animals in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building.</w:t>
      </w:r>
      <w:r>
        <w:t xml:space="preserve"> </w:t>
      </w:r>
      <w:r>
        <w:t xml:space="preserve">Where the teaser is about stays from intake, this one is about</w:t>
      </w:r>
      <w:r>
        <w:t xml:space="preserve"> </w:t>
      </w:r>
      <w:r>
        <w:t xml:space="preserve">residents: how much longer an animal of a given tenure has to go, and which</w:t>
      </w:r>
      <w:r>
        <w:t xml:space="preserve"> </w:t>
      </w:r>
      <w:r>
        <w:t xml:space="preserve">way it is going to leave. Its figures are the two curves it is read off,</w:t>
      </w:r>
      <w:r>
        <w:t xml:space="preserve"> </w:t>
      </w:r>
      <w:r>
        <w:t xml:space="preserve">remaining stay and the conditional outcome mix, both against tenure. Its table</w:t>
      </w:r>
      <w:r>
        <w:t xml:space="preserve"> </w:t>
      </w:r>
      <w:r>
        <w:t xml:space="preserve">is a row per resident tenure, median, mean and P90, each with the remaining</w:t>
      </w:r>
      <w:r>
        <w:t xml:space="preserve"> </w:t>
      </w:r>
      <w:r>
        <w:t xml:space="preserve">stay and the outcome mix at that tenure. Every outcome column is conditional on</w:t>
      </w:r>
      <w:r>
        <w:t xml:space="preserve"> </w:t>
      </w:r>
      <w:r>
        <w:t xml:space="preserve">having reached the tenure, and</w:t>
      </w:r>
      <w:r>
        <w:t xml:space="preserve"> </w:t>
      </w:r>
      <w:r>
        <w:rPr>
          <w:rStyle w:val="VerbatimChar"/>
        </w:rPr>
        <w:t xml:space="preserve">at cap</w:t>
      </w:r>
      <w:r>
        <w:t xml:space="preserve"> </w:t>
      </w:r>
      <w:r>
        <w:t xml:space="preserve">closes the row with the share still in</w:t>
      </w:r>
      <w:r>
        <w:t xml:space="preserve"> </w:t>
      </w:r>
      <w:r>
        <w:t xml:space="preserve">care when the analysis window ends. The mix comes from the bundle rather than</w:t>
      </w:r>
      <w:r>
        <w:t xml:space="preserve"> </w:t>
      </w:r>
      <w:r>
        <w:t xml:space="preserve">off the figure’s grid, so a number and the line a reader would draw at that</w:t>
      </w:r>
      <w:r>
        <w:t xml:space="preserve"> </w:t>
      </w:r>
      <w:r>
        <w:t xml:space="preserve">tenure name the same day.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chosen by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.</w:t>
      </w:r>
      <w:r>
        <w:t xml:space="preserve"> </w:t>
      </w:r>
      <w:r>
        <w:rPr>
          <w:b/>
          <w:bCs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  <w:bCs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bookmarkEnd w:id="27"/>
    <w:bookmarkStart w:id="28" w:name="closing-sections"/>
    <w:p>
      <w:pPr>
        <w:pStyle w:val="Heading3"/>
      </w:pPr>
      <w:r>
        <w:t xml:space="preserve">Closing sections</w:t>
      </w:r>
    </w:p>
    <w:p>
      <w:pPr>
        <w:pStyle w:val="FirstParagraph"/>
      </w:pPr>
      <w:r>
        <w:rPr>
          <w:b/>
          <w:bCs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  <w:bCs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twenty-nine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bookmarkEnd w:id="28"/>
    <w:bookmarkStart w:id="29" w:name="educational"/>
    <w:p>
      <w:pPr>
        <w:pStyle w:val="Heading3"/>
      </w:pPr>
      <w:r>
        <w:t xml:space="preserve">Educational</w:t>
      </w:r>
    </w:p>
    <w:p>
      <w:pPr>
        <w:pStyle w:val="FirstParagraph"/>
      </w:pPr>
      <w:r>
        <w:rPr>
          <w:b/>
          <w:bCs/>
        </w:rPr>
        <w:t xml:space="preserve">One section sits behind everything else</w:t>
      </w:r>
      <w:r>
        <w:t xml:space="preserve">, including the robustness check,</w:t>
      </w:r>
      <w:r>
        <w:t xml:space="preserve"> </w:t>
      </w:r>
      <w:r>
        <w:t xml:space="preserve">and teaches a way of reading rather than reporting a result. Its divider says</w:t>
      </w:r>
      <w:r>
        <w:t xml:space="preserve"> </w:t>
      </w:r>
      <w:r>
        <w:rPr>
          <w:rStyle w:val="VerbatimChar"/>
        </w:rPr>
        <w:t xml:space="preserve">Extra: educational</w:t>
      </w:r>
      <w:r>
        <w:t xml:space="preserve">, the way the robustness divider says</w:t>
      </w:r>
      <w:r>
        <w:t xml:space="preserve"> </w:t>
      </w:r>
      <w:r>
        <w:rPr>
          <w:rStyle w:val="VerbatimChar"/>
        </w:rPr>
        <w:t xml:space="preserve">Extra:</w:t>
      </w:r>
      <w:r>
        <w:t xml:space="preserve">, because to</w:t>
      </w:r>
      <w:r>
        <w:t xml:space="preserve"> </w:t>
      </w:r>
      <w:r>
        <w:t xml:space="preserve">a presenter the two are the same kind of thing: reached when a question from</w:t>
      </w:r>
      <w:r>
        <w:t xml:space="preserve"> </w:t>
      </w:r>
      <w:r>
        <w:t xml:space="preserve">the floor asks for them, and not walked through otherwise.</w:t>
      </w:r>
    </w:p>
    <w:p>
      <w:pPr>
        <w:pStyle w:val="BodyText"/>
      </w:pPr>
      <w:r>
        <w:t xml:space="preserve">The section stays in the deck rather than moving into a variant. What is here</w:t>
      </w:r>
      <w:r>
        <w:t xml:space="preserve"> </w:t>
      </w:r>
      <w:r>
        <w:t xml:space="preserve">is what every deck should carry, and it is also the pool a variant borrows</w:t>
      </w:r>
      <w:r>
        <w:t xml:space="preserve"> </w:t>
      </w:r>
      <w:r>
        <w:t xml:space="preserve">from: an outline that wants the opening diagram inserts it by name.</w:t>
      </w:r>
    </w:p>
    <w:p>
      <w:pPr>
        <w:pStyle w:val="BodyText"/>
      </w:pPr>
      <w:r>
        <w:rPr>
          <w:b/>
          <w:bCs/>
        </w:rPr>
        <w:t xml:space="preserve">An educational slide carries no findings and no recommendations.</w:t>
      </w:r>
      <w:r>
        <w:t xml:space="preserve"> </w:t>
      </w:r>
      <w:r>
        <w:t xml:space="preserve">The</w:t>
      </w:r>
      <w:r>
        <w:t xml:space="preserve"> </w:t>
      </w:r>
      <w:r>
        <w:t xml:space="preserve">section drops both from every slide it builds rather than asking each rule to</w:t>
      </w:r>
      <w:r>
        <w:t xml:space="preserve"> </w:t>
      </w:r>
      <w:r>
        <w:t xml:space="preserve">remember, so a rule added later cannot leak a sentence about method into a</w:t>
      </w:r>
      <w:r>
        <w:t xml:space="preserve"> </w:t>
      </w:r>
      <w:r>
        <w:t xml:space="preserve">summary of sentences about the shelter.</w:t>
      </w:r>
    </w:p>
    <w:p>
      <w:pPr>
        <w:pStyle w:val="BodyText"/>
      </w:pPr>
      <w:r>
        <w:t xml:space="preserve">Three slides today, in this order.</w:t>
      </w:r>
    </w:p>
    <w:p>
      <w:pPr>
        <w:pStyle w:val="BodyText"/>
      </w:pPr>
      <w:r>
        <w:rPr>
          <w:b/>
          <w:bCs/>
        </w:rPr>
        <w:t xml:space="preserve">Looking at Length of Stay (LOS)</w:t>
      </w:r>
      <w:r>
        <w:t xml:space="preserve"> </w:t>
      </w:r>
      <w:r>
        <w:t xml:space="preserve">is an alternate opening. It asks how a</w:t>
      </w:r>
      <w:r>
        <w:t xml:space="preserve"> </w:t>
      </w:r>
      <w:r>
        <w:t xml:space="preserve">period’s length of stay is computed at all, and carries the title slide’s own</w:t>
      </w:r>
      <w:r>
        <w:t xml:space="preserve"> </w:t>
      </w:r>
      <w:r>
        <w:t xml:space="preserve">truncation diagram, because the answer is that a period sees whole stays and</w:t>
      </w:r>
      <w:r>
        <w:t xml:space="preserve"> </w:t>
      </w:r>
      <w:r>
        <w:t xml:space="preserve">also parts of stays that began before it or end after it. It cites the method</w:t>
      </w:r>
      <w:r>
        <w:t xml:space="preserve"> </w:t>
      </w:r>
      <w:r>
        <w:t xml:space="preserve">paper and the software release, and it is left deliberately unfilled: a figure</w:t>
      </w:r>
      <w:r>
        <w:t xml:space="preserve"> </w:t>
      </w:r>
      <w:r>
        <w:t xml:space="preserve">drawn from the data can take the space later. Always built.</w:t>
      </w:r>
    </w:p>
    <w:p>
      <w:pPr>
        <w:pStyle w:val="BodyText"/>
      </w:pPr>
      <w:r>
        <w:rPr>
          <w:b/>
          <w:bCs/>
        </w:rPr>
        <w:t xml:space="preserve">Working with Metrics: Just numbers, no plots</w:t>
      </w:r>
      <w:r>
        <w:t xml:space="preserve"> </w:t>
      </w:r>
      <w:r>
        <w:t xml:space="preserve">carries the two whole-sample</w:t>
      </w:r>
      <w:r>
        <w:t xml:space="preserve"> </w:t>
      </w:r>
      <w:r>
        <w:t xml:space="preserve">tables and nothing drawn, on the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layout. Above them is the identity an</w:t>
      </w:r>
      <w:r>
        <w:t xml:space="preserve"> </w:t>
      </w:r>
      <w:r>
        <w:t xml:space="preserve">audience can check by hand, mean stay times daily arrivals against the census,</w:t>
      </w:r>
      <w:r>
        <w:t xml:space="preserve"> </w:t>
      </w:r>
      <w:r>
        <w:t xml:space="preserve">which is why that table carries the arrival rate and the census as well as the</w:t>
      </w:r>
      <w:r>
        <w:t xml:space="preserve"> </w:t>
      </w:r>
      <w:r>
        <w:t xml:space="preserve">stay. Below them is where to go next. Built wherever both tables exist.</w:t>
      </w:r>
    </w:p>
    <w:p>
      <w:pPr>
        <w:pStyle w:val="BodyText"/>
      </w:pPr>
      <w:r>
        <w:rPr>
          <w:b/>
          <w:bCs/>
        </w:rPr>
        <w:t xml:space="preserve">Working with Probabilities in Time Intervals</w:t>
      </w:r>
      <w:r>
        <w:t xml:space="preserve"> </w:t>
      </w:r>
      <w:r>
        <w:t xml:space="preserve">puts the two interval stacks</w:t>
      </w:r>
      <w:r>
        <w:t xml:space="preserve"> </w:t>
      </w:r>
      <w:r>
        <w:t xml:space="preserve">side by side, and carries no table: the numbers are read on the slide before</w:t>
      </w:r>
      <w:r>
        <w:t xml:space="preserve"> </w:t>
      </w:r>
      <w:r>
        <w:t xml:space="preserve">it and the picture on this one, so neither page asks for both at once. Its</w:t>
      </w:r>
      <w:r>
        <w:t xml:space="preserve"> </w:t>
      </w:r>
      <w:r>
        <w:t xml:space="preserve">figures need</w:t>
      </w:r>
      <w:r>
        <w:t xml:space="preserve"> </w:t>
      </w:r>
      <w:r>
        <w:rPr>
          <w:rStyle w:val="VerbatimChar"/>
        </w:rPr>
        <w:t xml:space="preserve">probability_mass_width</w:t>
      </w:r>
      <w:r>
        <w:t xml:space="preserve"> </w:t>
      </w:r>
      <w:r>
        <w:t xml:space="preserve">set in the analysis settings; without it</w:t>
      </w:r>
      <w:r>
        <w:t xml:space="preserve"> </w:t>
      </w:r>
      <w:r>
        <w:t xml:space="preserve">the slide is absent and the metrics slide closes the section.</w:t>
      </w:r>
    </w:p>
    <w:p>
      <w:pPr>
        <w:pStyle w:val="BodyText"/>
      </w:pPr>
      <w:r>
        <w:t xml:space="preserve">A bullet may sit one level in, which is what the opener’s sub-lists use. Deeper</w:t>
      </w:r>
      <w:r>
        <w:t xml:space="preserve"> </w:t>
      </w:r>
      <w:r>
        <w:t xml:space="preserve">than one level is a document rather than a slide.</w:t>
      </w:r>
    </w:p>
    <w:bookmarkEnd w:id="29"/>
    <w:bookmarkStart w:id="30" w:name="variant-decks"/>
    <w:p>
      <w:pPr>
        <w:pStyle w:val="Heading3"/>
      </w:pPr>
      <w:r>
        <w:t xml:space="preserve">Variant decks</w:t>
      </w:r>
    </w:p>
    <w:p>
      <w:pPr>
        <w:pStyle w:val="FirstParagraph"/>
      </w:pPr>
      <w:r>
        <w:t xml:space="preserve">A variant is a second deck, written as an outline: plain text slides typed by</w:t>
      </w:r>
      <w:r>
        <w:t xml:space="preserve"> </w:t>
      </w:r>
      <w:r>
        <w:t xml:space="preserve">hand, plus slides the deck already builds, borrowed as they are. It is what a</w:t>
      </w:r>
      <w:r>
        <w:t xml:space="preserve"> </w:t>
      </w:r>
      <w:r>
        <w:t xml:space="preserve">room asks for that the deck does not, a teaching section or a short version,</w:t>
      </w:r>
      <w:r>
        <w:t xml:space="preserve"> </w:t>
      </w:r>
      <w:r>
        <w:t xml:space="preserve">and it is the first piece of the deck plan below in its simplest form, a plan</w:t>
      </w:r>
      <w:r>
        <w:t xml:space="preserve"> </w:t>
      </w:r>
      <w:r>
        <w:t xml:space="preserve">written out rather than solved against a budget.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data/educational.md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results</w:t>
      </w:r>
    </w:p>
    <w:p>
      <w:pPr>
        <w:pStyle w:val="FirstParagraph"/>
      </w:pPr>
      <w:r>
        <w:t xml:space="preserve">The first writes</w:t>
      </w:r>
      <w:r>
        <w:t xml:space="preserve"> </w:t>
      </w:r>
      <w:r>
        <w:rPr>
          <w:rStyle w:val="VerbatimChar"/>
        </w:rPr>
        <w:t xml:space="preserve">reports/educational.pptx</w:t>
      </w:r>
      <w:r>
        <w:t xml:space="preserve"> </w:t>
      </w:r>
      <w:r>
        <w:t xml:space="preserve">and its figures, named after the</w:t>
      </w:r>
      <w:r>
        <w:t xml:space="preserve"> </w:t>
      </w:r>
      <w:r>
        <w:t xml:space="preserve">outline so two variants cannot collide and neither displaces the deck. The</w:t>
      </w:r>
      <w:r>
        <w:t xml:space="preserve"> </w:t>
      </w:r>
      <w:r>
        <w:t xml:space="preserve">second prints every title an outline may borrow.</w:t>
      </w:r>
      <w:r>
        <w:t xml:space="preserve"> </w:t>
      </w:r>
      <w:r>
        <w:rPr>
          <w:rStyle w:val="VerbatimChar"/>
        </w:rPr>
        <w:t xml:space="preserve">--settings=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--template=</w:t>
      </w:r>
      <w:r>
        <w:t xml:space="preserve"> </w:t>
      </w:r>
      <w:r>
        <w:t xml:space="preserve">mean what they mean for the deck. No workbook is written:</w:t>
      </w:r>
      <w:r>
        <w:t xml:space="preserve"> </w:t>
      </w:r>
      <w:r>
        <w:rPr>
          <w:rStyle w:val="VerbatimChar"/>
        </w:rPr>
        <w:t xml:space="preserve">workbook.sheets</w:t>
      </w:r>
      <w:r>
        <w:t xml:space="preserve"> </w:t>
      </w:r>
      <w:r>
        <w:t xml:space="preserve">reads the bundle rather than the slides, so a variant’s would be the deck’s</w:t>
      </w:r>
      <w:r>
        <w:t xml:space="preserve"> </w:t>
      </w:r>
      <w:r>
        <w:t xml:space="preserve">under another name.</w:t>
      </w:r>
    </w:p>
    <w:p>
      <w:pPr>
        <w:pStyle w:val="BodyText"/>
      </w:pPr>
      <w:r>
        <w:t xml:space="preserve">Two outlines ship with the repository.</w:t>
      </w:r>
      <w:r>
        <w:t xml:space="preserve"> </w:t>
      </w:r>
      <w:r>
        <w:rPr>
          <w:rStyle w:val="VerbatimChar"/>
        </w:rPr>
        <w:t xml:space="preserve">data/educational.md</w:t>
      </w:r>
      <w:r>
        <w:t xml:space="preserve"> </w:t>
      </w:r>
      <w:r>
        <w:t xml:space="preserve">is written to be</w:t>
      </w:r>
      <w:r>
        <w:t xml:space="preserve"> </w:t>
      </w:r>
      <w:r>
        <w:t xml:space="preserve">presented: a path from what shelters already do towards what mLOS adds.</w:t>
      </w:r>
      <w:r>
        <w:t xml:space="preserve"> </w:t>
      </w:r>
      <w:r>
        <w:rPr>
          <w:rStyle w:val="VerbatimChar"/>
        </w:rPr>
        <w:t xml:space="preserve">data/extended_variant_features.md</w:t>
      </w:r>
      <w:r>
        <w:t xml:space="preserve"> </w:t>
      </w:r>
      <w:r>
        <w:t xml:space="preserve">is written to be read beside this section,</w:t>
      </w:r>
      <w:r>
        <w:t xml:space="preserve"> </w:t>
      </w:r>
      <w:r>
        <w:t xml:space="preserve">and exercises every part of the format on the slides that use it, including the</w:t>
      </w:r>
      <w:r>
        <w:t xml:space="preserve"> </w:t>
      </w:r>
      <w:r>
        <w:t xml:space="preserve">ones a presentation would not want: a stub, a borrowed run of continuation</w:t>
      </w:r>
      <w:r>
        <w:t xml:space="preserve"> </w:t>
      </w:r>
      <w:r>
        <w:t xml:space="preserve">pages, and a page long enough to break in two.</w:t>
      </w:r>
    </w:p>
    <w:p>
      <w:pPr>
        <w:pStyle w:val="BodyText"/>
      </w:pPr>
      <w:r>
        <w:t xml:space="preserve">The outline is markdown a reader can preview:</w:t>
      </w:r>
    </w:p>
    <w:p>
      <w:pPr>
        <w:pStyle w:val="SourceCode"/>
      </w:pPr>
      <w:r>
        <w:rPr>
          <w:rStyle w:val="FunctionTok"/>
        </w:rPr>
        <w:t xml:space="preserve"># Educational {divider}</w:t>
      </w:r>
      <w:r>
        <w:br/>
      </w:r>
      <w:r>
        <w:br/>
      </w:r>
      <w:r>
        <w:rPr>
          <w:rStyle w:val="NormalTok"/>
        </w:rPr>
        <w:t xml:space="preserve">Not part of the presentation.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How to read what the analysis draws</w:t>
      </w:r>
      <w:r>
        <w:br/>
      </w:r>
      <w:r>
        <w:br/>
      </w:r>
      <w:r>
        <w:rPr>
          <w:rStyle w:val="AttributeTok"/>
        </w:rPr>
        <w:t xml:space="preserve">&gt; A paragraph of speaker notes.</w:t>
      </w:r>
      <w:r>
        <w:br/>
      </w:r>
      <w:r>
        <w:br/>
      </w:r>
      <w:r>
        <w:rPr>
          <w:rStyle w:val="NormalTok"/>
        </w:rPr>
        <w:t xml:space="preserve">@insert Looking at Length of Stay (LOS)</w:t>
      </w:r>
      <w:r>
        <w:br/>
      </w:r>
      <w:r>
        <w:br/>
      </w:r>
      <w:r>
        <w:rPr>
          <w:rStyle w:val="FunctionTok"/>
        </w:rPr>
        <w:t xml:space="preserve"># What a survival curve is reading</w:t>
      </w:r>
      <w:r>
        <w:br/>
      </w:r>
      <w:r>
        <w:rPr>
          <w:rStyle w:val="FunctionTok"/>
        </w:rPr>
        <w:t xml:space="preserve">## The height is a share, not a count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Every step down is a day on which somebody left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How far it steps is what share of those still here left that day</w:t>
      </w:r>
      <w:r>
        <w:br/>
      </w:r>
      <w:r>
        <w:br/>
      </w:r>
      <w:r>
        <w:rPr>
          <w:rStyle w:val="NormalTok"/>
        </w:rPr>
        <w:t xml:space="preserve">Which is what the next slide is about.</w:t>
      </w:r>
      <w:r>
        <w:br/>
      </w:r>
      <w:r>
        <w:br/>
      </w:r>
      <w:r>
        <w:rPr>
          <w:rStyle w:val="NormalTok"/>
        </w:rPr>
        <w:t xml:space="preserve">@stub Left truncation, worked   </w:t>
      </w:r>
      <w:r>
        <w:rPr>
          <w:rStyle w:val="CommentTok"/>
        </w:rPr>
        <w:t xml:space="preserve">&lt;!-- somebody has to draw this --&gt;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One animal, admitted before the period opened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What the period knows about it, and what it does not</w:t>
      </w:r>
      <w:r>
        <w:br/>
      </w:r>
      <w:r>
        <w:br/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# Switched off while a shorter version is tried</w:t>
      </w:r>
      <w:r>
        <w:br/>
      </w:r>
      <w:r>
        <w:rPr>
          <w:rStyle w:val="CommentTok"/>
        </w:rPr>
        <w:t xml:space="preserve">- this slide and its bullets are not built</w:t>
      </w:r>
      <w:r>
        <w:br/>
      </w:r>
      <w:r>
        <w:rPr>
          <w:rStyle w:val="CommentTok"/>
        </w:rPr>
        <w:t xml:space="preserve">--&gt;</w:t>
      </w:r>
    </w:p>
    <w:p>
      <w:pPr>
        <w:pStyle w:val="FirstParagraph"/>
      </w:pPr>
      <w:r>
        <w:rPr>
          <w:rStyle w:val="VerbatimChar"/>
        </w:rPr>
        <w:t xml:space="preserve">#</w:t>
      </w:r>
      <w:r>
        <w:t xml:space="preserve"> </w:t>
      </w:r>
      <w:r>
        <w:t xml:space="preserve">opens a slide.</w:t>
      </w:r>
      <w:r>
        <w:t xml:space="preserve"> </w:t>
      </w:r>
      <w:r>
        <w:rPr>
          <w:rStyle w:val="VerbatimChar"/>
        </w:rPr>
        <w:t xml:space="preserve">{divider}</w:t>
      </w:r>
      <w:r>
        <w:t xml:space="preserve"> </w:t>
      </w:r>
      <w:r>
        <w:t xml:space="preserve">is the only property today, and an unrecognized</w:t>
      </w:r>
      <w:r>
        <w:t xml:space="preserve"> </w:t>
      </w:r>
      <w:r>
        <w:t xml:space="preserve">one is refused by name for the settings file’s reason. Bullets take two levels:</w:t>
      </w:r>
      <w:r>
        <w:t xml:space="preserve"> </w:t>
      </w:r>
      <w:r>
        <w:t xml:space="preserve">no indent, and any indent up to one tab.</w:t>
      </w:r>
    </w:p>
    <w:p>
      <w:pPr>
        <w:pStyle w:val="BodyText"/>
      </w:pPr>
      <w:r>
        <w:rPr>
          <w:b/>
          <w:bCs/>
        </w:rPr>
        <w:t xml:space="preserve">A paragraph is a standing line, and which side of the bullets it sits on says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one.</w:t>
      </w:r>
      <w:r>
        <w:t xml:space="preserve"> </w:t>
      </w:r>
      <w:r>
        <w:t xml:space="preserve">Above them it is the slide’s lead, the qualification everything</w:t>
      </w:r>
      <w:r>
        <w:t xml:space="preserve"> </w:t>
      </w:r>
      <w:r>
        <w:t xml:space="preserve">below is read under, and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sets the same thing. Below them it is the line</w:t>
      </w:r>
      <w:r>
        <w:t xml:space="preserve"> </w:t>
      </w:r>
      <w:r>
        <w:t xml:space="preserve">the slide closes on: what it concludes, or what it hands to the slide after it.</w:t>
      </w:r>
      <w:r>
        <w:t xml:space="preserve"> </w:t>
      </w:r>
      <w:r>
        <w:t xml:space="preserve">Both are set at bullet size in italic, so neither reads as an item of the list,</w:t>
      </w:r>
      <w:r>
        <w:t xml:space="preserve"> </w:t>
      </w:r>
      <w:r>
        <w:t xml:space="preserve">and both are placed by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rather than by a layout, so they cost the same</w:t>
      </w:r>
      <w:r>
        <w:t xml:space="preserve"> </w:t>
      </w:r>
      <w:r>
        <w:t xml:space="preserve">on every kind of slide. The closing line sits above a footnote where a slide</w:t>
      </w:r>
      <w:r>
        <w:t xml:space="preserve"> </w:t>
      </w:r>
      <w:r>
        <w:t xml:space="preserve">has one, provenance not being a conclusion. Two paragraphs on the same side of</w:t>
      </w:r>
      <w:r>
        <w:t xml:space="preserve"> </w:t>
      </w:r>
      <w:r>
        <w:t xml:space="preserve">the bullets is refused, naming both lines: each is one string the renderer</w:t>
      </w:r>
      <w:r>
        <w:t xml:space="preserve"> </w:t>
      </w:r>
      <w:r>
        <w:t xml:space="preserve">sizes, and running two together makes a slide that overflows rather than one</w:t>
      </w:r>
      <w:r>
        <w:t xml:space="preserve"> </w:t>
      </w:r>
      <w:r>
        <w:t xml:space="preserve">that says more.</w:t>
      </w:r>
    </w:p>
    <w:p>
      <w:pPr>
        <w:pStyle w:val="BodyText"/>
      </w:pPr>
      <w:r>
        <w:rPr>
          <w:rStyle w:val="VerbatimChar"/>
        </w:rPr>
        <w:t xml:space="preserve">@insert</w:t>
      </w:r>
      <w:r>
        <w:t xml:space="preserve"> </w:t>
      </w:r>
      <w:r>
        <w:t xml:space="preserve">borrows a slide by its exact title and brings its continuation pages</w:t>
      </w:r>
      <w:r>
        <w:t xml:space="preserve"> </w:t>
      </w:r>
      <w:r>
        <w:t xml:space="preserve">with it, which is why the Findings section is named through its head and not</w:t>
      </w:r>
      <w:r>
        <w:t xml:space="preserve"> </w:t>
      </w:r>
      <w:r>
        <w:t xml:space="preserve">page by page.</w:t>
      </w:r>
    </w:p>
    <w:p>
      <w:pPr>
        <w:pStyle w:val="BodyText"/>
      </w:pPr>
      <w:r>
        <w:rPr>
          <w:b/>
          <w:bCs/>
        </w:rPr>
        <w:t xml:space="preserve">An outline may annotate a slide it borrows, not alter it.</w:t>
      </w:r>
      <w:r>
        <w:t xml:space="preserve"> </w:t>
      </w:r>
      <w:r>
        <w:t xml:space="preserve">Speaker notes</w:t>
      </w:r>
      <w:r>
        <w:t xml:space="preserve"> </w:t>
      </w:r>
      <w:r>
        <w:t xml:space="preserve">written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 </w:t>
      </w:r>
      <w:r>
        <w:t xml:space="preserve">go in front of the slide’s own, each marked with 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so a presenter reading from a lectern can see which paragraphs came from</w:t>
      </w:r>
      <w:r>
        <w:t xml:space="preserve"> </w:t>
      </w:r>
      <w:r>
        <w:t xml:space="preserve">the outline and which the deck wrote. On a borrowed run they head the first</w:t>
      </w:r>
      <w:r>
        <w:t xml:space="preserve"> </w:t>
      </w:r>
      <w:r>
        <w:t xml:space="preserve">page only: a remark about why the section is here is read on arrival, not</w:t>
      </w:r>
      <w:r>
        <w:t xml:space="preserve"> </w:t>
      </w:r>
      <w:r>
        <w:t xml:space="preserve">again on every continuation page. Anything else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, a bullet</w:t>
      </w:r>
      <w:r>
        <w:t xml:space="preserve"> </w:t>
      </w:r>
      <w:r>
        <w:t xml:space="preserve">or a subheading, is refused rather than lost, because it would have to displace</w:t>
      </w:r>
      <w:r>
        <w:t xml:space="preserve"> </w:t>
      </w:r>
      <w:r>
        <w:t xml:space="preserve">something the deck put on the page. That line is what keeps an outline a plan</w:t>
      </w:r>
      <w:r>
        <w:t xml:space="preserve"> </w:t>
      </w:r>
      <w:r>
        <w:t xml:space="preserve">rather than a program.</w:t>
      </w:r>
    </w:p>
    <w:p>
      <w:pPr>
        <w:pStyle w:val="BodyText"/>
      </w:pPr>
      <w:r>
        <w:rPr>
          <w:rStyle w:val="VerbatimChar"/>
        </w:rPr>
        <w:t xml:space="preserve">@stub</w:t>
      </w:r>
      <w:r>
        <w:t xml:space="preserve"> </w:t>
      </w:r>
      <w:r>
        <w:t xml:space="preserve">holds a gap open for a slide nobody has written, and takes the same</w:t>
      </w:r>
      <w:r>
        <w:t xml:space="preserve"> </w:t>
      </w:r>
      <w:r>
        <w:t xml:space="preserve">body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slide takes, which is where the note saying what the missing slide</w:t>
      </w:r>
      <w:r>
        <w:t xml:space="preserve"> </w:t>
      </w:r>
      <w:r>
        <w:t xml:space="preserve">is about belongs. Its own title is set at the divider’s size and wants to stay</w:t>
      </w:r>
      <w:r>
        <w:t xml:space="preserve"> </w:t>
      </w:r>
      <w:r>
        <w:t xml:space="preserve">short. Every stub left in a deck is warned about at build time, and so is any</w:t>
      </w:r>
      <w:r>
        <w:t xml:space="preserve"> </w:t>
      </w:r>
      <w:r>
        <w:t xml:space="preserve">title long enough to wrap: a title box grows down over the body rather than</w:t>
      </w:r>
      <w:r>
        <w:t xml:space="preserve"> </w:t>
      </w:r>
      <w:r>
        <w:t xml:space="preserve">shrinking its type, and the writer is the only one who can shorten the words.</w:t>
      </w:r>
    </w:p>
    <w:p>
      <w:pPr>
        <w:pStyle w:val="BodyText"/>
      </w:pPr>
      <w:r>
        <w:rPr>
          <w:b/>
          <w:bCs/>
        </w:rPr>
        <w:t xml:space="preserve">Borrowed slides are built again, not copied out of the deck file.</w:t>
      </w:r>
      <w:r>
        <w:t xml:space="preserve"> </w:t>
      </w:r>
      <w:r>
        <w:t xml:space="preserve">A slide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has its numbers formatted into strings and its geometry fixed at</w:t>
      </w:r>
      <w:r>
        <w:t xml:space="preserve"> </w:t>
      </w:r>
      <w:r>
        <w:t xml:space="preserve">the page it was laid out for, so a copied one could not be set into a</w:t>
      </w:r>
      <w:r>
        <w:t xml:space="preserve"> </w:t>
      </w:r>
      <w:r>
        <w:t xml:space="preserve">template’s band or rendered at any other size. What guards against the two</w:t>
      </w:r>
      <w:r>
        <w:t xml:space="preserve"> </w:t>
      </w:r>
      <w:r>
        <w:t xml:space="preserve">builds disagreeing is</w:t>
      </w:r>
      <w:r>
        <w:t xml:space="preserve"> </w:t>
      </w:r>
      <w:r>
        <w:rPr>
          <w:rStyle w:val="VerbatimChar"/>
        </w:rPr>
        <w:t xml:space="preserve">mlos_deck_slides.json</w:t>
      </w:r>
      <w:r>
        <w:t xml:space="preserve">: a variant compares the slides it</w:t>
      </w:r>
      <w:r>
        <w:t xml:space="preserve"> </w:t>
      </w:r>
      <w:r>
        <w:t xml:space="preserve">assembled against the ones the deck recorded and refuses if a title has</w:t>
      </w:r>
      <w:r>
        <w:t xml:space="preserve"> </w:t>
      </w:r>
      <w:r>
        <w:t xml:space="preserve">appeared or vanished, naming which. Pagination is exempt, since how many pages</w:t>
      </w:r>
      <w:r>
        <w:t xml:space="preserve"> </w:t>
      </w:r>
      <w:r>
        <w:t xml:space="preserve">a run takes is decided by height at render time and a branded variant</w:t>
      </w:r>
      <w:r>
        <w:t xml:space="preserve"> </w:t>
      </w:r>
      <w:r>
        <w:t xml:space="preserve">legitimately breaks the findings differently.</w:t>
      </w:r>
      <w:r>
        <w:t xml:space="preserve"> </w:t>
      </w:r>
      <w:r>
        <w:rPr>
          <w:rStyle w:val="VerbatimChar"/>
        </w:rPr>
        <w:t xml:space="preserve">--no-check</w:t>
      </w:r>
      <w:r>
        <w:t xml:space="preserve"> </w:t>
      </w:r>
      <w:r>
        <w:t xml:space="preserve">builds anyway.</w:t>
      </w:r>
    </w:p>
    <w:p>
      <w:pPr>
        <w:pStyle w:val="BodyText"/>
      </w:pPr>
      <w:r>
        <w:t xml:space="preserve">Slides are addressed by title, which stands in for the rule ids the registry</w:t>
      </w:r>
      <w:r>
        <w:t xml:space="preserve"> </w:t>
      </w:r>
      <w:r>
        <w:t xml:space="preserve">below will carry. Titles hold vocabulary labels, so an outline written for one</w:t>
      </w:r>
      <w:r>
        <w:t xml:space="preserve"> </w:t>
      </w:r>
      <w:r>
        <w:t xml:space="preserve">dataset can fail against another; that failure is loud, and</w:t>
      </w:r>
      <w:r>
        <w:t xml:space="preserve"> </w:t>
      </w:r>
      <w:r>
        <w:rPr>
          <w:rStyle w:val="VerbatimChar"/>
        </w:rPr>
        <w:t xml:space="preserve">--list</w:t>
      </w:r>
      <w:r>
        <w:t xml:space="preserve"> </w:t>
      </w:r>
      <w:r>
        <w:t xml:space="preserve">says what</w:t>
      </w:r>
      <w:r>
        <w:t xml:space="preserve"> </w:t>
      </w:r>
      <w:r>
        <w:t xml:space="preserve">the titles are. Every deck’s titles are unique apart from continuation runs,</w:t>
      </w:r>
      <w:r>
        <w:t xml:space="preserve"> </w:t>
      </w:r>
      <w:r>
        <w:t xml:space="preserve">which the test suite checks on every fixture.</w:t>
      </w:r>
    </w:p>
    <w:p>
      <w:pPr>
        <w:pStyle w:val="BodyText"/>
      </w:pPr>
      <w:r>
        <w:rPr>
          <w:b/>
          <w:bCs/>
        </w:rPr>
        <w:t xml:space="preserve">Speaker notes follow markdown’s blockquote.</w:t>
      </w:r>
      <w:r>
        <w:t xml:space="preserve"> </w:t>
      </w:r>
      <w:r>
        <w:t xml:space="preserve">Consecutive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lines run on</w:t>
      </w:r>
      <w:r>
        <w:t xml:space="preserve"> </w:t>
      </w:r>
      <w:r>
        <w:t xml:space="preserve">into one paragraph, so a sentence may be wrapped in the source and arrives</w:t>
      </w:r>
      <w:r>
        <w:t xml:space="preserve"> </w:t>
      </w:r>
      <w:r>
        <w:t xml:space="preserve">whole. A blank line,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item, or two spaces ending a line</w:t>
      </w:r>
      <w:r>
        <w:t xml:space="preserve"> </w:t>
      </w:r>
      <w:r>
        <w:t xml:space="preserve">starts the next paragraph. A notes pane draws no glyphs, so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any</w:t>
      </w:r>
      <w:r>
        <w:t xml:space="preserve"> </w:t>
      </w:r>
      <w:r>
        <w:t xml:space="preserve">indent before it are kept: they are what makes a list read as one.</w:t>
      </w:r>
    </w:p>
    <w:p>
      <w:pPr>
        <w:pStyle w:val="BodyText"/>
      </w:pPr>
      <w:r>
        <w:rPr>
          <w:b/>
          <w:bCs/>
        </w:rPr>
        <w:t xml:space="preserve">Two kinds of writing never reach a slide, and they are spelled differently</w:t>
      </w:r>
      <w:r>
        <w:rPr>
          <w:b/>
          <w:bCs/>
        </w:rPr>
        <w:t xml:space="preserve"> </w:t>
      </w:r>
      <w:r>
        <w:rPr>
          <w:b/>
          <w:bCs/>
        </w:rPr>
        <w:t xml:space="preserve">on purpose.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 is spoken and not shown, and becomes a speaker note.</w:t>
      </w:r>
      <w:r>
        <w:t xml:space="preserve"> </w:t>
      </w:r>
      <w:r>
        <w:t xml:space="preserve">A comment is neither spoken nor shown, and is there for whoever maintains the</w:t>
      </w:r>
      <w:r>
        <w:t xml:space="preserve"> </w:t>
      </w:r>
      <w:r>
        <w:t xml:space="preserve">outline. Tools that spell speaker notes as an HTML comment, Marp and Slidev</w:t>
      </w:r>
      <w:r>
        <w:t xml:space="preserve"> </w:t>
      </w:r>
      <w:r>
        <w:t xml:space="preserve">among them, are left with nothing to write the second kind with. The price of</w:t>
      </w:r>
      <w:r>
        <w:t xml:space="preserve"> </w:t>
      </w:r>
      <w:r>
        <w:t xml:space="preserve">keeping both is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a note here rather than the quotation a markdown</w:t>
      </w:r>
      <w:r>
        <w:t xml:space="preserve"> </w:t>
      </w:r>
      <w:r>
        <w:t xml:space="preserve">reader draws, which is at any rate the right shape for an aside, and which</w:t>
      </w:r>
      <w:r>
        <w:t xml:space="preserve"> </w:t>
      </w:r>
      <w:r>
        <w:t xml:space="preserve">keeps notes visible while an outline is being written.</w:t>
      </w:r>
    </w:p>
    <w:p>
      <w:pPr>
        <w:pStyle w:val="BodyText"/>
      </w:pPr>
      <w:r>
        <w:rPr>
          <w:rStyle w:val="VerbatimChar"/>
        </w:rPr>
        <w:t xml:space="preserve">&lt;!-- ... --&gt;</w:t>
      </w:r>
      <w:r>
        <w:t xml:space="preserve"> </w:t>
      </w:r>
      <w:r>
        <w:t xml:space="preserve">is a comment, in markdown’s own spelling, so a reader</w:t>
      </w:r>
      <w:r>
        <w:t xml:space="preserve"> </w:t>
      </w:r>
      <w:r>
        <w:t xml:space="preserve">previewing the outline sees nothing where one sits. It may end a line, take a</w:t>
      </w:r>
      <w:r>
        <w:t xml:space="preserve"> </w:t>
      </w:r>
      <w:r>
        <w:t xml:space="preserve">whole line, or run over several, which is also how a slide is switched off</w:t>
      </w:r>
      <w:r>
        <w:t xml:space="preserve"> </w:t>
      </w:r>
      <w:r>
        <w:t xml:space="preserve">while a shorter talk is tried. A comment opened and never closed is refused,</w:t>
      </w:r>
      <w:r>
        <w:t xml:space="preserve"> </w:t>
      </w:r>
      <w:r>
        <w:t xml:space="preserve">naming the line it opened on, because everything after it would be swallowed.</w:t>
      </w:r>
    </w:p>
    <w:p>
      <w:pPr>
        <w:pStyle w:val="BodyText"/>
      </w:pPr>
      <w:r>
        <w:t xml:space="preserve">Templates belong in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, which git ignores wholesale. A template is</w:t>
      </w:r>
      <w:r>
        <w:t xml:space="preserve"> </w:t>
      </w:r>
      <w:r>
        <w:t xml:space="preserve">usually somebody else’s file, carrying their branding, and committing one would</w:t>
      </w:r>
      <w:r>
        <w:t xml:space="preserve"> </w:t>
      </w:r>
      <w:r>
        <w:t xml:space="preserve">publish it. Outlines are yours and belong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so does</w:t>
      </w:r>
      <w:r>
        <w:t xml:space="preserve"> </w:t>
      </w:r>
      <w:r>
        <w:rPr>
          <w:rStyle w:val="VerbatimChar"/>
        </w:rPr>
        <w:t xml:space="preserve">deck_example_template.pptx</w:t>
      </w:r>
      <w:r>
        <w:t xml:space="preserve">, which is this repository’s own and is tracked so</w:t>
      </w:r>
      <w:r>
        <w:t xml:space="preserve"> </w:t>
      </w:r>
      <w:r>
        <w:t xml:space="preserve">that the example above is a file rather than a description.</w:t>
      </w:r>
    </w:p>
    <w:bookmarkEnd w:id="30"/>
    <w:bookmarkStart w:id="31" w:name="speaker-notes"/>
    <w:p>
      <w:pPr>
        <w:pStyle w:val="Heading3"/>
      </w:pPr>
      <w:r>
        <w:t xml:space="preserve">Speaker notes</w:t>
      </w:r>
    </w:p>
    <w:p>
      <w:pPr>
        <w:pStyle w:val="FirstParagraph"/>
      </w:pPr>
      <w:r>
        <w:rPr>
          <w:b/>
          <w:bCs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bookmarkEnd w:id="31"/>
    <w:bookmarkStart w:id="32" w:name="the-file-you-get"/>
    <w:p>
      <w:pPr>
        <w:pStyle w:val="Heading3"/>
      </w:pPr>
      <w:r>
        <w:t xml:space="preserve">The file you get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  <w:bCs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7" w:name="what-the-deck-decides"/>
    <w:p>
      <w:pPr>
        <w:pStyle w:val="Heading2"/>
      </w:pPr>
      <w:r>
        <w:t xml:space="preserve">What the deck decides</w:t>
      </w:r>
    </w:p>
    <w:p>
      <w:pPr>
        <w:pStyle w:val="FirstParagraph"/>
      </w:pPr>
      <w:r>
        <w:rPr>
          <w:i/>
          <w:iCs/>
        </w:rPr>
        <w:t xml:space="preserve">For whoever has to defend a line on a slide. Which rows appear, which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marked, when the deck stays silent, and what every 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is set to.</w:t>
      </w:r>
    </w:p>
    <w:bookmarkStart w:id="34" w:name="the-opening-summary"/>
    <w:p>
      <w:pPr>
        <w:pStyle w:val="Heading3"/>
      </w:pPr>
      <w:r>
        <w:t xml:space="preserve">The opening summary</w:t>
      </w:r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tcPr/>
          <w:p>
            <w:pPr>
              <w:pStyle w:val="Compact"/>
            </w:pPr>
            <w:r>
              <w:t xml:space="preserve">the window and its periods, with dates and day counts</w:t>
            </w:r>
          </w:p>
        </w:tc>
        <w:tc>
          <w:tcPr/>
          <w:p>
            <w:pPr>
              <w:pStyle w:val="Compact"/>
            </w:pPr>
            <w:r>
              <w:t xml:space="preserve">the title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sample_table</w:t>
            </w:r>
          </w:p>
        </w:tc>
        <w:tc>
          <w:tcPr/>
          <w:p>
            <w:pPr>
              <w:pStyle w:val="Compact"/>
            </w:pPr>
            <w:r>
              <w:t xml:space="preserve">stays, distinct animals, intakes, the cap, and the stays that ran past it, then the outcome tallies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tcPr/>
          <w:p>
            <w:pPr>
              <w:pStyle w:val="Compact"/>
            </w:pPr>
            <w:r>
              <w:t xml:space="preserve">one field’s levels, with their stays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tcPr/>
          <w:p>
            <w:pPr>
              <w:pStyle w:val="Compact"/>
            </w:pPr>
            <w:r>
              <w:t xml:space="preserve">one row per field: level count, and the levels with the fewest and most stays</w:t>
            </w:r>
          </w:p>
        </w:tc>
        <w:tc>
          <w:tcPr/>
          <w:p>
            <w:pPr>
              <w:pStyle w:val="Compact"/>
            </w:pPr>
            <w:r>
              <w:t xml:space="preserve">nowhere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workload_table</w:t>
            </w:r>
          </w:p>
        </w:tc>
        <w:tc>
          <w:tcPr/>
          <w:p>
            <w:pPr>
              <w:pStyle w:val="Compac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tcPr/>
          <w:p>
            <w:pPr>
              <w:pStyle w:val="Compact"/>
            </w:pPr>
            <w:r>
              <w:t xml:space="preserve">each of the three workload slides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tcPr/>
          <w:p>
            <w:pPr>
              <w:pStyle w:val="Compact"/>
            </w:pPr>
            <w:r>
              <w:t xml:space="preserve">what the observation-gap scan found among the periods</w:t>
            </w:r>
          </w:p>
        </w:tc>
        <w:tc>
          <w:tcPr/>
          <w:p>
            <w:pPr>
              <w:pStyle w:val="Compact"/>
            </w:pPr>
            <w:r>
              <w:t xml:space="preserve">the title slide’s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tcPr/>
          <w:p>
            <w:pPr>
              <w:pStyle w:val="Compact"/>
            </w:pPr>
            <w:r>
              <w:t xml:space="preserve">the same for the pooled data and each field</w:t>
            </w:r>
          </w:p>
        </w:tc>
        <w:tc>
          <w:tcPr/>
          <w:p>
            <w:pPr>
              <w:pStyle w:val="Compac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  <w:bCs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  <w:bCs/>
        </w:rPr>
        <w:t xml:space="preserve">The footnote</w:t>
      </w:r>
      <w:r>
        <w:rPr>
          <w:b/>
          <w:bCs/>
        </w:rPr>
        <w:t xml:space="preserve"> </w:t>
      </w:r>
      <w:r>
        <w:rPr>
          <w:b/>
          <w:bCs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  <w:bCs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  <w:bCs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  <w:bCs/>
        </w:rPr>
        <w:t xml:space="preserve">The window drops its pooled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bookmarkEnd w:id="34"/>
    <w:bookmarkStart w:id="35" w:name="observation-gaps"/>
    <w:p>
      <w:pPr>
        <w:pStyle w:val="Heading3"/>
      </w:pPr>
      <w:r>
        <w:t xml:space="preserve">Observation gaps</w:t>
      </w:r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  <w:bCs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pooled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  <w:bCs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“there are none”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  <w:bCs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pooled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  <w:bCs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  <w:iCs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bookmarkEnd w:id="35"/>
    <w:bookmarkStart w:id="36" w:name="the-measures-a-slide-leads-with"/>
    <w:p>
      <w:pPr>
        <w:pStyle w:val="Heading3"/>
      </w:pPr>
      <w:r>
        <w:t xml:space="preserve">The measures a slide leads with</w:t>
      </w:r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“Remaining, resident mean”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 rather than the observed tally beside it.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“highest of one”</w:t>
      </w:r>
      <w:r>
        <w:t xml:space="preserve"> </w:t>
      </w:r>
      <w:r>
        <w:t xml:space="preserve">would be noise.</w:t>
      </w:r>
    </w:p>
    <w:bookmarkEnd w:id="36"/>
    <w:bookmarkStart w:id="37" w:name="high-low-and-flat"/>
    <w:p>
      <w:pPr>
        <w:pStyle w:val="Heading3"/>
      </w:pPr>
      <w:r>
        <w:t xml:space="preserve">High, low, and flat</w:t>
      </w:r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  <w:bCs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“H”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“highest of the four I happened to pick”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  <w:bCs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bookmarkEnd w:id="37"/>
    <w:bookmarkStart w:id="38" w:name="which-levels-a-table-shows"/>
    <w:p>
      <w:pPr>
        <w:pStyle w:val="Heading3"/>
      </w:pPr>
      <w:r>
        <w:t xml:space="preserve">Which levels a table shows</w:t>
      </w:r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“n of m levels shown”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  <w:bCs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  <w:bCs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  <w:bCs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  <w:bCs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“most intakes per day”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bookmarkEnd w:id="38"/>
    <w:bookmarkStart w:id="39" w:name="the-competing-risk-tables"/>
    <w:p>
      <w:pPr>
        <w:pStyle w:val="Heading3"/>
      </w:pPr>
      <w:r>
        <w:t xml:space="preserve">The competing-risk tables</w:t>
      </w:r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  <w:bCs/>
        </w:rPr>
        <w:t xml:space="preserve">conditional 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“Any”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  <w:bCs/>
        </w:rPr>
        <w:t xml:space="preserve">companion Excel</w:t>
      </w:r>
      <w:r>
        <w:rPr>
          <w:b/>
          <w:bCs/>
        </w:rPr>
        <w:t xml:space="preserve"> </w:t>
      </w:r>
      <w:r>
        <w:rPr>
          <w:b/>
          <w:bCs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  <w:bCs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  <w:bCs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  <w:bCs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bookmarkEnd w:id="39"/>
    <w:bookmarkStart w:id="40" w:name="caveats-the-data-triggers"/>
    <w:p>
      <w:pPr>
        <w:pStyle w:val="Heading3"/>
      </w:pPr>
      <w:r>
        <w:t xml:space="preserve">Caveats the data triggers</w:t>
      </w:r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  <w:bCs/>
        </w:rPr>
        <w:t xml:space="preserve">A data-conditional caveat belongs in the block layer, not in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  <w:bCs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  <w:bCs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  <w:bCs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40"/>
    <w:bookmarkStart w:id="41" w:name="when-the-deck-says-nothing"/>
    <w:p>
      <w:pPr>
        <w:pStyle w:val="Heading3"/>
      </w:pPr>
      <w:r>
        <w:t xml:space="preserve">When the deck says nothing</w:t>
      </w:r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 rather than as a small number.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twenty-nine test fixtures, ten produce none at 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41"/>
    <w:bookmarkStart w:id="42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  <w:bCs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“Findings, continued”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“Among animal group levels, LRG has the</w:t>
      </w:r>
      <w:r>
        <w:t xml:space="preserve"> </w:t>
      </w:r>
      <w:r>
        <w:t xml:space="preserve">longest average stay at 31 days, and the largest share of residents at 67%.”</w:t>
      </w:r>
      <w:r>
        <w:t xml:space="preserve"> </w:t>
      </w:r>
      <w:r>
        <w:t xml:space="preserve">(</w:t>
      </w:r>
      <w:r>
        <w:rPr>
          <w:b/>
          <w:bCs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“the longest of several identical values”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LOS</w:t>
            </w:r>
          </w:p>
        </w:tc>
        <w:tc>
          <w:tcPr/>
          <w:p>
            <w:pPr>
              <w:pStyle w:val="Compac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outlook</w:t>
            </w:r>
          </w:p>
        </w:tc>
        <w:tc>
          <w:tcPr/>
          <w:p>
            <w:pPr>
              <w:pStyle w:val="Compact"/>
            </w:pPr>
            <w:r>
              <w:t xml:space="preserve">how long the middle resident has been here and how much longer it expects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by stratifier</w:t>
            </w:r>
          </w:p>
        </w:tc>
        <w:tc>
          <w:tcPr/>
          <w:p>
            <w:pPr>
              <w:pStyle w:val="Compac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by stratifier</w:t>
            </w:r>
          </w:p>
        </w:tc>
        <w:tc>
          <w:tcPr/>
          <w:p>
            <w:pPr>
              <w:pStyle w:val="Compact"/>
            </w:pPr>
            <w:r>
              <w:t xml:space="preserve">which levels’ residents are furthest from leaving and which nearest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the shelter’s committed animal-days, and the level carrying them where one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ratios by stratifier</w:t>
            </w:r>
          </w:p>
        </w:tc>
        <w:tc>
          <w:tcPr/>
          <w:p>
            <w:pPr>
              <w:pStyle w:val="Compac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risks</w:t>
            </w:r>
          </w:p>
        </w:tc>
        <w:tc>
          <w:tcPr/>
          <w:p>
            <w:pPr>
              <w:pStyle w:val="Compac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  <w:bCs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  <w:bCs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  <w:bCs/>
        </w:rPr>
        <w:t xml:space="preserve">fires only where a level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  <w:bCs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  <w:bCs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“somewhat longer”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  <w:bCs/>
        </w:rPr>
        <w:t xml:space="preserve">It ignores levels with fewer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OUTCOME_SPREAD_MINIMUM_EVENTS</w:t>
      </w:r>
      <w:r>
        <w:rPr>
          <w:b/>
          <w:bCs/>
        </w:rPr>
        <w:t xml:space="preserve"> </w:t>
      </w:r>
      <w:r>
        <w:rPr>
          <w:b/>
          <w:bCs/>
        </w:rPr>
        <w:t xml:space="preserve">of that</w:t>
      </w:r>
      <w:r>
        <w:rPr>
          <w:b/>
          <w:bCs/>
        </w:rPr>
        <w:t xml:space="preserve"> </w:t>
      </w:r>
      <w:r>
        <w:rPr>
          <w:b/>
          <w:bCs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  <w:bCs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 rather than as a small number.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“some 0</w:t>
      </w:r>
      <w:r>
        <w:t xml:space="preserve"> </w:t>
      </w:r>
      <w:r>
        <w:t xml:space="preserve">animal-years”</w:t>
      </w:r>
      <w:r>
        <w:t xml:space="preserve">.</w:t>
      </w:r>
    </w:p>
    <w:bookmarkEnd w:id="42"/>
    <w:bookmarkStart w:id="43" w:name="recommendations"/>
    <w:p>
      <w:pPr>
        <w:pStyle w:val="Heading3"/>
      </w:pPr>
      <w:r>
        <w:t xml:space="preserve">Recommendations</w:t>
      </w:r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“Where to</w:t>
      </w:r>
      <w:r>
        <w:t xml:space="preserve"> </w:t>
      </w:r>
      <w:r>
        <w:t xml:space="preserve">look next”</w:t>
      </w:r>
      <w:r>
        <w:t xml:space="preserve">.</w:t>
      </w:r>
      <w:r>
        <w:t xml:space="preserve"> </w:t>
      </w:r>
      <w:r>
        <w:rPr>
          <w:b/>
          <w:bCs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  <w:bCs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  <w:bCs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  <w:bCs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tcPr/>
          <w:p>
            <w:pPr>
              <w:pStyle w:val="Compact"/>
            </w:pPr>
            <w:r>
              <w:t xml:space="preserve">a stratifier falls below the salience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tcPr/>
          <w:p>
            <w:pPr>
              <w:pStyle w:val="Compac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merging, or the source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cap_binding</w:t>
            </w:r>
          </w:p>
        </w:tc>
        <w:tc>
          <w:tcPr/>
          <w:p>
            <w:pPr>
              <w:pStyle w:val="Compac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</w:t>
            </w:r>
          </w:p>
        </w:tc>
        <w:tc>
          <w:tcPr/>
          <w:p>
            <w:pPr>
              <w:pStyle w:val="Compac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tcPr/>
          <w:p>
            <w:pPr>
              <w:pStyle w:val="Compact"/>
            </w:pPr>
            <w:r>
              <w:t xml:space="preserve">splitting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falling_hazard</w:t>
            </w:r>
          </w:p>
        </w:tc>
        <w:tc>
          <w:tcPr/>
          <w:p>
            <w:pPr>
              <w:pStyle w:val="Compac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  <w:iCs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tcPr/>
          <w:p>
            <w:pPr>
              <w:pStyle w:val="Compact"/>
            </w:pPr>
            <w:r>
              <w:t xml:space="preserve">a tenure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gap_remedy</w:t>
            </w:r>
          </w:p>
        </w:tc>
        <w:tc>
          <w:tcPr/>
          <w:p>
            <w:pPr>
              <w:pStyle w:val="Compact"/>
            </w:pPr>
            <w:r>
              <w:t xml:space="preserve">an observation gap starts inside the plot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  <w:bCs/>
        </w:rPr>
        <w:t xml:space="preserve">tail_spread</w:t>
      </w:r>
      <w:r>
        <w:rPr>
          <w:b/>
          <w:bCs/>
        </w:rPr>
        <w:t xml:space="preserve"> </w:t>
      </w:r>
      <w:r>
        <w:rPr>
          <w:b/>
          <w:bCs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pooled ratio; LARGE at 1.5 times does not clear it.</w:t>
      </w:r>
    </w:p>
    <w:p>
      <w:pPr>
        <w:pStyle w:val="BodyText"/>
      </w:pPr>
      <w:r>
        <w:rPr>
          <w:rStyle w:val="VerbatimChar"/>
          <w:b/>
          <w:bCs/>
        </w:rPr>
        <w:t xml:space="preserve">falling_hazard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shape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variants</w:t>
      </w:r>
      <w:r>
        <w:rPr>
          <w:b/>
          <w:bCs/>
        </w:rPr>
        <w:t xml:space="preserve">, and one crossed variant</w:t>
      </w:r>
      <w:r>
        <w:rPr>
          <w:b/>
          <w:bCs/>
        </w:rPr>
        <w:t xml:space="preserve"> </w:t>
      </w:r>
      <w:r>
        <w:rPr>
          <w:b/>
          <w:bCs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  <w:iCs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  <w:bCs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  <w:bCs/>
        </w:rPr>
        <w:t xml:space="preserve">falling 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level’s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own</w:t>
      </w:r>
      <w:r>
        <w:rPr>
          <w:b/>
          <w:bCs/>
        </w:rPr>
        <w:t xml:space="preserve"> </w:t>
      </w:r>
      <w:r>
        <w:rPr>
          <w:b/>
          <w:bCs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  <w:bCs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  <w:bCs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  <w:bCs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  <w:bCs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“LRG and XL have the longest average</w:t>
      </w:r>
      <w:r>
        <w:t xml:space="preserve"> </w:t>
      </w:r>
      <w:r>
        <w:t xml:space="preserve">stay”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  <w:bCs/>
        </w:rPr>
        <w:t xml:space="preserve">selected_levels</w:t>
      </w:r>
      <w:r>
        <w:rPr>
          <w:b/>
          <w:bCs/>
        </w:rPr>
        <w:t xml:space="preserve"> </w:t>
      </w:r>
      <w:r>
        <w:rPr>
          <w:b/>
          <w:bCs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  <w:bCs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…”</w:t>
      </w:r>
      <w:r>
        <w:t xml:space="preserve"> </w:t>
      </w:r>
      <w:r>
        <w:t xml:space="preserve">(</w:t>
      </w:r>
      <w:r>
        <w:rPr>
          <w:b/>
          <w:bCs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  <w:bCs/>
        </w:rPr>
        <w:t xml:space="preserve">sweep</w:t>
      </w:r>
      <w:r>
        <w:t xml:space="preserve">:</w:t>
      </w:r>
      <w:r>
        <w:t xml:space="preserve"> </w:t>
      </w:r>
      <w:r>
        <w:t xml:space="preserve">“By animal group, PUPPY is</w:t>
      </w:r>
      <w:r>
        <w:t xml:space="preserve"> </w:t>
      </w:r>
      <w:r>
        <w:t xml:space="preserve">the fastest in every outcome type.”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onr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groups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  <w:bCs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  <w:bCs/>
        </w:rPr>
        <w:t xml:space="preserve">A share of residents is only meaningful when the levels partition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  <w:bCs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“share of residents by period”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pooled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bookmarkEnd w:id="43"/>
    <w:bookmarkStart w:id="44" w:name="salience"/>
    <w:p>
      <w:pPr>
        <w:pStyle w:val="Heading3"/>
      </w:pPr>
      <w:r>
        <w:t xml:space="preserve">Salience</w:t>
      </w:r>
    </w:p>
    <w:p>
      <w:pPr>
        <w:pStyle w:val="FirstParagraph"/>
      </w:pPr>
      <w:r>
        <w:rPr>
          <w:b/>
          <w:bCs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pooled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  <w:bCs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  <w:bCs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estimate, not a test: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  <w:bCs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  <w:bCs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bookmarkEnd w:id="44"/>
    <w:bookmarkStart w:id="45" w:name="the-salience-threshold"/>
    <w:p>
      <w:pPr>
        <w:pStyle w:val="Heading3"/>
      </w:pPr>
      <w:r>
        <w:t xml:space="preserve">The salience threshold</w:t>
      </w:r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pooled mean LOS</w:t>
      </w:r>
      <w:r>
        <w:br/>
      </w:r>
      <w:r>
        <w:rPr>
          <w:rStyle w:val="VerbatimChar"/>
        </w:rPr>
        <w:t xml:space="preserve">    =   1 day  +  15% of the pooled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pooled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pooled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  <w:bCs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Stratifier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observed spread</w:t>
            </w:r>
          </w:p>
        </w:tc>
        <w:tc>
          <w:tcPr/>
          <w:p>
            <w:pPr>
              <w:pStyle w:val="Compact"/>
            </w:pPr>
            <w:r>
              <w:t xml:space="preserve">noise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salient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no, by 0.1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group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11.09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  <w:bCs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  <w:bCs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  <w:bCs/>
        </w:rPr>
        <w:t xml:space="preserve">Weight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total_intakes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mean_daily_intakes</w:t>
      </w:r>
      <w:r>
        <w:rPr>
          <w:b/>
          <w:bCs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  <w:iCs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  <w:bCs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every golden file regenerated per adjustment. Move it into R only if it</w:t>
      </w:r>
      <w:r>
        <w:t xml:space="preserve"> </w:t>
      </w:r>
      <w:r>
        <w:t xml:space="preserve">ever becomes a reported quantity.</w:t>
      </w:r>
    </w:p>
    <w:bookmarkEnd w:id="45"/>
    <w:bookmarkStart w:id="46" w:name="every-threshold-in-one-place"/>
    <w:p>
      <w:pPr>
        <w:pStyle w:val="Heading3"/>
      </w:pPr>
      <w:r>
        <w:t xml:space="preserve">Every threshold in one place</w:t>
      </w:r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tcPr/>
          <w:p>
            <w:pPr>
              <w:pStyle w:val="Compact"/>
            </w:pPr>
            <w:r>
              <w:t xml:space="preserve">15% of the pooled restricted mean</w:t>
            </w:r>
          </w:p>
        </w:tc>
        <w:tc>
          <w:tcPr/>
          <w:p>
            <w:pPr>
              <w:pStyle w:val="Compact"/>
            </w:pPr>
            <w:r>
              <w:t xml:space="preserve">the same; the two are added, and cross at 6.7 days of mean 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tcPr/>
          <w:p>
            <w:pPr>
              <w:pStyle w:val="Compact"/>
            </w:pPr>
            <w:r>
              <w:t xml:space="preserve">4 levels</w:t>
            </w:r>
          </w:p>
        </w:tc>
        <w:tc>
          <w:tcPr/>
          <w:p>
            <w:pPr>
              <w:pStyle w:val="Compact"/>
            </w:pPr>
            <w:r>
              <w:t xml:space="preserve">above this an LOS highlights table selects rather than shows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tcPr/>
          <w:p>
            <w:pPr>
              <w:pStyle w:val="Compact"/>
            </w:pPr>
            <w:r>
              <w:t xml:space="preserve">6 levels</w:t>
            </w:r>
          </w:p>
        </w:tc>
        <w:tc>
          <w:tcPr/>
          <w:p>
            <w:pPr>
              <w:pStyle w:val="Compact"/>
            </w:pPr>
            <w:r>
              <w:t xml:space="preserve">the same for a competing-risk highlights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rows a workload table keeps, largest by its counted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tcPr/>
          <w:p>
            <w:pPr>
              <w:pStyle w:val="Compact"/>
            </w:pPr>
            <w:r>
              <w:t xml:space="preserve">2 levels</w:t>
            </w:r>
          </w:p>
        </w:tc>
        <w:tc>
          <w:tcPr/>
          <w:p>
            <w:pPr>
              <w:pStyle w:val="Compact"/>
            </w:pPr>
            <w:r>
              <w:t xml:space="preserve">how many levels may share an extreme before a finding names none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the difference below which two levels tie on a mark, so no order shift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tcPr/>
          <w:p>
            <w:pPr>
              <w:pStyle w:val="Compact"/>
            </w:pPr>
            <w:r>
              <w:t xml:space="preserve">0.5%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a slide starts saying the cap shapes its tenure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tcPr/>
          <w:p>
            <w:pPr>
              <w:pStyle w:val="Compact"/>
            </w:pPr>
            <w:r>
              <w:t xml:space="preserve">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tcPr/>
          <w:p>
            <w:pPr>
              <w:pStyle w:val="Compact"/>
            </w:pPr>
            <w:r>
              <w:t xml:space="preserve">2.0x</w:t>
            </w:r>
          </w:p>
        </w:tc>
        <w:tc>
          <w:tcPr/>
          <w:p>
            <w:pPr>
              <w:pStyle w:val="Compact"/>
            </w:pPr>
            <w:r>
              <w:t xml:space="preserve">how far apart two outcome timings have to be before the gap is a finding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tcPr/>
          <w:p>
            <w:pPr>
              <w:pStyle w:val="Compact"/>
            </w:pPr>
            <w:r>
              <w:t xml:space="preserve">30 events</w:t>
            </w:r>
          </w:p>
        </w:tc>
        <w:tc>
          <w:tcPr/>
          <w:p>
            <w:pPr>
              <w:pStyle w:val="Compact"/>
            </w:pPr>
            <w:r>
              <w:t xml:space="preserve">how many of an outcome a level needs before its timing enters that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the agreement margin past which a level counts as unestimable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tcPr/>
          <w:p>
            <w:pPr>
              <w:pStyle w:val="Compact"/>
            </w:pPr>
            <w:r>
              <w:t xml:space="preserve">2.0x the pooled ratio</w:t>
            </w:r>
          </w:p>
        </w:tc>
        <w:tc>
          <w:tcPr/>
          <w:p>
            <w:pPr>
              <w:pStyle w:val="Compac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SHAPE_CEILING</w:t>
            </w:r>
          </w:p>
        </w:tc>
        <w:tc>
          <w:tcPr/>
          <w:p>
            <w:pPr>
              <w:pStyle w:val="Compact"/>
            </w:pPr>
            <w:r>
              <w:t xml:space="preserve">k = 0.85</w:t>
            </w:r>
          </w:p>
        </w:tc>
        <w:tc>
          <w:tcPr/>
          <w:p>
            <w:pPr>
              <w:pStyle w:val="Compact"/>
            </w:pPr>
            <w:r>
              <w:t xml:space="preserve">how far below 1 a level’s whole own-shape interval must 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tcPr/>
          <w:p>
            <w:pPr>
              <w:pStyle w:val="Compact"/>
            </w:pPr>
            <w:r>
              <w:t xml:space="preserve">95% of the pooled adjusted k</w:t>
            </w:r>
          </w:p>
        </w:tc>
        <w:tc>
          <w:tcPr/>
          <w:p>
            <w:pPr>
              <w:pStyle w:val="Compact"/>
            </w:pPr>
            <w:r>
              <w:t xml:space="preserve">and how far below the shelter’s own shape; the two cross at a pooled k of 0.895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t xml:space="preserve">1,000 stays</w:t>
            </w:r>
          </w:p>
        </w:tc>
        <w:tc>
          <w:tcPr/>
          <w:p>
            <w:pPr>
              <w:pStyle w:val="Compact"/>
            </w:pPr>
            <w:r>
              <w:t xml:space="preserve">how large a level must be before a rerun narrowed to it is worth suggesting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tcPr/>
          <w:p>
            <w:pPr>
              <w:pStyle w:val="Compact"/>
            </w:pPr>
            <w:r>
              <w:t xml:space="preserve">2% of stays</w:t>
            </w:r>
          </w:p>
        </w:tc>
        <w:tc>
          <w:tcPr/>
          <w:p>
            <w:pPr>
              <w:pStyle w:val="Compac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70" w:name="extending-the-package"/>
    <w:p>
      <w:pPr>
        <w:pStyle w:val="Heading2"/>
      </w:pPr>
      <w:r>
        <w:t xml:space="preserve">Extending the package</w:t>
      </w:r>
    </w:p>
    <w:p>
      <w:pPr>
        <w:pStyle w:val="FirstParagraph"/>
      </w:pPr>
      <w:r>
        <w:rPr>
          <w:i/>
          <w:iCs/>
        </w:rPr>
        <w:t xml:space="preserve">For whoever changes the code. Nothing here is needed to read a deck or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one.</w:t>
      </w:r>
    </w:p>
    <w:bookmarkStart w:id="48" w:name="where-it-sits"/>
    <w:p>
      <w:pPr>
        <w:pStyle w:val="Heading3"/>
      </w:pPr>
      <w:r>
        <w:t xml:space="preserve">Where it sits</w:t>
      </w:r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built; an outline</w:t>
      </w:r>
      <w:r>
        <w:br/>
      </w:r>
      <w:r>
        <w:rPr>
          <w:rStyle w:val="VerbatimChar"/>
        </w:rPr>
        <w:t xml:space="preserve">      |                                            states one: variant.py)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.</w:t>
      </w:r>
    </w:p>
    <w:bookmarkEnd w:id="48"/>
    <w:bookmarkStart w:id="49" w:name="reading-the-bundle"/>
    <w:p>
      <w:pPr>
        <w:pStyle w:val="Heading3"/>
      </w:pPr>
      <w:r>
        <w:t xml:space="preserve">Reading the bundle</w:t>
      </w:r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  <w:bCs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  <w:bCs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pooled row comes from the same code path as a stratified one and</w:t>
      </w:r>
      <w:r>
        <w:t xml:space="preserve"> </w:t>
      </w:r>
      <w:r>
        <w:t xml:space="preserve">cannot drift from it.</w:t>
      </w:r>
    </w:p>
    <w:bookmarkEnd w:id="49"/>
    <w:bookmarkStart w:id="52" w:name="the-regression-frames"/>
    <w:p>
      <w:pPr>
        <w:pStyle w:val="Heading3"/>
      </w:pPr>
      <w:r>
        <w:t xml:space="preserve">The regression frames</w:t>
      </w:r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pooled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  <w:bCs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bookmarkStart w:id="50" w:name="two-comparisons-kept-apart"/>
    <w:p>
      <w:pPr>
        <w:pStyle w:val="Heading4"/>
      </w:pPr>
      <w:r>
        <w:t xml:space="preserve">Two comparisons, kept apart</w:t>
      </w:r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  <w:bCs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  <w:bCs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  <w:bCs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  <w:bCs/>
        </w:rPr>
        <w:t xml:space="preserve">Both columns share one variance, and it treats the two fits as independent,</w:t>
      </w:r>
      <w:r>
        <w:rPr>
          <w:b/>
          <w:bCs/>
        </w:rPr>
        <w:t xml:space="preserve"> </w:t>
      </w:r>
      <w:r>
        <w:rPr>
          <w:b/>
          <w:bCs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bookmarkEnd w:id="50"/>
    <w:bookmarkStart w:id="51" w:name="why-this-one-file-derives"/>
    <w:p>
      <w:pPr>
        <w:pStyle w:val="Heading4"/>
      </w:pPr>
      <w:r>
        <w:t xml:space="preserve">Why this one file derives</w:t>
      </w:r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bookmarkEnd w:id="51"/>
    <w:bookmarkEnd w:id="52"/>
    <w:bookmarkStart w:id="58" w:name="display-names"/>
    <w:p>
      <w:pPr>
        <w:pStyle w:val="Heading3"/>
      </w:pPr>
      <w:r>
        <w:t xml:space="preserve">Display names</w:t>
      </w:r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“median LOS”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bookmarkStart w:id="53" w:name="conventions"/>
    <w:p>
      <w:pPr>
        <w:pStyle w:val="Heading4"/>
      </w:pPr>
      <w:r>
        <w:t xml:space="preserve">Conventions</w:t>
      </w:r>
    </w:p>
    <w:p>
      <w:pPr>
        <w:pStyle w:val="FirstParagraph"/>
      </w:pPr>
      <w:r>
        <w:rPr>
          <w:b/>
          <w:bCs/>
        </w:rPr>
        <w:t xml:space="preserve">Labels begin lowercase.</w:t>
      </w:r>
      <w:r>
        <w:t xml:space="preserve"> </w:t>
      </w:r>
      <w:r>
        <w:t xml:space="preserve">“mean daily intakes”</w:t>
      </w:r>
      <w:r>
        <w:t xml:space="preserve">, not</w:t>
      </w:r>
      <w:r>
        <w:t xml:space="preserve"> </w:t>
      </w:r>
      <w:r>
        <w:t xml:space="preserve">“Mean daily intakes”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  <w:bCs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  <w:bCs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“in care”</w:t>
      </w:r>
      <w:r>
        <w:t xml:space="preserve"> </w:t>
      </w:r>
      <w:r>
        <w:t xml:space="preserve">and</w:t>
      </w:r>
      <w:r>
        <w:t xml:space="preserve"> </w:t>
      </w:r>
      <w:r>
        <w:t xml:space="preserve">“in-care”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already in</w:t>
      </w:r>
      <w:r>
        <w:t xml:space="preserve"> </w:t>
      </w:r>
      <w:r>
        <w:t xml:space="preserve">care;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</w:t>
      </w:r>
      <w:r>
        <w:t xml:space="preserve"> </w:t>
      </w:r>
      <w:r>
        <w:t xml:space="preserve">both views side by side and they diverge hard.</w:t>
      </w:r>
    </w:p>
    <w:bookmarkEnd w:id="53"/>
    <w:bookmarkStart w:id="54" w:name="entry-shape"/>
    <w:p>
      <w:pPr>
        <w:pStyle w:val="Heading4"/>
      </w:pPr>
      <w:r>
        <w:t xml:space="preserve">Entry shape</w:t>
      </w:r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“Median”</w:t>
      </w:r>
      <w:r>
        <w:t xml:space="preserve">.</w:t>
      </w:r>
    </w:p>
    <w:bookmarkEnd w:id="54"/>
    <w:bookmarkStart w:id="55" w:name="three-namespaces"/>
    <w:p>
      <w:pPr>
        <w:pStyle w:val="Heading4"/>
      </w:pPr>
      <w:r>
        <w:t xml:space="preserve">Three namespaces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measure names from stratum matrices, unified scalars, regression table columns</w:t>
            </w:r>
          </w:p>
        </w:tc>
        <w:tc>
          <w:tcPr/>
          <w:p>
            <w:pPr>
              <w:pStyle w:val="Compact"/>
            </w:pPr>
            <w:r>
              <w:t xml:space="preserve">a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tcPr/>
          <w:p>
            <w:pPr>
              <w:pStyle w:val="Compact"/>
            </w:pPr>
            <w:r>
              <w:t xml:space="preserve">a figure title, and the filename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 phrase used inside titles</w:t>
            </w:r>
          </w:p>
        </w:tc>
      </w:tr>
    </w:tbl>
    <w:bookmarkEnd w:id="55"/>
    <w:bookmarkStart w:id="56" w:name="three-structural-rules"/>
    <w:p>
      <w:pPr>
        <w:pStyle w:val="Heading4"/>
      </w:pPr>
      <w:r>
        <w:t xml:space="preserve">Three structural rules</w:t>
      </w:r>
    </w:p>
    <w:p>
      <w:pPr>
        <w:pStyle w:val="FirstParagraph"/>
      </w:pPr>
      <w:r>
        <w:rPr>
          <w:b/>
          <w:bCs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  <w:bCs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“L community live”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for it.</w:t>
      </w:r>
    </w:p>
    <w:bookmarkEnd w:id="56"/>
    <w:bookmarkStart w:id="57" w:name="the-fallback"/>
    <w:p>
      <w:pPr>
        <w:pStyle w:val="Heading4"/>
      </w:pPr>
      <w:r>
        <w:t xml:space="preserve">The fallback</w:t>
      </w:r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bookmarkEnd w:id="57"/>
    <w:bookmarkEnd w:id="58"/>
    <w:bookmarkStart w:id="60" w:name="content-blocks"/>
    <w:p>
      <w:pPr>
        <w:pStyle w:val="Heading3"/>
      </w:pPr>
      <w:r>
        <w:t xml:space="preserve">Content blocks</w:t>
      </w:r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bookmarkStart w:id="59" w:name="table"/>
    <w:p>
      <w:pPr>
        <w:pStyle w:val="Heading4"/>
      </w:pPr>
      <w:r>
        <w:rPr>
          <w:rStyle w:val="VerbatimChar"/>
        </w:rPr>
        <w:t xml:space="preserve">Table</w:t>
      </w:r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  <w:bCs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“9 H”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  <w:bCs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  <w:bCs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  <w:bCs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bookmarkEnd w:id="59"/>
    <w:bookmarkEnd w:id="60"/>
    <w:bookmarkStart w:id="61" w:name="slide-rules"/>
    <w:p>
      <w:pPr>
        <w:pStyle w:val="Heading3"/>
      </w:pPr>
      <w:r>
        <w:t xml:space="preserve">Slide rules</w:t>
      </w:r>
    </w:p>
    <w:p>
      <w:pPr>
        <w:pStyle w:val="FirstParagraph"/>
      </w:pPr>
      <w:r>
        <w:rPr>
          <w:b/>
          <w:bCs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  <w:r>
        <w:t xml:space="preserve"> </w:t>
      </w:r>
      <w:r>
        <w:rPr>
          <w:rStyle w:val="VerbatimChar"/>
        </w:rPr>
        <w:t xml:space="preserve">resolved_settings</w:t>
      </w:r>
      <w:r>
        <w:t xml:space="preserve"> </w:t>
      </w:r>
      <w:r>
        <w:t xml:space="preserve">does it and is idempotent, so a second entry point that</w:t>
      </w:r>
      <w:r>
        <w:t xml:space="preserve"> </w:t>
      </w:r>
      <w:r>
        <w:t xml:space="preserve">resolves again loses nothing.</w:t>
      </w:r>
    </w:p>
    <w:p>
      <w:pPr>
        <w:pStyle w:val="BodyText"/>
      </w:pPr>
      <w:r>
        <w:rPr>
          <w:rStyle w:val="VerbatimChar"/>
        </w:rPr>
        <w:t xml:space="preserve">assemble</w:t>
      </w:r>
      <w:r>
        <w:t xml:space="preserve"> </w:t>
      </w:r>
      <w:r>
        <w:t xml:space="preserve">is the seam that separates choosing slides from writing a deck: it</w:t>
      </w:r>
      <w:r>
        <w:t xml:space="preserve"> </w:t>
      </w:r>
      <w:r>
        <w:t xml:space="preserve">returns the whole list and writes no file, which is how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 </w:t>
      </w:r>
      <w:r>
        <w:t xml:space="preserve">composes</w:t>
      </w:r>
      <w:r>
        <w:t xml:space="preserve"> </w:t>
      </w:r>
      <w:r>
        <w:t xml:space="preserve">a second deck from the same rules rather than reading one back out of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. It draws, though, putting the ratio and reserve figures in the</w:t>
      </w:r>
      <w:r>
        <w:t xml:space="preserve"> </w:t>
      </w:r>
      <w:r>
        <w:t xml:space="preserve">directory it is handed, so a caller wanting only the titles gives it one it is</w:t>
      </w:r>
      <w:r>
        <w:t xml:space="preserve"> </w:t>
      </w:r>
      <w:r>
        <w:t xml:space="preserve">willing to have written to.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is that call plus the output: the workbook,</w:t>
      </w:r>
      <w:r>
        <w:t xml:space="preserve"> </w:t>
      </w:r>
      <w:r>
        <w:t xml:space="preserve">the figure manifest, the slide sidecar, and the render.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“if intake type turns out to</w:t>
      </w:r>
      <w:r>
        <w:t xml:space="preserve"> </w:t>
      </w:r>
      <w:r>
        <w:t xml:space="preserve">matter”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one existing rule shows the fallback discipline worth keeping: both figures</w:t>
      </w:r>
      <w:r>
        <w:t xml:space="preserve"> </w:t>
      </w:r>
      <w:r>
        <w:t xml:space="preserve">are optional, since output flags can switch either off. With one missing the</w:t>
      </w:r>
      <w:r>
        <w:t xml:space="preserve"> </w:t>
      </w:r>
      <w:r>
        <w:t xml:space="preserve">survivor runs full width; with both missing the table still carries the slide.</w:t>
      </w:r>
    </w:p>
    <w:bookmarkEnd w:id="61"/>
    <w:bookmarkStart w:id="62" w:name="the-deck-plan"/>
    <w:p>
      <w:pPr>
        <w:pStyle w:val="Heading3"/>
      </w:pPr>
      <w:r>
        <w:t xml:space="preserve">The deck plan</w:t>
      </w:r>
    </w:p>
    <w:p>
      <w:pPr>
        <w:pStyle w:val="FirstParagraph"/>
      </w:pPr>
      <w:r>
        <w:rPr>
          <w:b/>
          <w:bCs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  <w:iCs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bookmarkEnd w:id="62"/>
    <w:bookmarkStart w:id="63" w:name="figures-this-package-draws"/>
    <w:p>
      <w:pPr>
        <w:pStyle w:val="Heading3"/>
      </w:pPr>
      <w:r>
        <w:t xml:space="preserve">Figures this package draws</w:t>
      </w:r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bold title inside the figure, large type, dashed</w:t>
      </w:r>
      <w:r>
        <w:t xml:space="preserve"> </w:t>
      </w:r>
      <w:r>
        <w:t xml:space="preserve">light-gray gridlines, boxed legend, and the same 3200 x 2133 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  <w:iCs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“hazard ratios (HR)”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“HR”</w:t>
      </w:r>
      <w:r>
        <w:t xml:space="preserve">, the figure having less width to spare.</w:t>
      </w:r>
    </w:p>
    <w:bookmarkEnd w:id="63"/>
    <w:bookmarkStart w:id="64" w:name="renderers"/>
    <w:p>
      <w:pPr>
        <w:pStyle w:val="Heading3"/>
      </w:pPr>
      <w:r>
        <w:t xml:space="preserve">Renderers</w:t>
      </w:r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 Figures preserve their 4:3 aspect ratio</w:t>
      </w:r>
      <w:r>
        <w:t xml:space="preserve"> </w:t>
      </w:r>
      <w:r>
        <w:t xml:space="preserve">for consistency.</w:t>
      </w:r>
    </w:p>
    <w:p>
      <w:pPr>
        <w:pStyle w:val="BodyText"/>
      </w:pPr>
      <w:r>
        <w:t xml:space="preserve">A slide names one of six</w:t>
      </w:r>
      <w:r>
        <w:t xml:space="preserve"> </w:t>
      </w:r>
      <w:r>
        <w:rPr>
          <w:b/>
          <w:bCs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  <w:bCs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rPr>
          <w:rStyle w:val="VerbatimChar"/>
        </w:rPr>
        <w:t xml:space="preserve">COLUMN</w:t>
      </w:r>
      <w:r>
        <w:t xml:space="preserve"> </w:t>
      </w:r>
      <w:r>
        <w:t xml:space="preserve">puts them one above another instead, each centered on its own width</w:t>
      </w:r>
      <w:r>
        <w:t xml:space="preserve"> </w:t>
      </w:r>
      <w:r>
        <w:t xml:space="preserve">so its title sits over its own first column. For tables wide enough that a row</w:t>
      </w:r>
      <w:r>
        <w:t xml:space="preserve"> </w:t>
      </w:r>
      <w:r>
        <w:t xml:space="preserve">would squeeze both to half a slide and would invite a reader to compare them</w:t>
      </w:r>
      <w:r>
        <w:t xml:space="preserve"> </w:t>
      </w:r>
      <w:r>
        <w:t xml:space="preserve">column against column when they share none. Two is its capacity, a column</w:t>
      </w:r>
      <w:r>
        <w:t xml:space="preserve"> </w:t>
      </w:r>
      <w:r>
        <w:t xml:space="preserve">spending the slide’s height where a row spends its width.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Every table row is one line tall, header included, and pptx reads that as a</w:t>
      </w:r>
      <w:r>
        <w:t xml:space="preserve"> </w:t>
      </w:r>
      <w:r>
        <w:t xml:space="preserve">minimum: a header that genuinely wraps grows, and one that does not costs</w:t>
      </w:r>
      <w:r>
        <w:t xml:space="preserve"> </w:t>
      </w:r>
      <w:r>
        <w:t xml:space="preserve">nothing. The height a table is given counts the header as as many lines as the</w:t>
      </w:r>
      <w:r>
        <w:t xml:space="preserve"> </w:t>
      </w:r>
      <w:r>
        <w:t xml:space="preserve">width estimate predicts, and that estimate is deliberately generous; left to</w:t>
      </w:r>
      <w:r>
        <w:t xml:space="preserve"> </w:t>
      </w:r>
      <w:r>
        <w:t xml:space="preserve">divide evenly, the room reserved for a second header line was spread over the</w:t>
      </w:r>
      <w:r>
        <w:t xml:space="preserve"> </w:t>
      </w:r>
      <w:r>
        <w:t xml:space="preserve">data rows too.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  <w:bCs/>
        </w:rPr>
        <w:t xml:space="preserve">one footnote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  <w:bCs/>
        </w:rPr>
        <w:t xml:space="preserve">centered when it does not need the full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  <w:bCs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  <w:bCs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about half an inch more than the slide has and is</w:t>
      </w:r>
      <w:r>
        <w:t xml:space="preserve"> </w:t>
      </w:r>
      <w:r>
        <w:t xml:space="preserve">squeezed to fit.</w:t>
      </w:r>
    </w:p>
    <w:p>
      <w:pPr>
        <w:pStyle w:val="BodyText"/>
      </w:pPr>
      <w:r>
        <w:rPr>
          <w:b/>
          <w:bCs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  <w:iCs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about 12.5 inches: the census slide uses 12.1, the</w:t>
      </w:r>
      <w:r>
        <w:t xml:space="preserve"> </w:t>
      </w:r>
      <w:r>
        <w:t xml:space="preserve">tenure slide 11.9, the animal-days slide 11.7. The animal-days slide has no</w:t>
      </w:r>
      <w:r>
        <w:t xml:space="preserve"> </w:t>
      </w:r>
      <w:r>
        <w:t xml:space="preserve">room for a fourth, and the reason is the numbers rather than the headings,</w:t>
      </w:r>
      <w:r>
        <w:t xml:space="preserve"> </w:t>
      </w:r>
      <w:r>
        <w:t xml:space="preserve">since five and six digits with a thousands separator need about an inch a</w:t>
      </w:r>
      <w:r>
        <w:t xml:space="preserve"> </w:t>
      </w:r>
      <w:r>
        <w:t xml:space="preserve">column; a share of the days owed would ask for 13.9</w:t>
      </w:r>
      <w:r>
        <w:t xml:space="preserve"> </w:t>
      </w:r>
      <w:r>
        <w:t xml:space="preserve">inches. It goes to the workbook and the slide’s findings instead. That is the</w:t>
      </w:r>
      <w:r>
        <w:t xml:space="preserve"> </w:t>
      </w:r>
      <w:r>
        <w:t xml:space="preserve">rule whenever a 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  <w:bCs/>
        </w:rPr>
        <w:t xml:space="preserve">“No Style, No Grid”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every other data row washed</w:t>
      </w:r>
      <w:r>
        <w:rPr>
          <w:b/>
          <w:bCs/>
        </w:rPr>
        <w:t xml:space="preserve"> </w:t>
      </w:r>
      <w:r>
        <w:rPr>
          <w:b/>
          <w:bCs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  <w:bCs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the OC data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  <w:bCs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bookmarkEnd w:id="64"/>
    <w:bookmarkStart w:id="67" w:name="everything-a-build-writes"/>
    <w:p>
      <w:pPr>
        <w:pStyle w:val="Heading3"/>
      </w:pPr>
      <w:r>
        <w:t xml:space="preserve">Everything a build writes</w:t>
      </w:r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Overwritten?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mlos_deck.pptx</w:t>
            </w:r>
          </w:p>
        </w:tc>
        <w:tc>
          <w:tcPr/>
          <w:p>
            <w:pPr>
              <w:pStyle w:val="Compact"/>
            </w:pPr>
            <w:r>
              <w:t xml:space="preserve">the deck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tcPr/>
          <w:p>
            <w:pPr>
              <w:pStyle w:val="Compact"/>
            </w:pPr>
            <w:r>
              <w:t xml:space="preserve">every table the build made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tcPr/>
          <w:p>
            <w:pPr>
              <w:pStyle w:val="Compact"/>
            </w:pPr>
            <w:r>
              <w:t xml:space="preserve">every figure this package drew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tcPr/>
          <w:p>
            <w:pPr>
              <w:pStyle w:val="Compact"/>
            </w:pPr>
            <w:r>
              <w:t xml:space="preserve">what those PNGs 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bookmarkStart w:id="65" w:name="the-figure-manifest"/>
    <w:p>
      <w:pPr>
        <w:pStyle w:val="Heading4"/>
      </w:pPr>
      <w:r>
        <w:t xml:space="preserve">The figure manifest</w:t>
      </w:r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bookmarkEnd w:id="65"/>
    <w:bookmarkStart w:id="66" w:name="what-gets-a-sheet"/>
    <w:p>
      <w:pPr>
        <w:pStyle w:val="Heading4"/>
      </w:pPr>
      <w:r>
        <w:t xml:space="preserve">What gets a sheet</w:t>
      </w:r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pStyle w:val="Compact"/>
        <w:numPr>
          <w:ilvl w:val="0"/>
          <w:numId w:val="1009"/>
        </w:numPr>
      </w:pPr>
      <w:r>
        <w:t xml:space="preserve">a table that never reaches a reader, existing only as a step between frames;</w:t>
      </w:r>
    </w:p>
    <w:p>
      <w:pPr>
        <w:pStyle w:val="Compact"/>
        <w:numPr>
          <w:ilvl w:val="0"/>
          <w:numId w:val="1009"/>
        </w:numPr>
      </w:pPr>
      <w:r>
        <w:t xml:space="preserve">a table that is merely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pStyle w:val="Compact"/>
        <w:numPr>
          <w:ilvl w:val="0"/>
          <w:numId w:val="1009"/>
        </w:numPr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  <w:iCs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  <w:bCs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Each share column follows the column it divides, and its header names that</w:t>
      </w:r>
      <w:r>
        <w:t xml:space="preserve"> </w:t>
      </w:r>
      <w:r>
        <w:t xml:space="preserve">quantity:</w:t>
      </w:r>
      <w:r>
        <w:t xml:space="preserve"> </w:t>
      </w:r>
      <w:r>
        <w:rPr>
          <w:rStyle w:val="VerbatimChar"/>
        </w:rPr>
        <w:t xml:space="preserve">Intakes,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Intakes/day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Census counted,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Census, counted</w:t>
      </w:r>
      <w:r>
        <w:t xml:space="preserve">. The slides can head a share</w:t>
      </w:r>
      <w:r>
        <w:t xml:space="preserve"> </w:t>
      </w:r>
      <w:r>
        <w:rPr>
          <w:rStyle w:val="VerbatimChar"/>
        </w:rPr>
        <w:t xml:space="preserve">Pct</w:t>
      </w:r>
      <w:r>
        <w:t xml:space="preserve"> </w:t>
      </w:r>
      <w:r>
        <w:t xml:space="preserve">because the column beside</w:t>
      </w:r>
      <w:r>
        <w:t xml:space="preserve"> </w:t>
      </w:r>
      <w:r>
        <w:t xml:space="preserve">it says what of; a sheet is read a column at a time and its order is not fixed,</w:t>
      </w:r>
      <w:r>
        <w:t xml:space="preserve"> </w:t>
      </w:r>
      <w:r>
        <w:t xml:space="preserve">so a header that leans on its neighbor is one column move away from being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“Lower, Upper”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bookmarkEnd w:id="66"/>
    <w:bookmarkEnd w:id="67"/>
    <w:bookmarkStart w:id="68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rule runs against every fixture.</w:t>
      </w:r>
      <w:r>
        <w:t xml:space="preserve"> </w:t>
      </w:r>
      <w:r>
        <w:t xml:space="preserve">The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pooled and per stratum, and</w:t>
      </w:r>
      <w:r>
        <w:t xml:space="preserve"> </w:t>
      </w:r>
      <w:r>
        <w:t xml:space="preserve">selectively disabled outputs.</w:t>
      </w:r>
    </w:p>
    <w:bookmarkEnd w:id="68"/>
    <w:bookmarkStart w:id="69" w:name="running-the-pieces"/>
    <w:p>
      <w:pPr>
        <w:pStyle w:val="Heading3"/>
      </w:pPr>
      <w:r>
        <w:t xml:space="preserve">Running the pieces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                          </w:t>
      </w:r>
      <w:r>
        <w:rPr>
          <w:rStyle w:val="CommentTok"/>
        </w:rPr>
        <w:t xml:space="preserve">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                    </w:t>
      </w:r>
      <w:r>
        <w:rPr>
          <w:rStyle w:val="CommentTok"/>
        </w:rPr>
        <w:t xml:space="preserve">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 out.pptx    </w:t>
      </w:r>
      <w:r>
        <w:rPr>
          <w:rStyle w:val="CommentTok"/>
        </w:rPr>
        <w:t xml:space="preserve">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x.yaml   </w:t>
      </w:r>
      <w:r>
        <w:rPr>
          <w:rStyle w:val="CommentTok"/>
        </w:rPr>
        <w:t xml:space="preserve">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--template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b.pptx   </w:t>
      </w:r>
      <w:r>
        <w:rPr>
          <w:rStyle w:val="CommentTok"/>
        </w:rPr>
        <w:t xml:space="preserve"># branded, whatever the file says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o.md             </w:t>
      </w:r>
      <w:r>
        <w:rPr>
          <w:rStyle w:val="CommentTok"/>
        </w:rPr>
        <w:t xml:space="preserve"># a variant deck from an outline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mlos_review.variant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titles an outline may borrow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</w:t>
      </w:r>
      <w:r>
        <w:rPr>
          <w:rStyle w:val="CommentTok"/>
        </w:rPr>
        <w:t xml:space="preserve">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</w:t>
      </w:r>
      <w:r>
        <w:rPr>
          <w:rStyle w:val="CommentTok"/>
        </w:rPr>
        <w:t xml:space="preserve">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br/>
      </w:r>
      <w:r>
        <w:rPr>
          <w:rStyle w:val="ExtensionTok"/>
        </w:rPr>
        <w:t xml:space="preserve">pdf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. out.pptx </w:t>
      </w:r>
      <w:r>
        <w:rPr>
          <w:rStyle w:val="KeywordTok"/>
        </w:rPr>
        <w:t xml:space="preserve">```</w:t>
      </w:r>
      <w:r>
        <w:br/>
      </w:r>
      <w:r>
        <w:br/>
      </w:r>
      <w:r>
        <w:rPr>
          <w:rStyle w:val="ExtensionTok"/>
        </w:rPr>
        <w:t xml:space="preserve">Dependencies</w:t>
      </w:r>
      <w:r>
        <w:rPr>
          <w:rStyle w:val="NormalTok"/>
        </w:rPr>
        <w:t xml:space="preserve"> are declared in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at</w:t>
      </w:r>
      <w:r>
        <w:rPr>
          <w:rStyle w:val="NormalTok"/>
        </w:rPr>
        <w:t xml:space="preserve"> the repository root, which is</w:t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one place they are stated: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pandas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python-pptx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PyYAML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matplotlib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openpyxl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on Python 3.9 or newer. All five are needed by an ordinary</w:t>
      </w:r>
      <w:r>
        <w:br/>
      </w:r>
      <w:r>
        <w:rPr>
          <w:rStyle w:val="ExtensionTok"/>
        </w:rPr>
        <w:t xml:space="preserve">build:</w:t>
      </w:r>
      <w:r>
        <w:rPr>
          <w:rStyle w:val="NormalTok"/>
        </w:rPr>
        <w:t xml:space="preserve"> matplotlib draws the hazard-ratio figure and is imported the moment</w:t>
      </w:r>
      <w:r>
        <w:br/>
      </w:r>
      <w:r>
        <w:rPr>
          <w:rStyle w:val="KeywordTok"/>
        </w:rPr>
        <w:t xml:space="preserve">`</w:t>
      </w:r>
      <w:r>
        <w:rPr>
          <w:rStyle w:val="NormalTok"/>
        </w:rPr>
        <w:t xml:space="preserve">deck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is,</w:t>
      </w:r>
      <w:r>
        <w:rPr>
          <w:rStyle w:val="NormalTok"/>
        </w:rPr>
        <w:t xml:space="preserve"> and openpyxl writes the companion workbook every run produces.</w:t>
      </w:r>
      <w:r>
        <w:br/>
      </w:r>
      <w:r>
        <w:rPr>
          <w:rStyle w:val="ExtensionTok"/>
        </w:rPr>
        <w:t xml:space="preserve">Neither</w:t>
      </w:r>
      <w:r>
        <w:rPr>
          <w:rStyle w:val="NormalTok"/>
        </w:rPr>
        <w:t xml:space="preserve"> pandas major is preferred: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sets</w:t>
      </w:r>
      <w:r>
        <w:rPr>
          <w:rStyle w:val="NormalTok"/>
        </w:rPr>
        <w:t xml:space="preserve"> no ceiling, so an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picks pandas 3 on Python 3.11 or newer and pandas 2 below it, and</w:t>
      </w:r>
      <w:r>
        <w:br/>
      </w:r>
      <w:r>
        <w:rPr>
          <w:rStyle w:val="ExtensionTok"/>
        </w:rPr>
        <w:t xml:space="preserve">continuous</w:t>
      </w:r>
      <w:r>
        <w:rPr>
          <w:rStyle w:val="NormalTok"/>
        </w:rPr>
        <w:t xml:space="preserve"> integration runs the suite against both. To install them, from the</w:t>
      </w:r>
      <w:r>
        <w:br/>
      </w:r>
      <w:r>
        <w:rPr>
          <w:rStyle w:val="ExtensionTok"/>
        </w:rPr>
        <w:t xml:space="preserve">repository</w:t>
      </w:r>
      <w:r>
        <w:rPr>
          <w:rStyle w:val="NormalTok"/>
        </w:rPr>
        <w:t xml:space="preserve"> root: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NormalTok"/>
        </w:rPr>
        <w:t xml:space="preserve">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design-decisions-and-why"/>
    <w:p>
      <w:pPr>
        <w:pStyle w:val="Heading2"/>
      </w:pPr>
      <w:r>
        <w:t xml:space="preserve">Design decisions and why</w:t>
      </w:r>
    </w:p>
    <w:p>
      <w:pPr>
        <w:pStyle w:val="FirstParagraph"/>
      </w:pPr>
      <w:r>
        <w:rPr>
          <w:b/>
          <w:bCs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  <w:bCs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  <w:bCs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bookmarkEnd w:id="71"/>
    <w:bookmarkStart w:id="72" w:name="known-gaps"/>
    <w:p>
      <w:pPr>
        <w:pStyle w:val="Heading2"/>
      </w:pPr>
      <w:r>
        <w:t xml:space="preserve">Known gaps</w:t>
      </w:r>
    </w:p>
    <w:p>
      <w:pPr>
        <w:pStyle w:val="FirstParagraph"/>
      </w:pPr>
      <w:r>
        <w:t xml:space="preserve">Ordered roughly by how much they block the next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  <w:bCs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field_summary_table</w:t>
      </w:r>
      <w:r>
        <w:rPr>
          <w:b/>
          <w:bCs/>
        </w:rPr>
        <w:t xml:space="preserve"> </w:t>
      </w:r>
      <w:r>
        <w:rPr>
          <w:b/>
          <w:bCs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fields with six levels between them,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report and spreadsheet renderers do not exist.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5281/zenodo.22135419" TargetMode="External" /><Relationship Type="http://schemas.openxmlformats.org/officeDocument/2006/relationships/hyperlink" Id="rId12" Target="https://github.com/Shelter-Data-Analysis/mLOS/blob/main/CONTRIBUTING.md" TargetMode="External" /><Relationship Type="http://schemas.openxmlformats.org/officeDocument/2006/relationships/hyperlink" Id="rId11" Target="https://github.com/Shelter-Data-Analysis/mLOS/issu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5281/zenodo.22135419" TargetMode="External" /><Relationship Type="http://schemas.openxmlformats.org/officeDocument/2006/relationships/hyperlink" Id="rId12" Target="https://github.com/Shelter-Data-Analysis/mLOS/blob/main/CONTRIBUTING.md" TargetMode="External" /><Relationship Type="http://schemas.openxmlformats.org/officeDocument/2006/relationships/hyperlink" Id="rId11" Target="https://github.com/Shelter-Data-Analysis/mLOS/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2026-09-08T01:18:49Z</dcterms:created>
  <dcterms:modified xsi:type="dcterms:W3CDTF">2026-09-08T01:18:49Z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