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Factor IC Test Report — Full Market</w:t>
      </w:r>
    </w:p>
    <w:p>
      <w:pPr>
        <w:jc w:val="center"/>
      </w:pPr>
      <w:r>
        <w:rPr>
          <w:color w:val="003366"/>
          <w:sz w:val="28"/>
        </w:rPr>
        <w:t>SDL (Smart-Dumb Lag / 主力-叙事时差)</w:t>
      </w:r>
    </w:p>
    <w:p>
      <w:pPr>
        <w:jc w:val="center"/>
      </w:pPr>
      <w:r>
        <w:t>Report Date: 2026-05-03 18:54</w:t>
        <w:br/>
        <w:t>Universe: 200 stocks (from CSI 300 + top turnover)</w:t>
        <w:br/>
        <w:t>Sample Period: 2025-09-26 to 2026-04-30</w:t>
        <w:br/>
        <w:t>Method: Cross-sectional Rank IC | Factor: 主力净流入额(亿元)</w:t>
      </w:r>
    </w:p>
    <w:p>
      <w:r>
        <w:t>____________________________________________________________</w:t>
      </w:r>
    </w:p>
    <w:p>
      <w:pPr>
        <w:pStyle w:val="Heading1"/>
      </w:pPr>
      <w:r>
        <w:t>1. Factor Definition</w:t>
      </w:r>
    </w:p>
    <w:p>
      <w:r>
        <w:t>SDL (Smart-Dumb Lag): Measures the "information gap" between institutional smart money and retail traders. In this test, SDL = daily 主力净流入额 (in 亿元), serving as a proxy for institutional trading direction. Rationale: Institutions have information advantages; when they are net buying, the stock is more likely to appreciate as retail traders follow in subsequent days.</w:t>
      </w:r>
    </w:p>
    <w:p>
      <w:pPr>
        <w:pStyle w:val="Heading1"/>
      </w:pPr>
      <w:r>
        <w:t>2. IC Summary Statistics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 Mean</w:t>
            </w:r>
          </w:p>
        </w:tc>
        <w:tc>
          <w:tcPr>
            <w:tcW w:type="dxa" w:w="4320"/>
          </w:tcPr>
          <w:p>
            <w:r>
              <w:t>0.1301</w:t>
            </w:r>
          </w:p>
        </w:tc>
      </w:tr>
      <w:tr>
        <w:tc>
          <w:tcPr>
            <w:tcW w:type="dxa" w:w="4320"/>
          </w:tcPr>
          <w:p>
            <w:r>
              <w:t>IC Std Dev</w:t>
            </w:r>
          </w:p>
        </w:tc>
        <w:tc>
          <w:tcPr>
            <w:tcW w:type="dxa" w:w="4320"/>
          </w:tcPr>
          <w:p>
            <w:r>
              <w:t>0.1357</w:t>
            </w:r>
          </w:p>
        </w:tc>
      </w:tr>
      <w:tr>
        <w:tc>
          <w:tcPr>
            <w:tcW w:type="dxa" w:w="4320"/>
          </w:tcPr>
          <w:p>
            <w:r>
              <w:t>ICIR</w:t>
            </w:r>
          </w:p>
        </w:tc>
        <w:tc>
          <w:tcPr>
            <w:tcW w:type="dxa" w:w="4320"/>
          </w:tcPr>
          <w:p>
            <w:r>
              <w:t>0.959</w:t>
            </w:r>
          </w:p>
        </w:tc>
      </w:tr>
      <w:tr>
        <w:tc>
          <w:tcPr>
            <w:tcW w:type="dxa" w:w="4320"/>
          </w:tcPr>
          <w:p>
            <w:r>
              <w:t>t-statistic</w:t>
            </w:r>
          </w:p>
        </w:tc>
        <w:tc>
          <w:tcPr>
            <w:tcW w:type="dxa" w:w="4320"/>
          </w:tcPr>
          <w:p>
            <w:r>
              <w:t>10.460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  <w:tr>
        <w:tc>
          <w:tcPr>
            <w:tcW w:type="dxa" w:w="4320"/>
          </w:tcPr>
          <w:p>
            <w:r>
              <w:t>Newey-West t</w:t>
            </w:r>
          </w:p>
        </w:tc>
        <w:tc>
          <w:tcPr>
            <w:tcW w:type="dxa" w:w="4320"/>
          </w:tcPr>
          <w:p>
            <w:r>
              <w:t>10.292</w:t>
            </w:r>
          </w:p>
        </w:tc>
      </w:tr>
      <w:tr>
        <w:tc>
          <w:tcPr>
            <w:tcW w:type="dxa" w:w="4320"/>
          </w:tcPr>
          <w:p>
            <w:r>
              <w:t>IC &gt; 0%</w:t>
            </w:r>
          </w:p>
        </w:tc>
        <w:tc>
          <w:tcPr>
            <w:tcW w:type="dxa" w:w="4320"/>
          </w:tcPr>
          <w:p>
            <w:r>
              <w:t>83.2%</w:t>
            </w:r>
          </w:p>
        </w:tc>
      </w:tr>
      <w:tr>
        <w:tc>
          <w:tcPr>
            <w:tcW w:type="dxa" w:w="4320"/>
          </w:tcPr>
          <w:p>
            <w:r>
              <w:t>Trading Days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SIGNIFICANT</w:t>
            </w:r>
          </w:p>
        </w:tc>
      </w:tr>
    </w:tbl>
    <w:p>
      <w:r>
        <w:rPr>
          <w:b/>
        </w:rPr>
        <w:t xml:space="preserve">  Forward Horizon: 1d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 Mean</w:t>
            </w:r>
          </w:p>
        </w:tc>
        <w:tc>
          <w:tcPr>
            <w:tcW w:type="dxa" w:w="4320"/>
          </w:tcPr>
          <w:p>
            <w:r>
              <w:t>0.1504</w:t>
            </w:r>
          </w:p>
        </w:tc>
      </w:tr>
      <w:tr>
        <w:tc>
          <w:tcPr>
            <w:tcW w:type="dxa" w:w="4320"/>
          </w:tcPr>
          <w:p>
            <w:r>
              <w:t>IC Std Dev</w:t>
            </w:r>
          </w:p>
        </w:tc>
        <w:tc>
          <w:tcPr>
            <w:tcW w:type="dxa" w:w="4320"/>
          </w:tcPr>
          <w:p>
            <w:r>
              <w:t>0.1311</w:t>
            </w:r>
          </w:p>
        </w:tc>
      </w:tr>
      <w:tr>
        <w:tc>
          <w:tcPr>
            <w:tcW w:type="dxa" w:w="4320"/>
          </w:tcPr>
          <w:p>
            <w:r>
              <w:t>ICIR</w:t>
            </w:r>
          </w:p>
        </w:tc>
        <w:tc>
          <w:tcPr>
            <w:tcW w:type="dxa" w:w="4320"/>
          </w:tcPr>
          <w:p>
            <w:r>
              <w:t>1.148</w:t>
            </w:r>
          </w:p>
        </w:tc>
      </w:tr>
      <w:tr>
        <w:tc>
          <w:tcPr>
            <w:tcW w:type="dxa" w:w="4320"/>
          </w:tcPr>
          <w:p>
            <w:r>
              <w:t>t-statistic</w:t>
            </w:r>
          </w:p>
        </w:tc>
        <w:tc>
          <w:tcPr>
            <w:tcW w:type="dxa" w:w="4320"/>
          </w:tcPr>
          <w:p>
            <w:r>
              <w:t>12.307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0.000000</w:t>
            </w:r>
          </w:p>
        </w:tc>
      </w:tr>
      <w:tr>
        <w:tc>
          <w:tcPr>
            <w:tcW w:type="dxa" w:w="4320"/>
          </w:tcPr>
          <w:p>
            <w:r>
              <w:t>Newey-West t</w:t>
            </w:r>
          </w:p>
        </w:tc>
        <w:tc>
          <w:tcPr>
            <w:tcW w:type="dxa" w:w="4320"/>
          </w:tcPr>
          <w:p>
            <w:r>
              <w:t>10.319</w:t>
            </w:r>
          </w:p>
        </w:tc>
      </w:tr>
      <w:tr>
        <w:tc>
          <w:tcPr>
            <w:tcW w:type="dxa" w:w="4320"/>
          </w:tcPr>
          <w:p>
            <w:r>
              <w:t>IC &gt; 0%</w:t>
            </w:r>
          </w:p>
        </w:tc>
        <w:tc>
          <w:tcPr>
            <w:tcW w:type="dxa" w:w="4320"/>
          </w:tcPr>
          <w:p>
            <w:r>
              <w:t>86.1%</w:t>
            </w:r>
          </w:p>
        </w:tc>
      </w:tr>
      <w:tr>
        <w:tc>
          <w:tcPr>
            <w:tcW w:type="dxa" w:w="4320"/>
          </w:tcPr>
          <w:p>
            <w:r>
              <w:t>Trading Days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SIGNIFICANT</w:t>
            </w:r>
          </w:p>
        </w:tc>
      </w:tr>
    </w:tbl>
    <w:p>
      <w:r>
        <w:rPr>
          <w:b/>
        </w:rPr>
        <w:t xml:space="preserve">  Forward Horizon: 5d</w:t>
      </w:r>
    </w:p>
    <w:p>
      <w:pPr>
        <w:pStyle w:val="Heading1"/>
      </w:pPr>
      <w:r>
        <w:t>3. Group Portfolio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Mean Forward Flow(亿)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Q1 (Low)</w:t>
            </w:r>
          </w:p>
        </w:tc>
        <w:tc>
          <w:tcPr>
            <w:tcW w:type="dxa" w:w="2880"/>
          </w:tcPr>
          <w:p>
            <w:r>
              <w:t>-99988757.27</w:t>
            </w:r>
          </w:p>
        </w:tc>
        <w:tc>
          <w:tcPr>
            <w:tcW w:type="dxa" w:w="2880"/>
          </w:tcPr>
          <w:p>
            <w:r>
              <w:t>4760</w:t>
            </w:r>
          </w:p>
        </w:tc>
      </w:tr>
      <w:tr>
        <w:tc>
          <w:tcPr>
            <w:tcW w:type="dxa" w:w="2880"/>
          </w:tcPr>
          <w:p>
            <w:r>
              <w:t>Q2 (2)</w:t>
            </w:r>
          </w:p>
        </w:tc>
        <w:tc>
          <w:tcPr>
            <w:tcW w:type="dxa" w:w="2880"/>
          </w:tcPr>
          <w:p>
            <w:r>
              <w:t>-28351394.05</w:t>
            </w:r>
          </w:p>
        </w:tc>
        <w:tc>
          <w:tcPr>
            <w:tcW w:type="dxa" w:w="2880"/>
          </w:tcPr>
          <w:p>
            <w:r>
              <w:t>4760</w:t>
            </w:r>
          </w:p>
        </w:tc>
      </w:tr>
      <w:tr>
        <w:tc>
          <w:tcPr>
            <w:tcW w:type="dxa" w:w="2880"/>
          </w:tcPr>
          <w:p>
            <w:r>
              <w:t>Q3 (3)</w:t>
            </w:r>
          </w:p>
        </w:tc>
        <w:tc>
          <w:tcPr>
            <w:tcW w:type="dxa" w:w="2880"/>
          </w:tcPr>
          <w:p>
            <w:r>
              <w:t>-11320728.26</w:t>
            </w:r>
          </w:p>
        </w:tc>
        <w:tc>
          <w:tcPr>
            <w:tcW w:type="dxa" w:w="2880"/>
          </w:tcPr>
          <w:p>
            <w:r>
              <w:t>4760</w:t>
            </w:r>
          </w:p>
        </w:tc>
      </w:tr>
      <w:tr>
        <w:tc>
          <w:tcPr>
            <w:tcW w:type="dxa" w:w="2880"/>
          </w:tcPr>
          <w:p>
            <w:r>
              <w:t>Q4 (4)</w:t>
            </w:r>
          </w:p>
        </w:tc>
        <w:tc>
          <w:tcPr>
            <w:tcW w:type="dxa" w:w="2880"/>
          </w:tcPr>
          <w:p>
            <w:r>
              <w:t>-6414798.05</w:t>
            </w:r>
          </w:p>
        </w:tc>
        <w:tc>
          <w:tcPr>
            <w:tcW w:type="dxa" w:w="2880"/>
          </w:tcPr>
          <w:p>
            <w:r>
              <w:t>4760</w:t>
            </w:r>
          </w:p>
        </w:tc>
      </w:tr>
      <w:tr>
        <w:tc>
          <w:tcPr>
            <w:tcW w:type="dxa" w:w="2880"/>
          </w:tcPr>
          <w:p>
            <w:r>
              <w:t>Q5 (High)</w:t>
            </w:r>
          </w:p>
        </w:tc>
        <w:tc>
          <w:tcPr>
            <w:tcW w:type="dxa" w:w="2880"/>
          </w:tcPr>
          <w:p>
            <w:r>
              <w:t>-45858986.99</w:t>
            </w:r>
          </w:p>
        </w:tc>
        <w:tc>
          <w:tcPr>
            <w:tcW w:type="dxa" w:w="2880"/>
          </w:tcPr>
          <w:p>
            <w:r>
              <w:t>4760</w:t>
            </w:r>
          </w:p>
        </w:tc>
      </w:tr>
    </w:tbl>
    <w:p>
      <w:r>
        <w:br/>
        <w:t>Top-Bottom Spread: 54129770.28 亿元</w:t>
      </w:r>
    </w:p>
    <w:p>
      <w:r>
        <w:t>Positive spread: Higher SDL (more institutional buying) predicts higher future flows.</w:t>
      </w:r>
    </w:p>
    <w:p>
      <w:pPr>
        <w:pStyle w:val="Heading1"/>
      </w:pPr>
      <w:r>
        <w:t>4. Sample Statistics</w:t>
      </w:r>
    </w:p>
    <w:p>
      <w:r>
        <w:t>Total observations: 23800</w:t>
      </w:r>
    </w:p>
    <w:p>
      <w:r>
        <w:t>Mean flow: -37671990.39亿</w:t>
      </w:r>
    </w:p>
    <w:p>
      <w:r>
        <w:t>Std flow: 310712214.96亿</w:t>
      </w:r>
    </w:p>
    <w:p>
      <w:r>
        <w:t>Stocks with data: 200</w:t>
      </w:r>
    </w:p>
    <w:p>
      <w:r>
        <w:t>Trading days: 139</w:t>
      </w:r>
    </w:p>
    <w:p>
      <w:pPr>
        <w:pStyle w:val="Heading1"/>
      </w:pPr>
      <w:r>
        <w:t>5. Sample Universe</w:t>
      </w:r>
    </w:p>
    <w:p>
      <w:r>
        <w:t>Top 10 by avg institutional inflow:</w:t>
      </w:r>
    </w:p>
    <w:p>
      <w:r>
        <w:t xml:space="preserve">  000333 美的集团: avg 54600443.66亿</w:t>
      </w:r>
    </w:p>
    <w:p>
      <w:r>
        <w:t xml:space="preserve">  002371 北方华创: avg 45966582.54亿</w:t>
      </w:r>
    </w:p>
    <w:p>
      <w:r>
        <w:t xml:space="preserve">  600919 江苏银行: avg 25395241.59亿</w:t>
      </w:r>
    </w:p>
    <w:p>
      <w:r>
        <w:t xml:space="preserve">  600926 杭州银行: avg 22103334.84亿</w:t>
      </w:r>
    </w:p>
    <w:p>
      <w:r>
        <w:t xml:space="preserve">  601088 中国神华: avg 21759916.50亿</w:t>
      </w:r>
    </w:p>
    <w:p>
      <w:r>
        <w:t xml:space="preserve">  600031 三一重工: avg 15304578.55亿</w:t>
      </w:r>
    </w:p>
    <w:p>
      <w:r>
        <w:t xml:space="preserve">  601229 上海银行: avg 11377393.23亿</w:t>
      </w:r>
    </w:p>
    <w:p>
      <w:r>
        <w:t xml:space="preserve">  600585 海螺水泥: avg 9624307.66亿</w:t>
      </w:r>
    </w:p>
    <w:p>
      <w:r>
        <w:t xml:space="preserve">  000725 京东方Ａ: avg 7945232.11亿</w:t>
      </w:r>
    </w:p>
    <w:p>
      <w:r>
        <w:t xml:space="preserve">  002916 深南电路: avg 6632568.24亿</w:t>
      </w:r>
    </w:p>
    <w:p>
      <w:r>
        <w:t>Bottom 10 by avg institutional inflow:</w:t>
      </w:r>
    </w:p>
    <w:p>
      <w:r>
        <w:t xml:space="preserve">  300308 中际旭创: avg -358407170.96亿</w:t>
      </w:r>
    </w:p>
    <w:p>
      <w:r>
        <w:t xml:space="preserve">  300274 阳光电源: avg -326667052.91亿</w:t>
      </w:r>
    </w:p>
    <w:p>
      <w:r>
        <w:t xml:space="preserve">  600089 特变电工: avg -319248761.82亿</w:t>
      </w:r>
    </w:p>
    <w:p>
      <w:r>
        <w:t xml:space="preserve">  601138 工业富联: avg -287009304.47亿</w:t>
      </w:r>
    </w:p>
    <w:p>
      <w:r>
        <w:t xml:space="preserve">  300059 东方财富: avg -266671740.50亿</w:t>
      </w:r>
    </w:p>
    <w:p>
      <w:r>
        <w:t xml:space="preserve">  300502 新易盛: avg -238738949.78亿</w:t>
      </w:r>
    </w:p>
    <w:p>
      <w:r>
        <w:t xml:space="preserve">  000063 中兴通讯: avg -187934213.07亿</w:t>
      </w:r>
    </w:p>
    <w:p>
      <w:r>
        <w:t xml:space="preserve">  601127 赛力斯: avg -159412827.24亿</w:t>
      </w:r>
    </w:p>
    <w:p>
      <w:r>
        <w:t xml:space="preserve">  300476 胜宏科技: avg -157780692.84亿</w:t>
      </w:r>
    </w:p>
    <w:p>
      <w:r>
        <w:t xml:space="preserve">  300394 天孚通信: avg -155756703.60亿</w:t>
      </w:r>
    </w:p>
    <w:p>
      <w:pPr>
        <w:pStyle w:val="Heading1"/>
      </w:pPr>
      <w:r>
        <w:t>6. Conclusion</w:t>
      </w:r>
    </w:p>
    <w:p>
      <w:r>
        <w:t>SDL factor demonstrates statistically significant predictive power in the CSI 300 universe. Best horizon: 5d with ICIR=1.148 and NW t=10.319. The factor shows that institutional fund flows have momentum persistence - stocks with strong institutional buying tend to continue receiving inflows in subsequent days. This is consistent with the "information cascade" theory where smart money leads and retail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