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Factor IC Test Report — Full Market v2</w:t>
      </w:r>
    </w:p>
    <w:p>
      <w:pPr>
        <w:jc w:val="center"/>
      </w:pPr>
      <w:r>
        <w:rPr>
          <w:color w:val="003366"/>
          <w:sz w:val="28"/>
        </w:rPr>
        <w:t>SDL (Smart-Dumb Lag / 主力-叙事时差)  —  Price Return Target</w:t>
      </w:r>
    </w:p>
    <w:p>
      <w:pPr>
        <w:jc w:val="center"/>
      </w:pPr>
      <w:r>
        <w:t>Report Date: 2026-05-03 19:02</w:t>
        <w:br/>
        <w:t>Universe: 200 stocks</w:t>
        <w:br/>
        <w:t>Sample: 2025-10-15 to 2026-04-30 (133 days)</w:t>
        <w:br/>
        <w:t>Total observations: 23993</w:t>
        <w:br/>
        <w:t>Factor: 主力净流入/股价 (normalized for cross-sectional comparability)</w:t>
        <w:br/>
        <w:t>Target: Forward price returns (1d, 5d, 10d, 20d)</w:t>
        <w:br/>
        <w:t>Method: Cross-sectional Rank IC (daily rank correlation across stocks)</w:t>
      </w:r>
    </w:p>
    <w:p>
      <w:r>
        <w:t>____________________________________________________________</w:t>
      </w:r>
    </w:p>
    <w:p>
      <w:pPr>
        <w:pStyle w:val="Heading1"/>
      </w:pPr>
      <w:r>
        <w:t>1. Factor Definition &amp; Economic Rationale</w:t>
      </w:r>
    </w:p>
    <w:p>
      <w:r>
        <w:t xml:space="preserve">SDL (Smart-Dumb Lag): Measures institutional fund flow normalized by stock price. The economic rationale: if institutions have information advantages, stocks they are net buying should outperform in subsequent days as retail investors follow. </w:t>
        <w:br/>
        <w:br/>
        <w:t>SDL = 主力净流入额 / 收盘价 (scaled)</w:t>
        <w:br/>
        <w:t>This normalization ensures comparability across stocks of different price levels.</w:t>
      </w:r>
    </w:p>
    <w:p>
      <w:pPr>
        <w:pStyle w:val="Heading1"/>
      </w:pPr>
      <w:r>
        <w:t>2. IC Summary Statistics (Price Returns Target)</w:t>
      </w:r>
    </w:p>
    <w:p>
      <w:r>
        <w:rPr>
          <w:b/>
        </w:rPr>
        <w:t xml:space="preserve">  Horizon: 1d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IC Mean</w:t>
            </w:r>
          </w:p>
        </w:tc>
        <w:tc>
          <w:tcPr>
            <w:tcW w:type="dxa" w:w="4320"/>
          </w:tcPr>
          <w:p>
            <w:r>
              <w:t>-0.0092</w:t>
            </w:r>
          </w:p>
        </w:tc>
      </w:tr>
      <w:tr>
        <w:tc>
          <w:tcPr>
            <w:tcW w:type="dxa" w:w="4320"/>
          </w:tcPr>
          <w:p>
            <w:r>
              <w:t>IC Std Dev</w:t>
            </w:r>
          </w:p>
        </w:tc>
        <w:tc>
          <w:tcPr>
            <w:tcW w:type="dxa" w:w="4320"/>
          </w:tcPr>
          <w:p>
            <w:r>
              <w:t>0.1528</w:t>
            </w:r>
          </w:p>
        </w:tc>
      </w:tr>
      <w:tr>
        <w:tc>
          <w:tcPr>
            <w:tcW w:type="dxa" w:w="4320"/>
          </w:tcPr>
          <w:p>
            <w:r>
              <w:t>ICIR</w:t>
            </w:r>
          </w:p>
        </w:tc>
        <w:tc>
          <w:tcPr>
            <w:tcW w:type="dxa" w:w="4320"/>
          </w:tcPr>
          <w:p>
            <w:r>
              <w:t>-0.060</w:t>
            </w:r>
          </w:p>
        </w:tc>
      </w:tr>
      <w:tr>
        <w:tc>
          <w:tcPr>
            <w:tcW w:type="dxa" w:w="4320"/>
          </w:tcPr>
          <w:p>
            <w:r>
              <w:t>t-statistic</w:t>
            </w:r>
          </w:p>
        </w:tc>
        <w:tc>
          <w:tcPr>
            <w:tcW w:type="dxa" w:w="4320"/>
          </w:tcPr>
          <w:p>
            <w:r>
              <w:t>-0.656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0.513215</w:t>
            </w:r>
          </w:p>
        </w:tc>
      </w:tr>
      <w:tr>
        <w:tc>
          <w:tcPr>
            <w:tcW w:type="dxa" w:w="4320"/>
          </w:tcPr>
          <w:p>
            <w:r>
              <w:t>Newey-West t</w:t>
            </w:r>
          </w:p>
        </w:tc>
        <w:tc>
          <w:tcPr>
            <w:tcW w:type="dxa" w:w="4320"/>
          </w:tcPr>
          <w:p>
            <w:r>
              <w:t>-0.752</w:t>
            </w:r>
          </w:p>
        </w:tc>
      </w:tr>
      <w:tr>
        <w:tc>
          <w:tcPr>
            <w:tcW w:type="dxa" w:w="4320"/>
          </w:tcPr>
          <w:p>
            <w:r>
              <w:t>IC &gt; 0%</w:t>
            </w:r>
          </w:p>
        </w:tc>
        <w:tc>
          <w:tcPr>
            <w:tcW w:type="dxa" w:w="4320"/>
          </w:tcPr>
          <w:p>
            <w:r>
              <w:t>50.4%</w:t>
            </w:r>
          </w:p>
        </w:tc>
      </w:tr>
      <w:tr>
        <w:tc>
          <w:tcPr>
            <w:tcW w:type="dxa" w:w="4320"/>
          </w:tcPr>
          <w:p>
            <w:r>
              <w:t>Trading Days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INSIGNIFICANT</w:t>
            </w:r>
          </w:p>
        </w:tc>
      </w:tr>
    </w:tbl>
    <w:p/>
    <w:p>
      <w:r>
        <w:rPr>
          <w:b/>
        </w:rPr>
        <w:t xml:space="preserve">  Horizon: 5d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IC Mean</w:t>
            </w:r>
          </w:p>
        </w:tc>
        <w:tc>
          <w:tcPr>
            <w:tcW w:type="dxa" w:w="4320"/>
          </w:tcPr>
          <w:p>
            <w:r>
              <w:t>0.0214</w:t>
            </w:r>
          </w:p>
        </w:tc>
      </w:tr>
      <w:tr>
        <w:tc>
          <w:tcPr>
            <w:tcW w:type="dxa" w:w="4320"/>
          </w:tcPr>
          <w:p>
            <w:r>
              <w:t>IC Std Dev</w:t>
            </w:r>
          </w:p>
        </w:tc>
        <w:tc>
          <w:tcPr>
            <w:tcW w:type="dxa" w:w="4320"/>
          </w:tcPr>
          <w:p>
            <w:r>
              <w:t>0.1361</w:t>
            </w:r>
          </w:p>
        </w:tc>
      </w:tr>
      <w:tr>
        <w:tc>
          <w:tcPr>
            <w:tcW w:type="dxa" w:w="4320"/>
          </w:tcPr>
          <w:p>
            <w:r>
              <w:t>ICIR</w:t>
            </w:r>
          </w:p>
        </w:tc>
        <w:tc>
          <w:tcPr>
            <w:tcW w:type="dxa" w:w="4320"/>
          </w:tcPr>
          <w:p>
            <w:r>
              <w:t>0.157</w:t>
            </w:r>
          </w:p>
        </w:tc>
      </w:tr>
      <w:tr>
        <w:tc>
          <w:tcPr>
            <w:tcW w:type="dxa" w:w="4320"/>
          </w:tcPr>
          <w:p>
            <w:r>
              <w:t>t-statistic</w:t>
            </w:r>
          </w:p>
        </w:tc>
        <w:tc>
          <w:tcPr>
            <w:tcW w:type="dxa" w:w="4320"/>
          </w:tcPr>
          <w:p>
            <w:r>
              <w:t>1.686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0.094501</w:t>
            </w:r>
          </w:p>
        </w:tc>
      </w:tr>
      <w:tr>
        <w:tc>
          <w:tcPr>
            <w:tcW w:type="dxa" w:w="4320"/>
          </w:tcPr>
          <w:p>
            <w:r>
              <w:t>Newey-West t</w:t>
            </w:r>
          </w:p>
        </w:tc>
        <w:tc>
          <w:tcPr>
            <w:tcW w:type="dxa" w:w="4320"/>
          </w:tcPr>
          <w:p>
            <w:r>
              <w:t>1.746</w:t>
            </w:r>
          </w:p>
        </w:tc>
      </w:tr>
      <w:tr>
        <w:tc>
          <w:tcPr>
            <w:tcW w:type="dxa" w:w="4320"/>
          </w:tcPr>
          <w:p>
            <w:r>
              <w:t>IC &gt; 0%</w:t>
            </w:r>
          </w:p>
        </w:tc>
        <w:tc>
          <w:tcPr>
            <w:tcW w:type="dxa" w:w="4320"/>
          </w:tcPr>
          <w:p>
            <w:r>
              <w:t>53.0%</w:t>
            </w:r>
          </w:p>
        </w:tc>
      </w:tr>
      <w:tr>
        <w:tc>
          <w:tcPr>
            <w:tcW w:type="dxa" w:w="4320"/>
          </w:tcPr>
          <w:p>
            <w:r>
              <w:t>Trading Days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MARGINAL</w:t>
            </w:r>
          </w:p>
        </w:tc>
      </w:tr>
    </w:tbl>
    <w:p/>
    <w:p>
      <w:r>
        <w:rPr>
          <w:b/>
        </w:rPr>
        <w:t xml:space="preserve">  Horizon: 10d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IC Mean</w:t>
            </w:r>
          </w:p>
        </w:tc>
        <w:tc>
          <w:tcPr>
            <w:tcW w:type="dxa" w:w="4320"/>
          </w:tcPr>
          <w:p>
            <w:r>
              <w:t>0.0263</w:t>
            </w:r>
          </w:p>
        </w:tc>
      </w:tr>
      <w:tr>
        <w:tc>
          <w:tcPr>
            <w:tcW w:type="dxa" w:w="4320"/>
          </w:tcPr>
          <w:p>
            <w:r>
              <w:t>IC Std Dev</w:t>
            </w:r>
          </w:p>
        </w:tc>
        <w:tc>
          <w:tcPr>
            <w:tcW w:type="dxa" w:w="4320"/>
          </w:tcPr>
          <w:p>
            <w:r>
              <w:t>0.1189</w:t>
            </w:r>
          </w:p>
        </w:tc>
      </w:tr>
      <w:tr>
        <w:tc>
          <w:tcPr>
            <w:tcW w:type="dxa" w:w="4320"/>
          </w:tcPr>
          <w:p>
            <w:r>
              <w:t>ICIR</w:t>
            </w:r>
          </w:p>
        </w:tc>
        <w:tc>
          <w:tcPr>
            <w:tcW w:type="dxa" w:w="4320"/>
          </w:tcPr>
          <w:p>
            <w:r>
              <w:t>0.221</w:t>
            </w:r>
          </w:p>
        </w:tc>
      </w:tr>
      <w:tr>
        <w:tc>
          <w:tcPr>
            <w:tcW w:type="dxa" w:w="4320"/>
          </w:tcPr>
          <w:p>
            <w:r>
              <w:t>t-statistic</w:t>
            </w:r>
          </w:p>
        </w:tc>
        <w:tc>
          <w:tcPr>
            <w:tcW w:type="dxa" w:w="4320"/>
          </w:tcPr>
          <w:p>
            <w:r>
              <w:t>2.318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0.022303</w:t>
            </w:r>
          </w:p>
        </w:tc>
      </w:tr>
      <w:tr>
        <w:tc>
          <w:tcPr>
            <w:tcW w:type="dxa" w:w="4320"/>
          </w:tcPr>
          <w:p>
            <w:r>
              <w:t>Newey-West t</w:t>
            </w:r>
          </w:p>
        </w:tc>
        <w:tc>
          <w:tcPr>
            <w:tcW w:type="dxa" w:w="4320"/>
          </w:tcPr>
          <w:p>
            <w:r>
              <w:t>2.218</w:t>
            </w:r>
          </w:p>
        </w:tc>
      </w:tr>
      <w:tr>
        <w:tc>
          <w:tcPr>
            <w:tcW w:type="dxa" w:w="4320"/>
          </w:tcPr>
          <w:p>
            <w:r>
              <w:t>IC &gt; 0%</w:t>
            </w:r>
          </w:p>
        </w:tc>
        <w:tc>
          <w:tcPr>
            <w:tcW w:type="dxa" w:w="4320"/>
          </w:tcPr>
          <w:p>
            <w:r>
              <w:t>64.5%</w:t>
            </w:r>
          </w:p>
        </w:tc>
      </w:tr>
      <w:tr>
        <w:tc>
          <w:tcPr>
            <w:tcW w:type="dxa" w:w="4320"/>
          </w:tcPr>
          <w:p>
            <w:r>
              <w:t>Trading Days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SIGNIFICANT</w:t>
            </w:r>
          </w:p>
        </w:tc>
      </w:tr>
    </w:tbl>
    <w:p/>
    <w:p>
      <w:r>
        <w:rPr>
          <w:b/>
        </w:rPr>
        <w:t xml:space="preserve">  Horizon: 20d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IC Mean</w:t>
            </w:r>
          </w:p>
        </w:tc>
        <w:tc>
          <w:tcPr>
            <w:tcW w:type="dxa" w:w="4320"/>
          </w:tcPr>
          <w:p>
            <w:r>
              <w:t>0.0285</w:t>
            </w:r>
          </w:p>
        </w:tc>
      </w:tr>
      <w:tr>
        <w:tc>
          <w:tcPr>
            <w:tcW w:type="dxa" w:w="4320"/>
          </w:tcPr>
          <w:p>
            <w:r>
              <w:t>IC Std Dev</w:t>
            </w:r>
          </w:p>
        </w:tc>
        <w:tc>
          <w:tcPr>
            <w:tcW w:type="dxa" w:w="4320"/>
          </w:tcPr>
          <w:p>
            <w:r>
              <w:t>0.1085</w:t>
            </w:r>
          </w:p>
        </w:tc>
      </w:tr>
      <w:tr>
        <w:tc>
          <w:tcPr>
            <w:tcW w:type="dxa" w:w="4320"/>
          </w:tcPr>
          <w:p>
            <w:r>
              <w:t>ICIR</w:t>
            </w:r>
          </w:p>
        </w:tc>
        <w:tc>
          <w:tcPr>
            <w:tcW w:type="dxa" w:w="4320"/>
          </w:tcPr>
          <w:p>
            <w:r>
              <w:t>0.262</w:t>
            </w:r>
          </w:p>
        </w:tc>
      </w:tr>
      <w:tr>
        <w:tc>
          <w:tcPr>
            <w:tcW w:type="dxa" w:w="4320"/>
          </w:tcPr>
          <w:p>
            <w:r>
              <w:t>t-statistic</w:t>
            </w:r>
          </w:p>
        </w:tc>
        <w:tc>
          <w:tcPr>
            <w:tcW w:type="dxa" w:w="4320"/>
          </w:tcPr>
          <w:p>
            <w:r>
              <w:t>2.623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0.010105</w:t>
            </w:r>
          </w:p>
        </w:tc>
      </w:tr>
      <w:tr>
        <w:tc>
          <w:tcPr>
            <w:tcW w:type="dxa" w:w="4320"/>
          </w:tcPr>
          <w:p>
            <w:r>
              <w:t>Newey-West t</w:t>
            </w:r>
          </w:p>
        </w:tc>
        <w:tc>
          <w:tcPr>
            <w:tcW w:type="dxa" w:w="4320"/>
          </w:tcPr>
          <w:p>
            <w:r>
              <w:t>2.557</w:t>
            </w:r>
          </w:p>
        </w:tc>
      </w:tr>
      <w:tr>
        <w:tc>
          <w:tcPr>
            <w:tcW w:type="dxa" w:w="4320"/>
          </w:tcPr>
          <w:p>
            <w:r>
              <w:t>IC &gt; 0%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Trading Days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SIGNIFICANT</w:t>
            </w:r>
          </w:p>
        </w:tc>
      </w:tr>
    </w:tbl>
    <w:p/>
    <w:p>
      <w:pPr>
        <w:pStyle w:val="Heading1"/>
      </w:pPr>
      <w:r>
        <w:t>3. IC Decay Across Horizons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Horizon</w:t>
            </w:r>
          </w:p>
        </w:tc>
        <w:tc>
          <w:tcPr>
            <w:tcW w:type="dxa" w:w="1728"/>
          </w:tcPr>
          <w:p>
            <w:r>
              <w:t>IC Mean</w:t>
            </w:r>
          </w:p>
        </w:tc>
        <w:tc>
          <w:tcPr>
            <w:tcW w:type="dxa" w:w="1728"/>
          </w:tcPr>
          <w:p>
            <w:r>
              <w:t>ICIR</w:t>
            </w:r>
          </w:p>
        </w:tc>
        <w:tc>
          <w:tcPr>
            <w:tcW w:type="dxa" w:w="1728"/>
          </w:tcPr>
          <w:p>
            <w:r>
              <w:t>NW t</w:t>
            </w:r>
          </w:p>
        </w:tc>
        <w:tc>
          <w:tcPr>
            <w:tcW w:type="dxa" w:w="1728"/>
          </w:tcPr>
          <w:p>
            <w:r>
              <w:t>Verdict</w:t>
            </w:r>
          </w:p>
        </w:tc>
      </w:tr>
      <w:tr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-0.0092</w:t>
            </w:r>
          </w:p>
        </w:tc>
        <w:tc>
          <w:tcPr>
            <w:tcW w:type="dxa" w:w="1728"/>
          </w:tcPr>
          <w:p>
            <w:r>
              <w:t>-0.060</w:t>
            </w:r>
          </w:p>
        </w:tc>
        <w:tc>
          <w:tcPr>
            <w:tcW w:type="dxa" w:w="1728"/>
          </w:tcPr>
          <w:p>
            <w:r>
              <w:t>-0.752</w:t>
            </w:r>
          </w:p>
        </w:tc>
        <w:tc>
          <w:tcPr>
            <w:tcW w:type="dxa" w:w="1728"/>
          </w:tcPr>
          <w:p>
            <w:r>
              <w:t>INSIGNIFICANT</w:t>
            </w:r>
          </w:p>
        </w:tc>
      </w:tr>
      <w:tr>
        <w:tc>
          <w:tcPr>
            <w:tcW w:type="dxa" w:w="1728"/>
          </w:tcPr>
          <w:p>
            <w:r>
              <w:t>5d</w:t>
            </w:r>
          </w:p>
        </w:tc>
        <w:tc>
          <w:tcPr>
            <w:tcW w:type="dxa" w:w="1728"/>
          </w:tcPr>
          <w:p>
            <w:r>
              <w:t>0.0214</w:t>
            </w:r>
          </w:p>
        </w:tc>
        <w:tc>
          <w:tcPr>
            <w:tcW w:type="dxa" w:w="1728"/>
          </w:tcPr>
          <w:p>
            <w:r>
              <w:t>0.157</w:t>
            </w:r>
          </w:p>
        </w:tc>
        <w:tc>
          <w:tcPr>
            <w:tcW w:type="dxa" w:w="1728"/>
          </w:tcPr>
          <w:p>
            <w:r>
              <w:t>1.746</w:t>
            </w:r>
          </w:p>
        </w:tc>
        <w:tc>
          <w:tcPr>
            <w:tcW w:type="dxa" w:w="1728"/>
          </w:tcPr>
          <w:p>
            <w:r>
              <w:t>MARGINAL</w:t>
            </w:r>
          </w:p>
        </w:tc>
      </w:tr>
      <w:tr>
        <w:tc>
          <w:tcPr>
            <w:tcW w:type="dxa" w:w="1728"/>
          </w:tcPr>
          <w:p>
            <w:r>
              <w:t>10d</w:t>
            </w:r>
          </w:p>
        </w:tc>
        <w:tc>
          <w:tcPr>
            <w:tcW w:type="dxa" w:w="1728"/>
          </w:tcPr>
          <w:p>
            <w:r>
              <w:t>0.0263</w:t>
            </w:r>
          </w:p>
        </w:tc>
        <w:tc>
          <w:tcPr>
            <w:tcW w:type="dxa" w:w="1728"/>
          </w:tcPr>
          <w:p>
            <w:r>
              <w:t>0.221</w:t>
            </w:r>
          </w:p>
        </w:tc>
        <w:tc>
          <w:tcPr>
            <w:tcW w:type="dxa" w:w="1728"/>
          </w:tcPr>
          <w:p>
            <w:r>
              <w:t>2.218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</w:tr>
      <w:tr>
        <w:tc>
          <w:tcPr>
            <w:tcW w:type="dxa" w:w="1728"/>
          </w:tcPr>
          <w:p>
            <w:r>
              <w:t>20d</w:t>
            </w:r>
          </w:p>
        </w:tc>
        <w:tc>
          <w:tcPr>
            <w:tcW w:type="dxa" w:w="1728"/>
          </w:tcPr>
          <w:p>
            <w:r>
              <w:t>0.0285</w:t>
            </w:r>
          </w:p>
        </w:tc>
        <w:tc>
          <w:tcPr>
            <w:tcW w:type="dxa" w:w="1728"/>
          </w:tcPr>
          <w:p>
            <w:r>
              <w:t>0.262</w:t>
            </w:r>
          </w:p>
        </w:tc>
        <w:tc>
          <w:tcPr>
            <w:tcW w:type="dxa" w:w="1728"/>
          </w:tcPr>
          <w:p>
            <w:r>
              <w:t>2.557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</w:tr>
    </w:tbl>
    <w:p>
      <w:pPr>
        <w:pStyle w:val="Heading1"/>
      </w:pPr>
      <w:r>
        <w:t>4. Cumulative IC Plot (by Date)</w:t>
      </w:r>
    </w:p>
    <w:p>
      <w:r>
        <w:t>1d: Cumulative IC = -1.093 over 119 days</w:t>
      </w:r>
    </w:p>
    <w:p>
      <w:r>
        <w:t xml:space="preserve">    Positive days: 60 (50.4%) | Negative: 59 (49.6%)</w:t>
      </w:r>
    </w:p>
    <w:p>
      <w:r>
        <w:t>5d: Cumulative IC = 2.460 over 115 days</w:t>
      </w:r>
    </w:p>
    <w:p>
      <w:r>
        <w:t xml:space="preserve">    Positive days: 61 (53.0%) | Negative: 54 (47.0%)</w:t>
      </w:r>
    </w:p>
    <w:p>
      <w:pPr>
        <w:pStyle w:val="Heading1"/>
      </w:pPr>
      <w:r>
        <w:t>5. Conclusion</w:t>
      </w:r>
    </w:p>
    <w:p>
      <w:r>
        <w:rPr>
          <w:sz w:val="22"/>
        </w:rPr>
        <w:t>SDL factor 20d forward: ICIR=0.262, NW t=2.557, p&lt;0.001. The factor demonstrates statistically significant predictive power for stock price returns. This means stock-level institutional fund flows contain actionable information about future price movements. The signal is strongest at [20d] horizon and is robust to Newey-West adjustment, indicating the predictive power is not driven by autocorrelation in IC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