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MANAGERIAL REPORT: BUSINESS INTELLIGENCE &amp; ETHICAL FEASIBILITY STUDY</w:t>
      </w:r>
      <w:r w:rsidDel="00000000" w:rsidR="00000000" w:rsidRPr="00000000">
        <w:rPr>
          <w:rtl w:val="0"/>
        </w:rPr>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FROM: Business Intelligence Working Group [Group 3]</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DATE: December 16, 2025</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SUBJECT: Feasibility of Automated Income Classification: Kenyan Context &amp; Ethical Governance Analysis</w:t>
      </w:r>
    </w:p>
    <w:p w:rsidR="00000000" w:rsidDel="00000000" w:rsidP="00000000" w:rsidRDefault="00000000" w:rsidRPr="00000000" w14:paraId="00000006">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1f1f1f"/>
          <w:sz w:val="36"/>
          <w:szCs w:val="36"/>
        </w:rPr>
      </w:pPr>
      <w:bookmarkStart w:colFirst="0" w:colLast="0" w:name="_74riu064lasj" w:id="0"/>
      <w:bookmarkEnd w:id="0"/>
      <w:r w:rsidDel="00000000" w:rsidR="00000000" w:rsidRPr="00000000">
        <w:rPr>
          <w:rFonts w:ascii="Times New Roman" w:cs="Times New Roman" w:eastAsia="Times New Roman" w:hAnsi="Times New Roman"/>
          <w:b w:val="1"/>
          <w:bCs w:val="1"/>
          <w:color w:val="1f1f1f"/>
          <w:sz w:val="36"/>
          <w:szCs w:val="36"/>
          <w:rtl w:val="0"/>
        </w:rPr>
        <w:t xml:space="preserve">1.0 Introduction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report provides a detailed interpretation of the Business Intelligence (BI) benchmarking exercise conducted using the Adult Census Income dataset. While the technical modeling confirmed the predictive power of machine learning algorithms (specifically Random Forest), the translation of these findings into the Kenyan financial ecosystem requires nuanced contextualization. This document specifically addresses the interpretation of insights within the Kenyan institutional context and detailing the ethical, legal, and governance implications of deploying such a system under the Kenyan Data Protection Act (2019).</w:t>
      </w:r>
    </w:p>
    <w:p w:rsidR="00000000" w:rsidDel="00000000" w:rsidP="00000000" w:rsidRDefault="00000000" w:rsidRPr="00000000" w14:paraId="00000009">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1f1f1f"/>
          <w:sz w:val="36"/>
          <w:szCs w:val="36"/>
        </w:rPr>
      </w:pPr>
      <w:bookmarkStart w:colFirst="0" w:colLast="0" w:name="_ijs0rgjlyqgg" w:id="1"/>
      <w:bookmarkEnd w:id="1"/>
      <w:r w:rsidDel="00000000" w:rsidR="00000000" w:rsidRPr="00000000">
        <w:rPr>
          <w:rFonts w:ascii="Times New Roman" w:cs="Times New Roman" w:eastAsia="Times New Roman" w:hAnsi="Times New Roman"/>
          <w:b w:val="1"/>
          <w:bCs w:val="1"/>
          <w:color w:val="1f1f1f"/>
          <w:sz w:val="36"/>
          <w:szCs w:val="36"/>
          <w:rtl w:val="0"/>
        </w:rPr>
        <w:t xml:space="preserve">2.0 Interpretation of Insights in the Kenyan Institutional Context (Q2b)</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exploratory analysis of the dataset revealed strong correlations between income levels and variables such as </w:t>
      </w:r>
      <w:r w:rsidDel="00000000" w:rsidR="00000000" w:rsidRPr="00000000">
        <w:rPr>
          <w:rFonts w:ascii="Times New Roman" w:cs="Times New Roman" w:eastAsia="Times New Roman" w:hAnsi="Times New Roman"/>
          <w:b w:val="1"/>
          <w:bCs w:val="1"/>
          <w:color w:val="1f1f1f"/>
          <w:sz w:val="24"/>
          <w:szCs w:val="24"/>
          <w:rtl w:val="0"/>
        </w:rPr>
        <w:t xml:space="preserve">Age</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Education</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b w:val="1"/>
          <w:bCs w:val="1"/>
          <w:color w:val="1f1f1f"/>
          <w:sz w:val="24"/>
          <w:szCs w:val="24"/>
          <w:rtl w:val="0"/>
        </w:rPr>
        <w:t xml:space="preserve">Hours Worked</w:t>
      </w:r>
      <w:r w:rsidDel="00000000" w:rsidR="00000000" w:rsidRPr="00000000">
        <w:rPr>
          <w:rFonts w:ascii="Times New Roman" w:cs="Times New Roman" w:eastAsia="Times New Roman" w:hAnsi="Times New Roman"/>
          <w:color w:val="1f1f1f"/>
          <w:sz w:val="24"/>
          <w:szCs w:val="24"/>
          <w:rtl w:val="0"/>
        </w:rPr>
        <w:t xml:space="preserve">. However, a direct transposition of these US-based patterns to the Kenyan market presents significant risks. Below is an analysis of how these variables must be re-interpreted for local deployment across four key banking domains.</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rPr>
      </w:pPr>
      <w:bookmarkStart w:colFirst="0" w:colLast="0" w:name="_pppr7bkgcoai" w:id="2"/>
      <w:bookmarkEnd w:id="2"/>
      <w:r w:rsidDel="00000000" w:rsidR="00000000" w:rsidRPr="00000000">
        <w:rPr>
          <w:rFonts w:ascii="Times New Roman" w:cs="Times New Roman" w:eastAsia="Times New Roman" w:hAnsi="Times New Roman"/>
          <w:b w:val="1"/>
          <w:bCs w:val="1"/>
          <w:color w:val="1f1f1f"/>
          <w:rtl w:val="0"/>
        </w:rPr>
        <w:t xml:space="preserve">2.1 Financial Product Design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data indicates that income stability and growth are heavily biased toward mid-career individuals (30–50 years old) with formal education. In the US context, this supports "salary-checkoff" loan products.</w:t>
      </w:r>
    </w:p>
    <w:p w:rsidR="00000000" w:rsidDel="00000000" w:rsidP="00000000" w:rsidRDefault="00000000" w:rsidRPr="00000000" w14:paraId="0000000E">
      <w:pPr>
        <w:pBdr>
          <w:top w:color="auto" w:space="0" w:sz="0" w:val="none"/>
          <w:bottom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Kenyan Interpretation:</w:t>
      </w:r>
    </w:p>
    <w:p w:rsidR="00000000" w:rsidDel="00000000" w:rsidP="00000000" w:rsidRDefault="00000000" w:rsidRPr="00000000" w14:paraId="0000000F">
      <w:pPr>
        <w:pBdr>
          <w:top w:color="auto" w:space="0" w:sz="0" w:val="none"/>
          <w:bottom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Kenya, the correlation between formal education and high income is less linear due to the dominance of the "Jua Kali" (informal) sector, which accounts for over 80% of employment.</w:t>
      </w:r>
    </w:p>
    <w:p w:rsidR="00000000" w:rsidDel="00000000" w:rsidP="00000000" w:rsidRDefault="00000000" w:rsidRPr="00000000" w14:paraId="0000001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Product Innovation:</w:t>
      </w:r>
      <w:r w:rsidDel="00000000" w:rsidR="00000000" w:rsidRPr="00000000">
        <w:rPr>
          <w:rFonts w:ascii="Times New Roman" w:cs="Times New Roman" w:eastAsia="Times New Roman" w:hAnsi="Times New Roman"/>
          <w:color w:val="1f1f1f"/>
          <w:sz w:val="24"/>
          <w:szCs w:val="24"/>
          <w:rtl w:val="0"/>
        </w:rPr>
        <w:t xml:space="preserve"> A model relying heavily on "Education" or "Formal Job Titles" would systematically exclude high-net-worth informal entrepreneurs (e.g., wholesale traders, matatu fleet owners) who may lack formal degrees but possess significant cash flow.</w:t>
      </w:r>
    </w:p>
    <w:p w:rsidR="00000000" w:rsidDel="00000000" w:rsidP="00000000" w:rsidRDefault="00000000" w:rsidRPr="00000000" w14:paraId="00000011">
      <w:pPr>
        <w:numPr>
          <w:ilvl w:val="0"/>
          <w:numId w:val="6"/>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Recommendation:</w:t>
      </w:r>
      <w:r w:rsidDel="00000000" w:rsidR="00000000" w:rsidRPr="00000000">
        <w:rPr>
          <w:rFonts w:ascii="Times New Roman" w:cs="Times New Roman" w:eastAsia="Times New Roman" w:hAnsi="Times New Roman"/>
          <w:color w:val="1f1f1f"/>
          <w:sz w:val="24"/>
          <w:szCs w:val="24"/>
          <w:rtl w:val="0"/>
        </w:rPr>
        <w:t xml:space="preserve"> Financial products should not be designed solely around the "graduate salaried worker." Instead, product design should pivot to </w:t>
      </w:r>
      <w:r w:rsidDel="00000000" w:rsidR="00000000" w:rsidRPr="00000000">
        <w:rPr>
          <w:rFonts w:ascii="Times New Roman" w:cs="Times New Roman" w:eastAsia="Times New Roman" w:hAnsi="Times New Roman"/>
          <w:b w:val="1"/>
          <w:bCs w:val="1"/>
          <w:color w:val="1f1f1f"/>
          <w:sz w:val="24"/>
          <w:szCs w:val="24"/>
          <w:rtl w:val="0"/>
        </w:rPr>
        <w:t xml:space="preserve">Cash-Flow Based Lending</w:t>
      </w:r>
      <w:r w:rsidDel="00000000" w:rsidR="00000000" w:rsidRPr="00000000">
        <w:rPr>
          <w:rFonts w:ascii="Times New Roman" w:cs="Times New Roman" w:eastAsia="Times New Roman" w:hAnsi="Times New Roman"/>
          <w:color w:val="1f1f1f"/>
          <w:sz w:val="24"/>
          <w:szCs w:val="24"/>
          <w:rtl w:val="0"/>
        </w:rPr>
        <w:t xml:space="preserve">, where income is verified via mobile money statements (M-Pesa) rather than educational certificates or standard 40-hour work weeks.</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rPr>
      </w:pPr>
      <w:bookmarkStart w:colFirst="0" w:colLast="0" w:name="_l7li0rqi8wsl" w:id="3"/>
      <w:bookmarkEnd w:id="3"/>
      <w:r w:rsidDel="00000000" w:rsidR="00000000" w:rsidRPr="00000000">
        <w:rPr>
          <w:rFonts w:ascii="Times New Roman" w:cs="Times New Roman" w:eastAsia="Times New Roman" w:hAnsi="Times New Roman"/>
          <w:b w:val="1"/>
          <w:bCs w:val="1"/>
          <w:color w:val="1f1f1f"/>
          <w:rtl w:val="0"/>
        </w:rPr>
        <w:t xml:space="preserve">2.2 Microcredit and Lending Risk Assessment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dataset shows a strict clustering of "safe" borrowers around the standard 40-hour work week. Deviations (working fewer or more hours) in the US context often signal instability.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Kenyan Interpretation:</w:t>
      </w:r>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"Hustler" Economy:</w:t>
      </w:r>
      <w:r w:rsidDel="00000000" w:rsidR="00000000" w:rsidRPr="00000000">
        <w:rPr>
          <w:rFonts w:ascii="Times New Roman" w:cs="Times New Roman" w:eastAsia="Times New Roman" w:hAnsi="Times New Roman"/>
          <w:color w:val="1f1f1f"/>
          <w:sz w:val="24"/>
          <w:szCs w:val="24"/>
          <w:rtl w:val="0"/>
        </w:rPr>
        <w:t xml:space="preserve"> In Kenya, working hours are highly variable. A micro-entrepreneur might work 70 hours one week and 20 the next due to seasonality or supply chain constraints.</w:t>
      </w:r>
    </w:p>
    <w:p w:rsidR="00000000" w:rsidDel="00000000" w:rsidP="00000000" w:rsidRDefault="00000000" w:rsidRPr="00000000" w14:paraId="0000001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Risk Scoring:</w:t>
      </w:r>
      <w:r w:rsidDel="00000000" w:rsidR="00000000" w:rsidRPr="00000000">
        <w:rPr>
          <w:rFonts w:ascii="Times New Roman" w:cs="Times New Roman" w:eastAsia="Times New Roman" w:hAnsi="Times New Roman"/>
          <w:color w:val="1f1f1f"/>
          <w:sz w:val="24"/>
          <w:szCs w:val="24"/>
          <w:rtl w:val="0"/>
        </w:rPr>
        <w:t xml:space="preserve"> If our algorithm penalizes "irregular hours" (as suggested by the US data), we will falsely flag reliable Kenyan borrowers as "High Risk."</w:t>
      </w:r>
    </w:p>
    <w:p w:rsidR="00000000" w:rsidDel="00000000" w:rsidP="00000000" w:rsidRDefault="00000000" w:rsidRPr="00000000" w14:paraId="00000017">
      <w:pPr>
        <w:numPr>
          <w:ilvl w:val="0"/>
          <w:numId w:val="5"/>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Strategic Shift:</w:t>
      </w:r>
      <w:r w:rsidDel="00000000" w:rsidR="00000000" w:rsidRPr="00000000">
        <w:rPr>
          <w:rFonts w:ascii="Times New Roman" w:cs="Times New Roman" w:eastAsia="Times New Roman" w:hAnsi="Times New Roman"/>
          <w:color w:val="1f1f1f"/>
          <w:sz w:val="24"/>
          <w:szCs w:val="24"/>
          <w:rtl w:val="0"/>
        </w:rPr>
        <w:t xml:space="preserve"> Risk assessment for microcredits (e.g., Fuliza or Hustler Fund limits) must decouple "hours worked" from "reliability." The institution should prioritize </w:t>
      </w:r>
      <w:r w:rsidDel="00000000" w:rsidR="00000000" w:rsidRPr="00000000">
        <w:rPr>
          <w:rFonts w:ascii="Times New Roman" w:cs="Times New Roman" w:eastAsia="Times New Roman" w:hAnsi="Times New Roman"/>
          <w:b w:val="1"/>
          <w:bCs w:val="1"/>
          <w:color w:val="1f1f1f"/>
          <w:sz w:val="24"/>
          <w:szCs w:val="24"/>
          <w:rtl w:val="0"/>
        </w:rPr>
        <w:t xml:space="preserve">repayment history</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b w:val="1"/>
          <w:bCs w:val="1"/>
          <w:color w:val="1f1f1f"/>
          <w:sz w:val="24"/>
          <w:szCs w:val="24"/>
          <w:rtl w:val="0"/>
        </w:rPr>
        <w:t xml:space="preserve">transaction velocity</w:t>
      </w:r>
      <w:r w:rsidDel="00000000" w:rsidR="00000000" w:rsidRPr="00000000">
        <w:rPr>
          <w:rFonts w:ascii="Times New Roman" w:cs="Times New Roman" w:eastAsia="Times New Roman" w:hAnsi="Times New Roman"/>
          <w:color w:val="1f1f1f"/>
          <w:sz w:val="24"/>
          <w:szCs w:val="24"/>
          <w:rtl w:val="0"/>
        </w:rPr>
        <w:t xml:space="preserve"> over static demographic inputs like Age or Hours Worked. The model must be retrained to view "variable hours" as a feature of entrepreneurship, not a bug of unemployment.</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rPr>
      </w:pPr>
      <w:bookmarkStart w:colFirst="0" w:colLast="0" w:name="_2652fu9qbgdn" w:id="4"/>
      <w:bookmarkEnd w:id="4"/>
      <w:r w:rsidDel="00000000" w:rsidR="00000000" w:rsidRPr="00000000">
        <w:rPr>
          <w:rFonts w:ascii="Times New Roman" w:cs="Times New Roman" w:eastAsia="Times New Roman" w:hAnsi="Times New Roman"/>
          <w:b w:val="1"/>
          <w:bCs w:val="1"/>
          <w:color w:val="1f1f1f"/>
          <w:rtl w:val="0"/>
        </w:rPr>
        <w:t xml:space="preserve">2.3 Labour-Market Profiling</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analysis highlighted "occupation" as a primary predictor of income. In the benchmark data, "Executive" and "Professional" roles guaranteed higher income.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Kenyan Interpretation:</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Sectoral Fluidity:</w:t>
      </w:r>
      <w:r w:rsidDel="00000000" w:rsidR="00000000" w:rsidRPr="00000000">
        <w:rPr>
          <w:rFonts w:ascii="Times New Roman" w:cs="Times New Roman" w:eastAsia="Times New Roman" w:hAnsi="Times New Roman"/>
          <w:color w:val="1f1f1f"/>
          <w:sz w:val="24"/>
          <w:szCs w:val="24"/>
          <w:rtl w:val="0"/>
        </w:rPr>
        <w:t xml:space="preserve"> The Kenyan labour market is characterized by "portfolio work," where an individual may hold a formal low-income job while running a lucrative side business (farming, rentals).</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Profiling Strategy:</w:t>
      </w:r>
      <w:r w:rsidDel="00000000" w:rsidR="00000000" w:rsidRPr="00000000">
        <w:rPr>
          <w:rFonts w:ascii="Times New Roman" w:cs="Times New Roman" w:eastAsia="Times New Roman" w:hAnsi="Times New Roman"/>
          <w:color w:val="1f1f1f"/>
          <w:sz w:val="24"/>
          <w:szCs w:val="24"/>
          <w:rtl w:val="0"/>
        </w:rPr>
        <w:t xml:space="preserve"> Standard labour profiling using checking accounts will miss this "hidden" income. The BI unit must develop a </w:t>
      </w:r>
      <w:r w:rsidDel="00000000" w:rsidR="00000000" w:rsidRPr="00000000">
        <w:rPr>
          <w:rFonts w:ascii="Times New Roman" w:cs="Times New Roman" w:eastAsia="Times New Roman" w:hAnsi="Times New Roman"/>
          <w:b w:val="1"/>
          <w:bCs w:val="1"/>
          <w:color w:val="1f1f1f"/>
          <w:sz w:val="24"/>
          <w:szCs w:val="24"/>
          <w:rtl w:val="0"/>
        </w:rPr>
        <w:t xml:space="preserve">"Total Economic Activity"</w:t>
      </w:r>
      <w:r w:rsidDel="00000000" w:rsidR="00000000" w:rsidRPr="00000000">
        <w:rPr>
          <w:rFonts w:ascii="Times New Roman" w:cs="Times New Roman" w:eastAsia="Times New Roman" w:hAnsi="Times New Roman"/>
          <w:color w:val="1f1f1f"/>
          <w:sz w:val="24"/>
          <w:szCs w:val="24"/>
          <w:rtl w:val="0"/>
        </w:rPr>
        <w:t xml:space="preserve"> profile that aggregates data from multiple sources (banking, mobile wallets, SACCO contributions) rather than relying on a single "Occupation" field provided at account opening.</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rPr>
      </w:pPr>
      <w:bookmarkStart w:colFirst="0" w:colLast="0" w:name="_2zygjxqx0g2p" w:id="5"/>
      <w:bookmarkEnd w:id="5"/>
      <w:r w:rsidDel="00000000" w:rsidR="00000000" w:rsidRPr="00000000">
        <w:rPr>
          <w:rFonts w:ascii="Times New Roman" w:cs="Times New Roman" w:eastAsia="Times New Roman" w:hAnsi="Times New Roman"/>
          <w:b w:val="1"/>
          <w:bCs w:val="1"/>
          <w:color w:val="1f1f1f"/>
          <w:rtl w:val="0"/>
        </w:rPr>
        <w:t xml:space="preserve">2.4 Regulatory Reporting</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distinct patterns in Age and Gender found in the dataset have direct implications for Central Bank of Kenya (CBK) reporting.</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Kenyan Interpretation:</w:t>
      </w:r>
    </w:p>
    <w:p w:rsidR="00000000" w:rsidDel="00000000" w:rsidP="00000000" w:rsidRDefault="00000000" w:rsidRPr="00000000" w14:paraId="0000002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Financial Inclusion:</w:t>
      </w:r>
      <w:r w:rsidDel="00000000" w:rsidR="00000000" w:rsidRPr="00000000">
        <w:rPr>
          <w:rFonts w:ascii="Times New Roman" w:cs="Times New Roman" w:eastAsia="Times New Roman" w:hAnsi="Times New Roman"/>
          <w:color w:val="1f1f1f"/>
          <w:sz w:val="24"/>
          <w:szCs w:val="24"/>
          <w:rtl w:val="0"/>
        </w:rPr>
        <w:t xml:space="preserve"> The CBK mandates reporting on financial inclusion metrics. Our analysis shows that women and younger people are often under-represented in the "High Income" class in the training data.</w:t>
      </w:r>
    </w:p>
    <w:p w:rsidR="00000000" w:rsidDel="00000000" w:rsidP="00000000" w:rsidRDefault="00000000" w:rsidRPr="00000000" w14:paraId="00000021">
      <w:pPr>
        <w:numPr>
          <w:ilvl w:val="0"/>
          <w:numId w:val="9"/>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Compliance Risk:</w:t>
      </w:r>
      <w:r w:rsidDel="00000000" w:rsidR="00000000" w:rsidRPr="00000000">
        <w:rPr>
          <w:rFonts w:ascii="Times New Roman" w:cs="Times New Roman" w:eastAsia="Times New Roman" w:hAnsi="Times New Roman"/>
          <w:color w:val="1f1f1f"/>
          <w:sz w:val="24"/>
          <w:szCs w:val="24"/>
          <w:rtl w:val="0"/>
        </w:rPr>
        <w:t xml:space="preserve"> If we automate lending based on this data, our quarterly reports to the CBK will likely show a decline in lending to women and youth, potentially triggering regulatory audits for exclusionary practices. We must proactively adjust the model thresholds for these protected groups to ensure our aggregate lending portfolio remains balanced and compliant with financial inclusion goals.</w:t>
      </w:r>
    </w:p>
    <w:p w:rsidR="00000000" w:rsidDel="00000000" w:rsidP="00000000" w:rsidRDefault="00000000" w:rsidRPr="00000000" w14:paraId="00000022">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1f1f1f"/>
          <w:sz w:val="36"/>
          <w:szCs w:val="36"/>
        </w:rPr>
      </w:pPr>
      <w:bookmarkStart w:colFirst="0" w:colLast="0" w:name="_ur8xyda5c0p3" w:id="6"/>
      <w:bookmarkEnd w:id="6"/>
      <w:r w:rsidDel="00000000" w:rsidR="00000000" w:rsidRPr="00000000">
        <w:rPr>
          <w:rFonts w:ascii="Times New Roman" w:cs="Times New Roman" w:eastAsia="Times New Roman" w:hAnsi="Times New Roman"/>
          <w:b w:val="1"/>
          <w:bCs w:val="1"/>
          <w:color w:val="1f1f1f"/>
          <w:sz w:val="36"/>
          <w:szCs w:val="36"/>
          <w:rtl w:val="0"/>
        </w:rPr>
        <w:t xml:space="preserve">3.0 Ethical &amp; Governance Analysis (Q4)</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deployment of an automated income classification system introduces profound ethical risks. Our technical audit of the model revealed specific biases that, if left unmitigated, could expose the institution to legal action and reputational damage.</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rPr>
      </w:pPr>
      <w:bookmarkStart w:colFirst="0" w:colLast="0" w:name="_un8r9q248qje" w:id="7"/>
      <w:bookmarkEnd w:id="7"/>
      <w:r w:rsidDel="00000000" w:rsidR="00000000" w:rsidRPr="00000000">
        <w:rPr>
          <w:rFonts w:ascii="Times New Roman" w:cs="Times New Roman" w:eastAsia="Times New Roman" w:hAnsi="Times New Roman"/>
          <w:b w:val="1"/>
          <w:bCs w:val="1"/>
          <w:color w:val="1f1f1f"/>
          <w:rtl w:val="0"/>
        </w:rPr>
        <w:t xml:space="preserve">3.1 Algorithmic Fairness Concerns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 conducted a fairness audit by calculating the </w:t>
      </w:r>
      <w:r w:rsidDel="00000000" w:rsidR="00000000" w:rsidRPr="00000000">
        <w:rPr>
          <w:rFonts w:ascii="Times New Roman" w:cs="Times New Roman" w:eastAsia="Times New Roman" w:hAnsi="Times New Roman"/>
          <w:b w:val="1"/>
          <w:bCs w:val="1"/>
          <w:color w:val="1f1f1f"/>
          <w:sz w:val="24"/>
          <w:szCs w:val="24"/>
          <w:rtl w:val="0"/>
        </w:rPr>
        <w:t xml:space="preserve">False Negative Rate (FNR)</w:t>
      </w:r>
      <w:r w:rsidDel="00000000" w:rsidR="00000000" w:rsidRPr="00000000">
        <w:rPr>
          <w:rFonts w:ascii="Times New Roman" w:cs="Times New Roman" w:eastAsia="Times New Roman" w:hAnsi="Times New Roman"/>
          <w:color w:val="1f1f1f"/>
          <w:sz w:val="24"/>
          <w:szCs w:val="24"/>
          <w:rtl w:val="0"/>
        </w:rPr>
        <w:t xml:space="preserve"> across demographic groups. A "False Negative" occurs when the model incorrectly predicts a high-income applicant is "low income," effectively denying them a loan they deserved.</w:t>
      </w:r>
    </w:p>
    <w:p w:rsidR="00000000" w:rsidDel="00000000" w:rsidP="00000000" w:rsidRDefault="00000000" w:rsidRPr="00000000" w14:paraId="0000002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Gender Bias:</w:t>
      </w:r>
      <w:r w:rsidDel="00000000" w:rsidR="00000000" w:rsidRPr="00000000">
        <w:rPr>
          <w:rFonts w:ascii="Times New Roman" w:cs="Times New Roman" w:eastAsia="Times New Roman" w:hAnsi="Times New Roman"/>
          <w:color w:val="1f1f1f"/>
          <w:sz w:val="24"/>
          <w:szCs w:val="24"/>
          <w:rtl w:val="0"/>
        </w:rPr>
        <w:t xml:space="preserve"> The benchmarking revealed that the model is more likely to reject qualified female applicants than male applicants. This stems from historical wage gaps present in the training data.</w:t>
      </w:r>
    </w:p>
    <w:p w:rsidR="00000000" w:rsidDel="00000000" w:rsidP="00000000" w:rsidRDefault="00000000" w:rsidRPr="00000000" w14:paraId="00000028">
      <w:pPr>
        <w:numPr>
          <w:ilvl w:val="0"/>
          <w:numId w:val="4"/>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Racial/Tribal Bias:</w:t>
      </w:r>
      <w:r w:rsidDel="00000000" w:rsidR="00000000" w:rsidRPr="00000000">
        <w:rPr>
          <w:rFonts w:ascii="Times New Roman" w:cs="Times New Roman" w:eastAsia="Times New Roman" w:hAnsi="Times New Roman"/>
          <w:color w:val="1f1f1f"/>
          <w:sz w:val="24"/>
          <w:szCs w:val="24"/>
          <w:rtl w:val="0"/>
        </w:rPr>
        <w:t xml:space="preserve"> While the US data contains "Race," in Kenya, this translates to "Ethnicity" or "Location." There is a high risk that the model could pick up proxies for ethnicity (e.g., zip codes or specific vernacular names if used) and systematically deny loans to specific communities, constituting </w:t>
      </w:r>
      <w:r w:rsidDel="00000000" w:rsidR="00000000" w:rsidRPr="00000000">
        <w:rPr>
          <w:rFonts w:ascii="Times New Roman" w:cs="Times New Roman" w:eastAsia="Times New Roman" w:hAnsi="Times New Roman"/>
          <w:b w:val="1"/>
          <w:bCs w:val="1"/>
          <w:color w:val="1f1f1f"/>
          <w:sz w:val="24"/>
          <w:szCs w:val="24"/>
          <w:rtl w:val="0"/>
        </w:rPr>
        <w:t xml:space="preserve">digital redlining</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rPr>
      </w:pPr>
      <w:bookmarkStart w:colFirst="0" w:colLast="0" w:name="_m268yb9wl8pb" w:id="8"/>
      <w:bookmarkEnd w:id="8"/>
      <w:r w:rsidDel="00000000" w:rsidR="00000000" w:rsidRPr="00000000">
        <w:rPr>
          <w:rFonts w:ascii="Times New Roman" w:cs="Times New Roman" w:eastAsia="Times New Roman" w:hAnsi="Times New Roman"/>
          <w:b w:val="1"/>
          <w:bCs w:val="1"/>
          <w:color w:val="1f1f1f"/>
          <w:rtl w:val="0"/>
        </w:rPr>
        <w:t xml:space="preserve">3.2 Governance Challenges with Socio-Economic Data</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Handling this data presents unique governance hurdles:</w:t>
      </w:r>
    </w:p>
    <w:p w:rsidR="00000000" w:rsidDel="00000000" w:rsidP="00000000" w:rsidRDefault="00000000" w:rsidRPr="00000000" w14:paraId="0000002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Lineage &amp; Quality:</w:t>
      </w:r>
      <w:r w:rsidDel="00000000" w:rsidR="00000000" w:rsidRPr="00000000">
        <w:rPr>
          <w:rFonts w:ascii="Times New Roman" w:cs="Times New Roman" w:eastAsia="Times New Roman" w:hAnsi="Times New Roman"/>
          <w:color w:val="1f1f1f"/>
          <w:sz w:val="24"/>
          <w:szCs w:val="24"/>
          <w:rtl w:val="0"/>
        </w:rPr>
        <w:t xml:space="preserve"> The "Data Quality Assessment" revealed that ~7% of records had missing values. In a Kenyan context, administrative data is often even "messier." Making automated decisions on incomplete data violates the principle of </w:t>
      </w:r>
      <w:r w:rsidDel="00000000" w:rsidR="00000000" w:rsidRPr="00000000">
        <w:rPr>
          <w:rFonts w:ascii="Times New Roman" w:cs="Times New Roman" w:eastAsia="Times New Roman" w:hAnsi="Times New Roman"/>
          <w:b w:val="1"/>
          <w:bCs w:val="1"/>
          <w:color w:val="1f1f1f"/>
          <w:sz w:val="24"/>
          <w:szCs w:val="24"/>
          <w:rtl w:val="0"/>
        </w:rPr>
        <w:t xml:space="preserve">Accuracy</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2C">
      <w:pPr>
        <w:numPr>
          <w:ilvl w:val="0"/>
          <w:numId w:val="7"/>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Proxy Variables:</w:t>
      </w:r>
      <w:r w:rsidDel="00000000" w:rsidR="00000000" w:rsidRPr="00000000">
        <w:rPr>
          <w:rFonts w:ascii="Times New Roman" w:cs="Times New Roman" w:eastAsia="Times New Roman" w:hAnsi="Times New Roman"/>
          <w:color w:val="1f1f1f"/>
          <w:sz w:val="24"/>
          <w:szCs w:val="24"/>
          <w:rtl w:val="0"/>
        </w:rPr>
        <w:t xml:space="preserve"> Even if we remove "Gender" from the model, other variables like "Occupation" (e.g., Nursing vs. Construction) can act as proxies for gender. Governance policies must define strictly which variables are admissible for credit scoring.</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rPr>
      </w:pPr>
      <w:bookmarkStart w:colFirst="0" w:colLast="0" w:name="_n6m8ecin1awf" w:id="9"/>
      <w:bookmarkEnd w:id="9"/>
      <w:r w:rsidDel="00000000" w:rsidR="00000000" w:rsidRPr="00000000">
        <w:rPr>
          <w:rFonts w:ascii="Times New Roman" w:cs="Times New Roman" w:eastAsia="Times New Roman" w:hAnsi="Times New Roman"/>
          <w:b w:val="1"/>
          <w:bCs w:val="1"/>
          <w:color w:val="1f1f1f"/>
          <w:rtl w:val="0"/>
        </w:rPr>
        <w:t xml:space="preserve">3.3 Alignment with the Kenyan Data Protection Act (2019)</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deployment of this system must strictly adhere to the Data Protection Act (DPA) 2019. We have identified three critical sections of the Act that impact this project:</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 Automated Individual Decision Making (Section 35)</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Law:</w:t>
      </w:r>
      <w:r w:rsidDel="00000000" w:rsidR="00000000" w:rsidRPr="00000000">
        <w:rPr>
          <w:rFonts w:ascii="Times New Roman" w:cs="Times New Roman" w:eastAsia="Times New Roman" w:hAnsi="Times New Roman"/>
          <w:color w:val="1f1f1f"/>
          <w:sz w:val="24"/>
          <w:szCs w:val="24"/>
          <w:rtl w:val="0"/>
        </w:rPr>
        <w:t xml:space="preserve"> Section 35(1) states that a data subject has a right </w:t>
      </w:r>
      <w:r w:rsidDel="00000000" w:rsidR="00000000" w:rsidRPr="00000000">
        <w:rPr>
          <w:rFonts w:ascii="Times New Roman" w:cs="Times New Roman" w:eastAsia="Times New Roman" w:hAnsi="Times New Roman"/>
          <w:i w:val="1"/>
          <w:iCs w:val="1"/>
          <w:color w:val="1f1f1f"/>
          <w:sz w:val="24"/>
          <w:szCs w:val="24"/>
          <w:rtl w:val="0"/>
        </w:rPr>
        <w:t xml:space="preserve">not</w:t>
      </w:r>
      <w:r w:rsidDel="00000000" w:rsidR="00000000" w:rsidRPr="00000000">
        <w:rPr>
          <w:rFonts w:ascii="Times New Roman" w:cs="Times New Roman" w:eastAsia="Times New Roman" w:hAnsi="Times New Roman"/>
          <w:color w:val="1f1f1f"/>
          <w:sz w:val="24"/>
          <w:szCs w:val="24"/>
          <w:rtl w:val="0"/>
        </w:rPr>
        <w:t xml:space="preserve"> to be subject to a decision based </w:t>
      </w:r>
      <w:r w:rsidDel="00000000" w:rsidR="00000000" w:rsidRPr="00000000">
        <w:rPr>
          <w:rFonts w:ascii="Times New Roman" w:cs="Times New Roman" w:eastAsia="Times New Roman" w:hAnsi="Times New Roman"/>
          <w:i w:val="1"/>
          <w:iCs w:val="1"/>
          <w:color w:val="1f1f1f"/>
          <w:sz w:val="24"/>
          <w:szCs w:val="24"/>
          <w:rtl w:val="0"/>
        </w:rPr>
        <w:t xml:space="preserve">solely</w:t>
      </w:r>
      <w:r w:rsidDel="00000000" w:rsidR="00000000" w:rsidRPr="00000000">
        <w:rPr>
          <w:rFonts w:ascii="Times New Roman" w:cs="Times New Roman" w:eastAsia="Times New Roman" w:hAnsi="Times New Roman"/>
          <w:color w:val="1f1f1f"/>
          <w:sz w:val="24"/>
          <w:szCs w:val="24"/>
          <w:rtl w:val="0"/>
        </w:rPr>
        <w:t xml:space="preserve"> on automated processing, including profiling, which produces legal effects concerning or significantly affecting them.</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Implication:</w:t>
      </w:r>
      <w:r w:rsidDel="00000000" w:rsidR="00000000" w:rsidRPr="00000000">
        <w:rPr>
          <w:rFonts w:ascii="Times New Roman" w:cs="Times New Roman" w:eastAsia="Times New Roman" w:hAnsi="Times New Roman"/>
          <w:color w:val="1f1f1f"/>
          <w:sz w:val="24"/>
          <w:szCs w:val="24"/>
          <w:rtl w:val="0"/>
        </w:rPr>
        <w:t xml:space="preserve"> We </w:t>
      </w:r>
      <w:r w:rsidDel="00000000" w:rsidR="00000000" w:rsidRPr="00000000">
        <w:rPr>
          <w:rFonts w:ascii="Times New Roman" w:cs="Times New Roman" w:eastAsia="Times New Roman" w:hAnsi="Times New Roman"/>
          <w:b w:val="1"/>
          <w:bCs w:val="1"/>
          <w:color w:val="1f1f1f"/>
          <w:sz w:val="24"/>
          <w:szCs w:val="24"/>
          <w:rtl w:val="0"/>
        </w:rPr>
        <w:t xml:space="preserve">cannot</w:t>
      </w:r>
      <w:r w:rsidDel="00000000" w:rsidR="00000000" w:rsidRPr="00000000">
        <w:rPr>
          <w:rFonts w:ascii="Times New Roman" w:cs="Times New Roman" w:eastAsia="Times New Roman" w:hAnsi="Times New Roman"/>
          <w:color w:val="1f1f1f"/>
          <w:sz w:val="24"/>
          <w:szCs w:val="24"/>
          <w:rtl w:val="0"/>
        </w:rPr>
        <w:t xml:space="preserve"> deploy a fully automated "Auto-Reject" system for loans.</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Required Action:</w:t>
      </w:r>
      <w:r w:rsidDel="00000000" w:rsidR="00000000" w:rsidRPr="00000000">
        <w:rPr>
          <w:rFonts w:ascii="Times New Roman" w:cs="Times New Roman" w:eastAsia="Times New Roman" w:hAnsi="Times New Roman"/>
          <w:color w:val="1f1f1f"/>
          <w:sz w:val="24"/>
          <w:szCs w:val="24"/>
          <w:rtl w:val="0"/>
        </w:rPr>
        <w:t xml:space="preserve"> We must implement a "Human-in-the-Loop" review process. Any customer rejected by the AI model must have the option to appeal to a human credit officer.</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 Processing of Sensitive Personal Data (Section 44)</w:t>
      </w:r>
    </w:p>
    <w:p w:rsidR="00000000" w:rsidDel="00000000" w:rsidP="00000000" w:rsidRDefault="00000000" w:rsidRPr="00000000" w14:paraId="0000003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Law:</w:t>
      </w:r>
      <w:r w:rsidDel="00000000" w:rsidR="00000000" w:rsidRPr="00000000">
        <w:rPr>
          <w:rFonts w:ascii="Times New Roman" w:cs="Times New Roman" w:eastAsia="Times New Roman" w:hAnsi="Times New Roman"/>
          <w:color w:val="1f1f1f"/>
          <w:sz w:val="24"/>
          <w:szCs w:val="24"/>
          <w:rtl w:val="0"/>
        </w:rPr>
        <w:t xml:space="preserve"> Data regarding an individual's race, marital status, and sex is classified as "Sensitive Personal Data."</w:t>
      </w:r>
    </w:p>
    <w:p w:rsidR="00000000" w:rsidDel="00000000" w:rsidP="00000000" w:rsidRDefault="00000000" w:rsidRPr="00000000" w14:paraId="0000003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Implication:</w:t>
      </w:r>
      <w:r w:rsidDel="00000000" w:rsidR="00000000" w:rsidRPr="00000000">
        <w:rPr>
          <w:rFonts w:ascii="Times New Roman" w:cs="Times New Roman" w:eastAsia="Times New Roman" w:hAnsi="Times New Roman"/>
          <w:color w:val="1f1f1f"/>
          <w:sz w:val="24"/>
          <w:szCs w:val="24"/>
          <w:rtl w:val="0"/>
        </w:rPr>
        <w:t xml:space="preserve"> Our current model uses </w:t>
      </w:r>
      <w:r w:rsidDel="00000000" w:rsidR="00000000" w:rsidRPr="00000000">
        <w:rPr>
          <w:rFonts w:ascii="Times New Roman" w:cs="Times New Roman" w:eastAsia="Times New Roman" w:hAnsi="Times New Roman"/>
          <w:color w:val="444746"/>
          <w:sz w:val="24"/>
          <w:szCs w:val="24"/>
          <w:shd w:fill="e9eef6" w:val="clear"/>
          <w:rtl w:val="0"/>
        </w:rPr>
        <w:t xml:space="preserve">sex</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color w:val="444746"/>
          <w:sz w:val="24"/>
          <w:szCs w:val="24"/>
          <w:shd w:fill="e9eef6" w:val="clear"/>
          <w:rtl w:val="0"/>
        </w:rPr>
        <w:t xml:space="preserve">marital_status</w:t>
      </w:r>
      <w:r w:rsidDel="00000000" w:rsidR="00000000" w:rsidRPr="00000000">
        <w:rPr>
          <w:rFonts w:ascii="Times New Roman" w:cs="Times New Roman" w:eastAsia="Times New Roman" w:hAnsi="Times New Roman"/>
          <w:color w:val="1f1f1f"/>
          <w:sz w:val="24"/>
          <w:szCs w:val="24"/>
          <w:rtl w:val="0"/>
        </w:rPr>
        <w:t xml:space="preserve"> as features. This is a high-risk practice.</w:t>
      </w:r>
    </w:p>
    <w:p w:rsidR="00000000" w:rsidDel="00000000" w:rsidP="00000000" w:rsidRDefault="00000000" w:rsidRPr="00000000" w14:paraId="00000036">
      <w:pPr>
        <w:numPr>
          <w:ilvl w:val="0"/>
          <w:numId w:val="8"/>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Required Action:</w:t>
      </w:r>
      <w:r w:rsidDel="00000000" w:rsidR="00000000" w:rsidRPr="00000000">
        <w:rPr>
          <w:rFonts w:ascii="Times New Roman" w:cs="Times New Roman" w:eastAsia="Times New Roman" w:hAnsi="Times New Roman"/>
          <w:color w:val="1f1f1f"/>
          <w:sz w:val="24"/>
          <w:szCs w:val="24"/>
          <w:rtl w:val="0"/>
        </w:rPr>
        <w:t xml:space="preserve"> We must strip these sensitive fields from the </w:t>
      </w:r>
      <w:r w:rsidDel="00000000" w:rsidR="00000000" w:rsidRPr="00000000">
        <w:rPr>
          <w:rFonts w:ascii="Times New Roman" w:cs="Times New Roman" w:eastAsia="Times New Roman" w:hAnsi="Times New Roman"/>
          <w:i w:val="1"/>
          <w:iCs w:val="1"/>
          <w:color w:val="1f1f1f"/>
          <w:sz w:val="24"/>
          <w:szCs w:val="24"/>
          <w:rtl w:val="0"/>
        </w:rPr>
        <w:t xml:space="preserve">deployment</w:t>
      </w:r>
      <w:r w:rsidDel="00000000" w:rsidR="00000000" w:rsidRPr="00000000">
        <w:rPr>
          <w:rFonts w:ascii="Times New Roman" w:cs="Times New Roman" w:eastAsia="Times New Roman" w:hAnsi="Times New Roman"/>
          <w:color w:val="1f1f1f"/>
          <w:sz w:val="24"/>
          <w:szCs w:val="24"/>
          <w:rtl w:val="0"/>
        </w:rPr>
        <w:t xml:space="preserve"> model. While we use them for </w:t>
      </w:r>
      <w:r w:rsidDel="00000000" w:rsidR="00000000" w:rsidRPr="00000000">
        <w:rPr>
          <w:rFonts w:ascii="Times New Roman" w:cs="Times New Roman" w:eastAsia="Times New Roman" w:hAnsi="Times New Roman"/>
          <w:i w:val="1"/>
          <w:iCs w:val="1"/>
          <w:color w:val="1f1f1f"/>
          <w:sz w:val="24"/>
          <w:szCs w:val="24"/>
          <w:rtl w:val="0"/>
        </w:rPr>
        <w:t xml:space="preserve">auditing</w:t>
      </w:r>
      <w:r w:rsidDel="00000000" w:rsidR="00000000" w:rsidRPr="00000000">
        <w:rPr>
          <w:rFonts w:ascii="Times New Roman" w:cs="Times New Roman" w:eastAsia="Times New Roman" w:hAnsi="Times New Roman"/>
          <w:color w:val="1f1f1f"/>
          <w:sz w:val="24"/>
          <w:szCs w:val="24"/>
          <w:rtl w:val="0"/>
        </w:rPr>
        <w:t xml:space="preserve"> fairness in the back office, they cannot be used to calculate the credit score itself.</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 Right to Explanation (Transparency)</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Law:</w:t>
      </w:r>
      <w:r w:rsidDel="00000000" w:rsidR="00000000" w:rsidRPr="00000000">
        <w:rPr>
          <w:rFonts w:ascii="Times New Roman" w:cs="Times New Roman" w:eastAsia="Times New Roman" w:hAnsi="Times New Roman"/>
          <w:color w:val="1f1f1f"/>
          <w:sz w:val="24"/>
          <w:szCs w:val="24"/>
          <w:rtl w:val="0"/>
        </w:rPr>
        <w:t xml:space="preserve"> Data subjects have the right to be informed of the logic involved in automated decision-making.</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Implication:</w:t>
      </w:r>
      <w:r w:rsidDel="00000000" w:rsidR="00000000" w:rsidRPr="00000000">
        <w:rPr>
          <w:rFonts w:ascii="Times New Roman" w:cs="Times New Roman" w:eastAsia="Times New Roman" w:hAnsi="Times New Roman"/>
          <w:color w:val="1f1f1f"/>
          <w:sz w:val="24"/>
          <w:szCs w:val="24"/>
          <w:rtl w:val="0"/>
        </w:rPr>
        <w:t xml:space="preserve"> "Black Box" models like Random Forest (which we found to be most accurate) are difficult to explain.</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Required Action:</w:t>
      </w:r>
      <w:r w:rsidDel="00000000" w:rsidR="00000000" w:rsidRPr="00000000">
        <w:rPr>
          <w:rFonts w:ascii="Times New Roman" w:cs="Times New Roman" w:eastAsia="Times New Roman" w:hAnsi="Times New Roman"/>
          <w:color w:val="1f1f1f"/>
          <w:sz w:val="24"/>
          <w:szCs w:val="24"/>
          <w:rtl w:val="0"/>
        </w:rPr>
        <w:t xml:space="preserve"> We must use interpretation tools (like SHAP values) to generate simple reason codes for customers (e.g., "Your loan was declined due to low transaction volume," rather than "Error Code 404").</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rPr>
      </w:pPr>
      <w:bookmarkStart w:colFirst="0" w:colLast="0" w:name="_3a7b9zjsr382" w:id="10"/>
      <w:bookmarkEnd w:id="10"/>
      <w:r w:rsidDel="00000000" w:rsidR="00000000" w:rsidRPr="00000000">
        <w:rPr>
          <w:rFonts w:ascii="Times New Roman" w:cs="Times New Roman" w:eastAsia="Times New Roman" w:hAnsi="Times New Roman"/>
          <w:b w:val="1"/>
          <w:bCs w:val="1"/>
          <w:color w:val="1f1f1f"/>
          <w:rtl w:val="0"/>
        </w:rPr>
        <w:t xml:space="preserve">3.4 Practical Mitigation Strategies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move forward safely, we propose the following mitigation framework:</w:t>
      </w:r>
    </w:p>
    <w:p w:rsidR="00000000" w:rsidDel="00000000" w:rsidP="00000000" w:rsidRDefault="00000000" w:rsidRPr="00000000" w14:paraId="0000003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Fairness through Unawareness:</w:t>
      </w:r>
      <w:r w:rsidDel="00000000" w:rsidR="00000000" w:rsidRPr="00000000">
        <w:rPr>
          <w:rFonts w:ascii="Times New Roman" w:cs="Times New Roman" w:eastAsia="Times New Roman" w:hAnsi="Times New Roman"/>
          <w:color w:val="1f1f1f"/>
          <w:sz w:val="24"/>
          <w:szCs w:val="24"/>
          <w:rtl w:val="0"/>
        </w:rPr>
        <w:t xml:space="preserve"> Permanently drop </w:t>
      </w:r>
      <w:r w:rsidDel="00000000" w:rsidR="00000000" w:rsidRPr="00000000">
        <w:rPr>
          <w:rFonts w:ascii="Times New Roman" w:cs="Times New Roman" w:eastAsia="Times New Roman" w:hAnsi="Times New Roman"/>
          <w:color w:val="444746"/>
          <w:sz w:val="24"/>
          <w:szCs w:val="24"/>
          <w:shd w:fill="e9eef6" w:val="clear"/>
          <w:rtl w:val="0"/>
        </w:rPr>
        <w:t xml:space="preserve">Gender</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444746"/>
          <w:sz w:val="24"/>
          <w:szCs w:val="24"/>
          <w:shd w:fill="e9eef6" w:val="clear"/>
          <w:rtl w:val="0"/>
        </w:rPr>
        <w:t xml:space="preserve">Race</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color w:val="444746"/>
          <w:sz w:val="24"/>
          <w:szCs w:val="24"/>
          <w:shd w:fill="e9eef6" w:val="clear"/>
          <w:rtl w:val="0"/>
        </w:rPr>
        <w:t xml:space="preserve">Marital Status</w:t>
      </w:r>
      <w:r w:rsidDel="00000000" w:rsidR="00000000" w:rsidRPr="00000000">
        <w:rPr>
          <w:rFonts w:ascii="Times New Roman" w:cs="Times New Roman" w:eastAsia="Times New Roman" w:hAnsi="Times New Roman"/>
          <w:color w:val="1f1f1f"/>
          <w:sz w:val="24"/>
          <w:szCs w:val="24"/>
          <w:rtl w:val="0"/>
        </w:rPr>
        <w:t xml:space="preserve"> from the production model inputs to prevent direct discrimination.</w:t>
      </w:r>
    </w:p>
    <w:p w:rsidR="00000000" w:rsidDel="00000000" w:rsidP="00000000" w:rsidRDefault="00000000" w:rsidRPr="00000000" w14:paraId="0000003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Bias Stress-Testing:</w:t>
      </w:r>
      <w:r w:rsidDel="00000000" w:rsidR="00000000" w:rsidRPr="00000000">
        <w:rPr>
          <w:rFonts w:ascii="Times New Roman" w:cs="Times New Roman" w:eastAsia="Times New Roman" w:hAnsi="Times New Roman"/>
          <w:color w:val="1f1f1f"/>
          <w:sz w:val="24"/>
          <w:szCs w:val="24"/>
          <w:rtl w:val="0"/>
        </w:rPr>
        <w:t xml:space="preserve"> Before any model update is pushed to production, it must pass a "Fairness Unit Test" where we verify that the error rates (FNR) for men and women are within a 5% margin of difference.</w:t>
      </w:r>
    </w:p>
    <w:p w:rsidR="00000000" w:rsidDel="00000000" w:rsidP="00000000" w:rsidRDefault="00000000" w:rsidRPr="00000000" w14:paraId="0000003F">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"Shadow Mode" Phase:</w:t>
      </w:r>
      <w:r w:rsidDel="00000000" w:rsidR="00000000" w:rsidRPr="00000000">
        <w:rPr>
          <w:rFonts w:ascii="Times New Roman" w:cs="Times New Roman" w:eastAsia="Times New Roman" w:hAnsi="Times New Roman"/>
          <w:color w:val="1f1f1f"/>
          <w:sz w:val="24"/>
          <w:szCs w:val="24"/>
          <w:rtl w:val="0"/>
        </w:rPr>
        <w:t xml:space="preserve"> For the first 3 months, the AI model will run in the background. It will generate a score, but the loan decision will still be made by a human. We will compare the AI's suggestion against the human's decision to verify safety before turning it on.</w:t>
      </w:r>
    </w:p>
    <w:p w:rsidR="00000000" w:rsidDel="00000000" w:rsidP="00000000" w:rsidRDefault="00000000" w:rsidRPr="00000000" w14:paraId="00000040">
      <w:pPr>
        <w:numPr>
          <w:ilvl w:val="0"/>
          <w:numId w:val="10"/>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Algorithmic Impact Assessment (AIA):</w:t>
      </w:r>
      <w:r w:rsidDel="00000000" w:rsidR="00000000" w:rsidRPr="00000000">
        <w:rPr>
          <w:rFonts w:ascii="Times New Roman" w:cs="Times New Roman" w:eastAsia="Times New Roman" w:hAnsi="Times New Roman"/>
          <w:color w:val="1f1f1f"/>
          <w:sz w:val="24"/>
          <w:szCs w:val="24"/>
          <w:rtl w:val="0"/>
        </w:rPr>
        <w:t xml:space="preserve"> As required by the Office of the Data Protection Commissioner (ODPC), we will file an AIA detailing potential risks to customer privacy before processing begins.</w:t>
      </w:r>
    </w:p>
    <w:p w:rsidR="00000000" w:rsidDel="00000000" w:rsidP="00000000" w:rsidRDefault="00000000" w:rsidRPr="00000000" w14:paraId="00000041">
      <w:pP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1f1f1f"/>
          <w:sz w:val="36"/>
          <w:szCs w:val="36"/>
        </w:rPr>
      </w:pPr>
      <w:bookmarkStart w:colFirst="0" w:colLast="0" w:name="_z4hz8iy9yjg1" w:id="11"/>
      <w:bookmarkEnd w:id="11"/>
      <w:r w:rsidDel="00000000" w:rsidR="00000000" w:rsidRPr="00000000">
        <w:rPr>
          <w:rFonts w:ascii="Times New Roman" w:cs="Times New Roman" w:eastAsia="Times New Roman" w:hAnsi="Times New Roman"/>
          <w:b w:val="1"/>
          <w:bCs w:val="1"/>
          <w:color w:val="1f1f1f"/>
          <w:sz w:val="36"/>
          <w:szCs w:val="36"/>
          <w:rtl w:val="0"/>
        </w:rPr>
        <w:t xml:space="preserve">4.0 Conclusion</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While the automated income classification system demonstrates high technical accuracy (AUC 0.90), its immediate deployment in the Kenyan market is not recommended without significant localization. The differences in labour market structure (Formal vs. Informal) and the strict requirements of the Kenyan Data Protection Act (2019) demand a hybrid approach.</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We recommend a </w:t>
      </w:r>
      <w:r w:rsidDel="00000000" w:rsidR="00000000" w:rsidRPr="00000000">
        <w:rPr>
          <w:rFonts w:ascii="Times New Roman" w:cs="Times New Roman" w:eastAsia="Times New Roman" w:hAnsi="Times New Roman"/>
          <w:b w:val="1"/>
          <w:bCs w:val="1"/>
          <w:color w:val="1f1f1f"/>
          <w:sz w:val="24"/>
          <w:szCs w:val="24"/>
          <w:rtl w:val="0"/>
        </w:rPr>
        <w:t xml:space="preserve">Semi-Automated</w:t>
      </w:r>
      <w:r w:rsidDel="00000000" w:rsidR="00000000" w:rsidRPr="00000000">
        <w:rPr>
          <w:rFonts w:ascii="Times New Roman" w:cs="Times New Roman" w:eastAsia="Times New Roman" w:hAnsi="Times New Roman"/>
          <w:color w:val="1f1f1f"/>
          <w:sz w:val="24"/>
          <w:szCs w:val="24"/>
          <w:rtl w:val="0"/>
        </w:rPr>
        <w:t xml:space="preserve"> lending system where the AI model serves as a decision-support tool for credit officers, rather than a fully autonomous gatekeeper. This balances operational efficiency with ethical responsibility and legal compliance.</w: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