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1475" w:rsidRPr="00FF5242" w:rsidRDefault="00624586" w:rsidP="00FF5242">
      <w:pPr>
        <w:pStyle w:val="a5"/>
        <w:rPr>
          <w:b w:val="0"/>
          <w:sz w:val="48"/>
        </w:rPr>
      </w:pPr>
      <w:r w:rsidRPr="00FF5242">
        <w:rPr>
          <w:rFonts w:hint="eastAsia"/>
          <w:b w:val="0"/>
          <w:sz w:val="48"/>
        </w:rPr>
        <w:t>数据可视化期末考查作业报告</w:t>
      </w:r>
    </w:p>
    <w:p w:rsidR="00624586" w:rsidRPr="00FF5242" w:rsidRDefault="00624586" w:rsidP="00FF5242">
      <w:pPr>
        <w:pStyle w:val="a4"/>
        <w:rPr>
          <w:b w:val="0"/>
        </w:rPr>
      </w:pPr>
      <w:r>
        <w:rPr>
          <w:rFonts w:hint="eastAsia"/>
        </w:rPr>
        <w:t xml:space="preserve">                  </w:t>
      </w:r>
      <w:r w:rsidRPr="00FF5242">
        <w:rPr>
          <w:rFonts w:hint="eastAsia"/>
          <w:b w:val="0"/>
        </w:rPr>
        <w:t>——美元汇率波动因素和规律初探</w:t>
      </w:r>
    </w:p>
    <w:p w:rsidR="00624586" w:rsidRPr="00624586" w:rsidRDefault="00624586" w:rsidP="00624586">
      <w:pPr>
        <w:jc w:val="right"/>
      </w:pPr>
      <w:r w:rsidRPr="0080725B">
        <w:rPr>
          <w:rFonts w:hint="eastAsia"/>
          <w:sz w:val="24"/>
        </w:rPr>
        <w:t>何阳</w:t>
      </w:r>
      <w:r w:rsidRPr="0080725B">
        <w:rPr>
          <w:rFonts w:hint="eastAsia"/>
          <w:sz w:val="24"/>
        </w:rPr>
        <w:t xml:space="preserve"> </w:t>
      </w:r>
      <w:proofErr w:type="gramStart"/>
      <w:r w:rsidRPr="0080725B">
        <w:rPr>
          <w:rFonts w:hint="eastAsia"/>
          <w:sz w:val="24"/>
        </w:rPr>
        <w:t>张雁玲</w:t>
      </w:r>
      <w:proofErr w:type="gramEnd"/>
      <w:r w:rsidRPr="0080725B">
        <w:rPr>
          <w:rFonts w:hint="eastAsia"/>
          <w:sz w:val="24"/>
        </w:rPr>
        <w:t xml:space="preserve"> </w:t>
      </w:r>
      <w:r w:rsidRPr="0080725B">
        <w:rPr>
          <w:rFonts w:hint="eastAsia"/>
          <w:sz w:val="24"/>
        </w:rPr>
        <w:t>王</w:t>
      </w:r>
      <w:proofErr w:type="gramStart"/>
      <w:r w:rsidRPr="0080725B">
        <w:rPr>
          <w:rFonts w:hint="eastAsia"/>
          <w:sz w:val="24"/>
        </w:rPr>
        <w:t>泷</w:t>
      </w:r>
      <w:proofErr w:type="gramEnd"/>
      <w:r w:rsidRPr="0080725B">
        <w:rPr>
          <w:rFonts w:hint="eastAsia"/>
          <w:sz w:val="24"/>
        </w:rPr>
        <w:t>德</w:t>
      </w:r>
    </w:p>
    <w:p w:rsidR="00624586" w:rsidRPr="0069273F" w:rsidRDefault="00624586" w:rsidP="00624586">
      <w:pPr>
        <w:pStyle w:val="a3"/>
        <w:numPr>
          <w:ilvl w:val="0"/>
          <w:numId w:val="1"/>
        </w:numPr>
        <w:ind w:firstLineChars="0"/>
        <w:jc w:val="left"/>
        <w:rPr>
          <w:b/>
          <w:sz w:val="32"/>
        </w:rPr>
      </w:pPr>
      <w:r w:rsidRPr="0069273F">
        <w:rPr>
          <w:rFonts w:hint="eastAsia"/>
          <w:b/>
          <w:sz w:val="32"/>
        </w:rPr>
        <w:t>问题阐述</w:t>
      </w:r>
    </w:p>
    <w:p w:rsidR="00624586" w:rsidRPr="0069273F" w:rsidRDefault="00FF5242" w:rsidP="0069273F">
      <w:pPr>
        <w:pStyle w:val="a3"/>
        <w:spacing w:line="360" w:lineRule="auto"/>
        <w:ind w:left="420" w:firstLine="480"/>
        <w:jc w:val="left"/>
        <w:rPr>
          <w:sz w:val="24"/>
        </w:rPr>
      </w:pPr>
      <w:r w:rsidRPr="0069273F">
        <w:rPr>
          <w:rFonts w:hint="eastAsia"/>
          <w:sz w:val="24"/>
        </w:rPr>
        <w:t>当前，外汇投资是社会中较为常见的一种投资项目，得到人民群众的广泛参与。</w:t>
      </w:r>
      <w:r w:rsidR="00624586" w:rsidRPr="0069273F">
        <w:rPr>
          <w:rFonts w:hint="eastAsia"/>
          <w:sz w:val="24"/>
        </w:rPr>
        <w:t>本可视化工程描述了</w:t>
      </w:r>
      <w:r w:rsidRPr="0069273F">
        <w:rPr>
          <w:rFonts w:hint="eastAsia"/>
          <w:sz w:val="24"/>
        </w:rPr>
        <w:t>自</w:t>
      </w:r>
      <w:r w:rsidRPr="0069273F">
        <w:rPr>
          <w:rFonts w:hint="eastAsia"/>
          <w:sz w:val="24"/>
        </w:rPr>
        <w:t>2005</w:t>
      </w:r>
      <w:r w:rsidRPr="0069273F">
        <w:rPr>
          <w:rFonts w:hint="eastAsia"/>
          <w:sz w:val="24"/>
        </w:rPr>
        <w:t>年至今的</w:t>
      </w:r>
      <w:r w:rsidR="00624586" w:rsidRPr="0069273F">
        <w:rPr>
          <w:rFonts w:hint="eastAsia"/>
          <w:sz w:val="24"/>
        </w:rPr>
        <w:t>美元</w:t>
      </w:r>
      <w:r w:rsidRPr="0069273F">
        <w:rPr>
          <w:rFonts w:hint="eastAsia"/>
          <w:sz w:val="24"/>
        </w:rPr>
        <w:t>兑人民币比价</w:t>
      </w:r>
      <w:r w:rsidR="00624586" w:rsidRPr="0069273F">
        <w:rPr>
          <w:rFonts w:hint="eastAsia"/>
          <w:sz w:val="24"/>
        </w:rPr>
        <w:t>走势</w:t>
      </w:r>
      <w:r w:rsidRPr="0069273F">
        <w:rPr>
          <w:rFonts w:hint="eastAsia"/>
          <w:sz w:val="24"/>
        </w:rPr>
        <w:t>，同时引入经济统计数据，</w:t>
      </w:r>
      <w:r w:rsidR="00624586" w:rsidRPr="0069273F">
        <w:rPr>
          <w:rFonts w:hint="eastAsia"/>
          <w:sz w:val="24"/>
        </w:rPr>
        <w:t>通过</w:t>
      </w:r>
      <w:r w:rsidRPr="0069273F">
        <w:rPr>
          <w:rFonts w:hint="eastAsia"/>
          <w:sz w:val="24"/>
        </w:rPr>
        <w:t>研究汇率波动以及经济统计数据</w:t>
      </w:r>
      <w:r w:rsidR="00624586" w:rsidRPr="0069273F">
        <w:rPr>
          <w:rFonts w:hint="eastAsia"/>
          <w:sz w:val="24"/>
        </w:rPr>
        <w:t>发布</w:t>
      </w:r>
      <w:r w:rsidRPr="0069273F">
        <w:rPr>
          <w:rFonts w:hint="eastAsia"/>
          <w:sz w:val="24"/>
        </w:rPr>
        <w:t>时的汇率</w:t>
      </w:r>
      <w:r w:rsidR="00C11F70">
        <w:rPr>
          <w:rFonts w:hint="eastAsia"/>
          <w:sz w:val="24"/>
        </w:rPr>
        <w:t>波动来</w:t>
      </w:r>
      <w:r w:rsidRPr="0069273F">
        <w:rPr>
          <w:rFonts w:hint="eastAsia"/>
          <w:sz w:val="24"/>
        </w:rPr>
        <w:t>总结规律，分析原因，以期</w:t>
      </w:r>
      <w:r w:rsidR="00624586" w:rsidRPr="0069273F">
        <w:rPr>
          <w:rFonts w:hint="eastAsia"/>
          <w:sz w:val="24"/>
        </w:rPr>
        <w:t>发现理想的投资时点。</w:t>
      </w:r>
    </w:p>
    <w:p w:rsidR="00FF5242" w:rsidRPr="0069273F" w:rsidRDefault="00FF5242" w:rsidP="00FF5242">
      <w:pPr>
        <w:pStyle w:val="a3"/>
        <w:numPr>
          <w:ilvl w:val="0"/>
          <w:numId w:val="1"/>
        </w:numPr>
        <w:ind w:firstLineChars="0"/>
        <w:jc w:val="left"/>
        <w:rPr>
          <w:b/>
          <w:sz w:val="32"/>
        </w:rPr>
      </w:pPr>
      <w:r w:rsidRPr="0069273F">
        <w:rPr>
          <w:rFonts w:hint="eastAsia"/>
          <w:b/>
          <w:sz w:val="32"/>
        </w:rPr>
        <w:t>工程设计</w:t>
      </w:r>
    </w:p>
    <w:p w:rsidR="0069273F" w:rsidRPr="0069273F" w:rsidRDefault="0069273F" w:rsidP="0069273F">
      <w:pPr>
        <w:pStyle w:val="a3"/>
        <w:numPr>
          <w:ilvl w:val="0"/>
          <w:numId w:val="2"/>
        </w:numPr>
        <w:ind w:firstLineChars="0"/>
        <w:jc w:val="left"/>
        <w:rPr>
          <w:b/>
          <w:sz w:val="28"/>
        </w:rPr>
      </w:pPr>
      <w:r w:rsidRPr="0069273F">
        <w:rPr>
          <w:rFonts w:hint="eastAsia"/>
          <w:b/>
          <w:bCs/>
          <w:sz w:val="28"/>
        </w:rPr>
        <w:t>基本理论</w:t>
      </w:r>
    </w:p>
    <w:p w:rsidR="00BF31A1" w:rsidRDefault="005C0EEF" w:rsidP="0069273F">
      <w:pPr>
        <w:pStyle w:val="a3"/>
        <w:spacing w:line="360" w:lineRule="auto"/>
        <w:ind w:left="420" w:firstLine="480"/>
        <w:jc w:val="left"/>
        <w:rPr>
          <w:sz w:val="24"/>
        </w:rPr>
      </w:pPr>
      <w:r w:rsidRPr="0069273F">
        <w:rPr>
          <w:rFonts w:hint="eastAsia"/>
          <w:sz w:val="24"/>
        </w:rPr>
        <w:t>借用切比雪夫不等式的思想，将</w:t>
      </w:r>
      <w:r w:rsidR="0069273F" w:rsidRPr="0069273F">
        <w:rPr>
          <w:rFonts w:hint="eastAsia"/>
          <w:sz w:val="24"/>
        </w:rPr>
        <w:t>每日</w:t>
      </w:r>
      <w:r w:rsidRPr="0069273F">
        <w:rPr>
          <w:rFonts w:hint="eastAsia"/>
          <w:sz w:val="24"/>
        </w:rPr>
        <w:t>汇率看作随机变量</w:t>
      </w:r>
      <w:r w:rsidRPr="0069273F">
        <w:rPr>
          <w:sz w:val="24"/>
        </w:rPr>
        <w:t>X</w:t>
      </w:r>
      <w:r w:rsidRPr="0069273F">
        <w:rPr>
          <w:rFonts w:hint="eastAsia"/>
          <w:sz w:val="24"/>
        </w:rPr>
        <w:t>，其一定时间内的汇率均值视为数学期望</w:t>
      </w:r>
      <w:r w:rsidRPr="0069273F">
        <w:rPr>
          <w:sz w:val="24"/>
        </w:rPr>
        <w:t>E</w:t>
      </w:r>
      <w:r w:rsidRPr="0069273F">
        <w:rPr>
          <w:rFonts w:hint="eastAsia"/>
          <w:sz w:val="24"/>
        </w:rPr>
        <w:t>（</w:t>
      </w:r>
      <w:r w:rsidRPr="0069273F">
        <w:rPr>
          <w:sz w:val="24"/>
        </w:rPr>
        <w:t>X</w:t>
      </w:r>
      <w:r w:rsidRPr="0069273F">
        <w:rPr>
          <w:rFonts w:hint="eastAsia"/>
          <w:sz w:val="24"/>
        </w:rPr>
        <w:t>），方差为</w:t>
      </w:r>
      <w:r w:rsidRPr="0069273F">
        <w:rPr>
          <w:sz w:val="24"/>
        </w:rPr>
        <w:t>D</w:t>
      </w:r>
      <w:r w:rsidRPr="0069273F">
        <w:rPr>
          <w:rFonts w:hint="eastAsia"/>
          <w:sz w:val="24"/>
        </w:rPr>
        <w:t>（</w:t>
      </w:r>
      <w:r w:rsidRPr="0069273F">
        <w:rPr>
          <w:sz w:val="24"/>
        </w:rPr>
        <w:t>X</w:t>
      </w:r>
      <w:r w:rsidRPr="0069273F">
        <w:rPr>
          <w:rFonts w:hint="eastAsia"/>
          <w:sz w:val="24"/>
        </w:rPr>
        <w:t>），则</w:t>
      </w:r>
      <w:r w:rsidRPr="0069273F">
        <w:rPr>
          <w:sz w:val="24"/>
        </w:rPr>
        <w:br/>
        <w:t>P</w:t>
      </w:r>
      <w:r w:rsidRPr="0069273F">
        <w:rPr>
          <w:rFonts w:hint="eastAsia"/>
          <w:sz w:val="24"/>
        </w:rPr>
        <w:t>（</w:t>
      </w:r>
      <w:r w:rsidRPr="0069273F">
        <w:rPr>
          <w:sz w:val="24"/>
        </w:rPr>
        <w:t>|X-E</w:t>
      </w:r>
      <w:r w:rsidRPr="0069273F">
        <w:rPr>
          <w:rFonts w:hint="eastAsia"/>
          <w:sz w:val="24"/>
        </w:rPr>
        <w:t>（</w:t>
      </w:r>
      <w:r w:rsidRPr="0069273F">
        <w:rPr>
          <w:sz w:val="24"/>
        </w:rPr>
        <w:t>X</w:t>
      </w:r>
      <w:r w:rsidRPr="0069273F">
        <w:rPr>
          <w:rFonts w:hint="eastAsia"/>
          <w:sz w:val="24"/>
        </w:rPr>
        <w:t>）</w:t>
      </w:r>
      <w:r w:rsidRPr="0069273F">
        <w:rPr>
          <w:sz w:val="24"/>
        </w:rPr>
        <w:t>|&gt;=ε</w:t>
      </w:r>
      <w:r w:rsidRPr="0069273F">
        <w:rPr>
          <w:sz w:val="24"/>
        </w:rPr>
        <w:t>）</w:t>
      </w:r>
      <w:r w:rsidRPr="0069273F">
        <w:rPr>
          <w:sz w:val="24"/>
        </w:rPr>
        <w:t>=&lt;D(X)/ ε</w:t>
      </w:r>
      <w:r w:rsidRPr="0069273F">
        <w:rPr>
          <w:sz w:val="24"/>
          <w:vertAlign w:val="superscript"/>
        </w:rPr>
        <w:t>2</w:t>
      </w:r>
      <w:r w:rsidRPr="0069273F">
        <w:rPr>
          <w:rFonts w:hint="eastAsia"/>
          <w:sz w:val="24"/>
        </w:rPr>
        <w:t>。即如果</w:t>
      </w:r>
      <w:r w:rsidR="0069273F" w:rsidRPr="0069273F">
        <w:rPr>
          <w:rFonts w:hint="eastAsia"/>
          <w:sz w:val="24"/>
        </w:rPr>
        <w:t>每日</w:t>
      </w:r>
      <w:r w:rsidRPr="0069273F">
        <w:rPr>
          <w:rFonts w:hint="eastAsia"/>
          <w:sz w:val="24"/>
        </w:rPr>
        <w:t>汇率</w:t>
      </w:r>
      <w:r w:rsidRPr="0069273F">
        <w:rPr>
          <w:sz w:val="24"/>
        </w:rPr>
        <w:t>X</w:t>
      </w:r>
      <w:r w:rsidRPr="0069273F">
        <w:rPr>
          <w:rFonts w:hint="eastAsia"/>
          <w:sz w:val="24"/>
        </w:rPr>
        <w:t>偏离均值</w:t>
      </w:r>
      <w:r w:rsidRPr="0069273F">
        <w:rPr>
          <w:sz w:val="24"/>
        </w:rPr>
        <w:t>E</w:t>
      </w:r>
      <w:r w:rsidRPr="0069273F">
        <w:rPr>
          <w:rFonts w:hint="eastAsia"/>
          <w:sz w:val="24"/>
        </w:rPr>
        <w:t>（</w:t>
      </w:r>
      <w:r w:rsidRPr="0069273F">
        <w:rPr>
          <w:sz w:val="24"/>
        </w:rPr>
        <w:t>X</w:t>
      </w:r>
      <w:r w:rsidRPr="0069273F">
        <w:rPr>
          <w:rFonts w:hint="eastAsia"/>
          <w:sz w:val="24"/>
        </w:rPr>
        <w:t>）超过</w:t>
      </w:r>
      <w:r w:rsidRPr="0069273F">
        <w:rPr>
          <w:sz w:val="24"/>
        </w:rPr>
        <w:t>2</w:t>
      </w:r>
      <w:r w:rsidRPr="0069273F">
        <w:rPr>
          <w:rFonts w:hint="eastAsia"/>
          <w:sz w:val="24"/>
        </w:rPr>
        <w:t>倍标准方差的概率要小于</w:t>
      </w:r>
      <w:r w:rsidRPr="0069273F">
        <w:rPr>
          <w:sz w:val="24"/>
        </w:rPr>
        <w:t>25%</w:t>
      </w:r>
      <w:r w:rsidRPr="0069273F">
        <w:rPr>
          <w:rFonts w:hint="eastAsia"/>
          <w:sz w:val="24"/>
        </w:rPr>
        <w:t>，如果再考虑偏差方向，向上和向下偏离各只有不到</w:t>
      </w:r>
      <w:r w:rsidRPr="0069273F">
        <w:rPr>
          <w:sz w:val="24"/>
        </w:rPr>
        <w:t>12.5%</w:t>
      </w:r>
      <w:r w:rsidRPr="0069273F">
        <w:rPr>
          <w:rFonts w:hint="eastAsia"/>
          <w:sz w:val="24"/>
        </w:rPr>
        <w:t>的概率。我们基于以上思想，统计数年来美元对人民币的走势，找出汇率偏离其均值超过</w:t>
      </w:r>
      <w:r w:rsidRPr="0069273F">
        <w:rPr>
          <w:sz w:val="24"/>
        </w:rPr>
        <w:t>2</w:t>
      </w:r>
      <w:r w:rsidRPr="0069273F">
        <w:rPr>
          <w:rFonts w:hint="eastAsia"/>
          <w:sz w:val="24"/>
        </w:rPr>
        <w:t>倍标准方差的时点，并分析每一个时点若干天后的汇率波动规律。</w:t>
      </w:r>
    </w:p>
    <w:p w:rsidR="00BF31A1" w:rsidRDefault="00523E1C" w:rsidP="00EA0F52">
      <w:pPr>
        <w:pStyle w:val="a3"/>
        <w:spacing w:line="360" w:lineRule="auto"/>
        <w:ind w:left="420" w:firstLine="480"/>
        <w:jc w:val="left"/>
        <w:rPr>
          <w:sz w:val="24"/>
        </w:rPr>
      </w:pPr>
      <w:r>
        <w:rPr>
          <w:rFonts w:hint="eastAsia"/>
          <w:sz w:val="24"/>
        </w:rPr>
        <w:t>本工程</w:t>
      </w:r>
      <w:r w:rsidR="00EA0F52">
        <w:rPr>
          <w:rFonts w:hint="eastAsia"/>
          <w:sz w:val="24"/>
        </w:rPr>
        <w:t>又</w:t>
      </w:r>
      <w:r>
        <w:rPr>
          <w:rFonts w:hint="eastAsia"/>
          <w:sz w:val="24"/>
        </w:rPr>
        <w:t>引入了</w:t>
      </w:r>
      <w:r w:rsidR="005C0EEF" w:rsidRPr="0069273F">
        <w:rPr>
          <w:rFonts w:hint="eastAsia"/>
          <w:sz w:val="24"/>
        </w:rPr>
        <w:t>非农就业</w:t>
      </w:r>
      <w:r>
        <w:rPr>
          <w:rFonts w:hint="eastAsia"/>
          <w:sz w:val="24"/>
        </w:rPr>
        <w:t>人数这一经济统计</w:t>
      </w:r>
      <w:r w:rsidR="00EA0F52">
        <w:rPr>
          <w:rFonts w:hint="eastAsia"/>
          <w:sz w:val="24"/>
        </w:rPr>
        <w:t>数据</w:t>
      </w:r>
      <w:r>
        <w:rPr>
          <w:rFonts w:hint="eastAsia"/>
          <w:sz w:val="24"/>
        </w:rPr>
        <w:t>，其</w:t>
      </w:r>
      <w:r w:rsidR="00EA0F52">
        <w:rPr>
          <w:rFonts w:hint="eastAsia"/>
          <w:sz w:val="24"/>
        </w:rPr>
        <w:t>是</w:t>
      </w:r>
      <w:r w:rsidR="005C0EEF" w:rsidRPr="0069273F">
        <w:rPr>
          <w:rFonts w:hint="eastAsia"/>
          <w:sz w:val="24"/>
        </w:rPr>
        <w:t>美国非农业人口的就业状况的数据指标</w:t>
      </w:r>
      <w:r w:rsidR="00EA0F52">
        <w:rPr>
          <w:rFonts w:hint="eastAsia"/>
          <w:sz w:val="24"/>
        </w:rPr>
        <w:t>，可以极大地影响货币市场的美元价值，</w:t>
      </w:r>
      <w:r w:rsidR="005C0EEF" w:rsidRPr="0069273F">
        <w:rPr>
          <w:rFonts w:hint="eastAsia"/>
          <w:sz w:val="24"/>
        </w:rPr>
        <w:t>客观地反映了美国经济的兴衰。本工程区分了该数据的四种情况，即</w:t>
      </w:r>
    </w:p>
    <w:tbl>
      <w:tblPr>
        <w:tblStyle w:val="a6"/>
        <w:tblW w:w="5812" w:type="dxa"/>
        <w:tblInd w:w="1526" w:type="dxa"/>
        <w:tblLook w:val="0600" w:firstRow="0" w:lastRow="0" w:firstColumn="0" w:lastColumn="0" w:noHBand="1" w:noVBand="1"/>
      </w:tblPr>
      <w:tblGrid>
        <w:gridCol w:w="2977"/>
        <w:gridCol w:w="2835"/>
      </w:tblGrid>
      <w:tr w:rsidR="00523E1C" w:rsidRPr="00523E1C" w:rsidTr="00523E1C">
        <w:trPr>
          <w:trHeight w:val="794"/>
        </w:trPr>
        <w:tc>
          <w:tcPr>
            <w:tcW w:w="2977" w:type="dxa"/>
            <w:vAlign w:val="center"/>
            <w:hideMark/>
          </w:tcPr>
          <w:p w:rsidR="00BF31A1" w:rsidRPr="00523E1C" w:rsidRDefault="00523E1C" w:rsidP="00523E1C">
            <w:pPr>
              <w:spacing w:line="360" w:lineRule="auto"/>
              <w:jc w:val="center"/>
              <w:rPr>
                <w:sz w:val="24"/>
              </w:rPr>
            </w:pPr>
            <w:r w:rsidRPr="00523E1C">
              <w:rPr>
                <w:sz w:val="24"/>
              </w:rPr>
              <w:t>高于前值，高于预期</w:t>
            </w:r>
          </w:p>
        </w:tc>
        <w:tc>
          <w:tcPr>
            <w:tcW w:w="2835" w:type="dxa"/>
            <w:vAlign w:val="center"/>
            <w:hideMark/>
          </w:tcPr>
          <w:p w:rsidR="00BF31A1" w:rsidRPr="00523E1C" w:rsidRDefault="00523E1C" w:rsidP="00523E1C">
            <w:pPr>
              <w:spacing w:line="360" w:lineRule="auto"/>
              <w:jc w:val="center"/>
              <w:rPr>
                <w:sz w:val="24"/>
              </w:rPr>
            </w:pPr>
            <w:r w:rsidRPr="00523E1C">
              <w:rPr>
                <w:sz w:val="24"/>
              </w:rPr>
              <w:t>低于前值，高于预期</w:t>
            </w:r>
          </w:p>
        </w:tc>
      </w:tr>
      <w:tr w:rsidR="00523E1C" w:rsidRPr="00523E1C" w:rsidTr="00523E1C">
        <w:trPr>
          <w:trHeight w:val="794"/>
        </w:trPr>
        <w:tc>
          <w:tcPr>
            <w:tcW w:w="2977" w:type="dxa"/>
            <w:vAlign w:val="center"/>
            <w:hideMark/>
          </w:tcPr>
          <w:p w:rsidR="00BF31A1" w:rsidRPr="00523E1C" w:rsidRDefault="00523E1C" w:rsidP="00523E1C">
            <w:pPr>
              <w:spacing w:line="360" w:lineRule="auto"/>
              <w:jc w:val="center"/>
              <w:rPr>
                <w:sz w:val="24"/>
              </w:rPr>
            </w:pPr>
            <w:r w:rsidRPr="00523E1C">
              <w:rPr>
                <w:sz w:val="24"/>
              </w:rPr>
              <w:t>高于前值，</w:t>
            </w:r>
            <w:r>
              <w:rPr>
                <w:rFonts w:hint="eastAsia"/>
                <w:sz w:val="24"/>
              </w:rPr>
              <w:t>低</w:t>
            </w:r>
            <w:r w:rsidRPr="00523E1C">
              <w:rPr>
                <w:sz w:val="24"/>
              </w:rPr>
              <w:t>于预期</w:t>
            </w:r>
          </w:p>
        </w:tc>
        <w:tc>
          <w:tcPr>
            <w:tcW w:w="2835" w:type="dxa"/>
            <w:vAlign w:val="center"/>
            <w:hideMark/>
          </w:tcPr>
          <w:p w:rsidR="00BF31A1" w:rsidRPr="00523E1C" w:rsidRDefault="00523E1C" w:rsidP="00523E1C">
            <w:pPr>
              <w:spacing w:line="360" w:lineRule="auto"/>
              <w:jc w:val="center"/>
              <w:rPr>
                <w:sz w:val="24"/>
              </w:rPr>
            </w:pPr>
            <w:r w:rsidRPr="00523E1C">
              <w:rPr>
                <w:sz w:val="24"/>
              </w:rPr>
              <w:t>低于前值，低于预期</w:t>
            </w:r>
          </w:p>
        </w:tc>
      </w:tr>
    </w:tbl>
    <w:p w:rsidR="0069273F" w:rsidRDefault="00523E1C" w:rsidP="00EA0F52">
      <w:pPr>
        <w:pStyle w:val="a3"/>
        <w:spacing w:line="360" w:lineRule="auto"/>
        <w:ind w:left="420" w:firstLine="480"/>
        <w:jc w:val="left"/>
        <w:rPr>
          <w:sz w:val="24"/>
        </w:rPr>
      </w:pPr>
      <w:r>
        <w:rPr>
          <w:rFonts w:hint="eastAsia"/>
          <w:sz w:val="24"/>
        </w:rPr>
        <w:t>前值即上个月的数据值；预期即当月数据正式发布前，美国有关部门官方发布的对当月数据的预测值。一般认为数据</w:t>
      </w:r>
      <w:r w:rsidRPr="00523E1C">
        <w:rPr>
          <w:sz w:val="24"/>
        </w:rPr>
        <w:t>高于前值</w:t>
      </w:r>
      <w:r>
        <w:rPr>
          <w:rFonts w:hint="eastAsia"/>
          <w:sz w:val="24"/>
        </w:rPr>
        <w:t>、</w:t>
      </w:r>
      <w:r w:rsidRPr="00523E1C">
        <w:rPr>
          <w:sz w:val="24"/>
        </w:rPr>
        <w:t>高于预期</w:t>
      </w:r>
      <w:r>
        <w:rPr>
          <w:rFonts w:hint="eastAsia"/>
          <w:sz w:val="24"/>
        </w:rPr>
        <w:t>利好美元，</w:t>
      </w:r>
      <w:r w:rsidRPr="00523E1C">
        <w:rPr>
          <w:sz w:val="24"/>
        </w:rPr>
        <w:t>低于前值</w:t>
      </w:r>
      <w:r>
        <w:rPr>
          <w:rFonts w:hint="eastAsia"/>
          <w:sz w:val="24"/>
        </w:rPr>
        <w:t>、</w:t>
      </w:r>
      <w:r w:rsidRPr="00523E1C">
        <w:rPr>
          <w:sz w:val="24"/>
        </w:rPr>
        <w:t>低于预期</w:t>
      </w:r>
      <w:r>
        <w:rPr>
          <w:rFonts w:hint="eastAsia"/>
          <w:sz w:val="24"/>
        </w:rPr>
        <w:t>利空美元。</w:t>
      </w:r>
      <w:r w:rsidR="0012447B">
        <w:rPr>
          <w:rFonts w:hint="eastAsia"/>
          <w:sz w:val="24"/>
        </w:rPr>
        <w:t>该数据发布时间为下月初发布上月的数据。</w:t>
      </w:r>
      <w:r w:rsidR="00EA0F52">
        <w:rPr>
          <w:rFonts w:hint="eastAsia"/>
          <w:sz w:val="24"/>
        </w:rPr>
        <w:t>本工程由于篇幅有限，同时工程参与人员经济知识有限，故只</w:t>
      </w:r>
      <w:r w:rsidR="00EA0F52" w:rsidRPr="00EA0F52">
        <w:rPr>
          <w:rFonts w:hint="eastAsia"/>
          <w:sz w:val="24"/>
        </w:rPr>
        <w:t>对</w:t>
      </w:r>
      <w:r w:rsidR="00EA0F52">
        <w:rPr>
          <w:rFonts w:hint="eastAsia"/>
          <w:sz w:val="24"/>
        </w:rPr>
        <w:t>数据四种情</w:t>
      </w:r>
      <w:r w:rsidR="00EA0F52">
        <w:rPr>
          <w:rFonts w:hint="eastAsia"/>
          <w:sz w:val="24"/>
        </w:rPr>
        <w:lastRenderedPageBreak/>
        <w:t>况中的</w:t>
      </w:r>
      <w:r w:rsidR="00EA0F52" w:rsidRPr="00EA0F52">
        <w:rPr>
          <w:rFonts w:hint="eastAsia"/>
          <w:sz w:val="24"/>
        </w:rPr>
        <w:t>两种</w:t>
      </w:r>
      <w:r w:rsidR="00EA0F52">
        <w:rPr>
          <w:rFonts w:hint="eastAsia"/>
          <w:sz w:val="24"/>
        </w:rPr>
        <w:t>（</w:t>
      </w:r>
      <w:r w:rsidR="00EA0F52" w:rsidRPr="00523E1C">
        <w:rPr>
          <w:sz w:val="24"/>
        </w:rPr>
        <w:t>高于前值</w:t>
      </w:r>
      <w:r w:rsidR="00EA0F52">
        <w:rPr>
          <w:rFonts w:hint="eastAsia"/>
          <w:sz w:val="24"/>
        </w:rPr>
        <w:t>、</w:t>
      </w:r>
      <w:r w:rsidR="00EA0F52" w:rsidRPr="00523E1C">
        <w:rPr>
          <w:sz w:val="24"/>
        </w:rPr>
        <w:t>高于预期</w:t>
      </w:r>
      <w:r w:rsidR="00EA0F52">
        <w:rPr>
          <w:rFonts w:hint="eastAsia"/>
          <w:sz w:val="24"/>
        </w:rPr>
        <w:t>；</w:t>
      </w:r>
      <w:r w:rsidR="00EA0F52" w:rsidRPr="00523E1C">
        <w:rPr>
          <w:sz w:val="24"/>
        </w:rPr>
        <w:t>低于前值</w:t>
      </w:r>
      <w:r w:rsidR="00EA0F52">
        <w:rPr>
          <w:rFonts w:hint="eastAsia"/>
          <w:sz w:val="24"/>
        </w:rPr>
        <w:t>、</w:t>
      </w:r>
      <w:r w:rsidR="00EA0F52" w:rsidRPr="00523E1C">
        <w:rPr>
          <w:sz w:val="24"/>
        </w:rPr>
        <w:t>低于预期</w:t>
      </w:r>
      <w:r w:rsidR="00EA0F52">
        <w:rPr>
          <w:rFonts w:hint="eastAsia"/>
          <w:sz w:val="24"/>
        </w:rPr>
        <w:t>）</w:t>
      </w:r>
      <w:r w:rsidR="00EA0F52" w:rsidRPr="00EA0F52">
        <w:rPr>
          <w:rFonts w:hint="eastAsia"/>
          <w:sz w:val="24"/>
        </w:rPr>
        <w:t>结合偏离标准方差偏离情况加以</w:t>
      </w:r>
      <w:r w:rsidR="00EA0F52">
        <w:rPr>
          <w:rFonts w:hint="eastAsia"/>
          <w:sz w:val="24"/>
        </w:rPr>
        <w:t>了</w:t>
      </w:r>
      <w:r w:rsidR="00EA0F52" w:rsidRPr="00EA0F52">
        <w:rPr>
          <w:rFonts w:hint="eastAsia"/>
          <w:sz w:val="24"/>
        </w:rPr>
        <w:t>分析。</w:t>
      </w:r>
    </w:p>
    <w:p w:rsidR="00EA0F52" w:rsidRDefault="00EA0F52" w:rsidP="00EA0F52">
      <w:pPr>
        <w:pStyle w:val="a3"/>
        <w:numPr>
          <w:ilvl w:val="0"/>
          <w:numId w:val="2"/>
        </w:numPr>
        <w:ind w:firstLineChars="0"/>
        <w:jc w:val="left"/>
        <w:rPr>
          <w:b/>
          <w:bCs/>
          <w:sz w:val="28"/>
        </w:rPr>
      </w:pPr>
      <w:r>
        <w:rPr>
          <w:rFonts w:hint="eastAsia"/>
          <w:b/>
          <w:bCs/>
          <w:sz w:val="28"/>
        </w:rPr>
        <w:t>工程组成</w:t>
      </w:r>
    </w:p>
    <w:p w:rsidR="00EA0F52" w:rsidRPr="00EA0F52" w:rsidRDefault="00EA0F52" w:rsidP="0012447B">
      <w:pPr>
        <w:pStyle w:val="a3"/>
        <w:numPr>
          <w:ilvl w:val="0"/>
          <w:numId w:val="10"/>
        </w:numPr>
        <w:spacing w:line="360" w:lineRule="auto"/>
        <w:ind w:firstLineChars="0"/>
        <w:jc w:val="left"/>
        <w:rPr>
          <w:sz w:val="24"/>
        </w:rPr>
      </w:pPr>
      <w:r>
        <w:rPr>
          <w:rFonts w:hint="eastAsia"/>
          <w:sz w:val="24"/>
        </w:rPr>
        <w:t>绘制</w:t>
      </w:r>
      <w:r w:rsidRPr="00EA0F52">
        <w:rPr>
          <w:sz w:val="24"/>
        </w:rPr>
        <w:t>2005</w:t>
      </w:r>
      <w:r w:rsidRPr="00EA0F52">
        <w:rPr>
          <w:rFonts w:hint="eastAsia"/>
          <w:sz w:val="24"/>
        </w:rPr>
        <w:t>年</w:t>
      </w:r>
      <w:r w:rsidRPr="00EA0F52">
        <w:rPr>
          <w:sz w:val="24"/>
        </w:rPr>
        <w:t>-2016</w:t>
      </w:r>
      <w:r w:rsidRPr="00EA0F52">
        <w:rPr>
          <w:rFonts w:hint="eastAsia"/>
          <w:sz w:val="24"/>
        </w:rPr>
        <w:t>年美元对人民币的汇率曲线</w:t>
      </w:r>
      <w:r w:rsidR="00C11F70">
        <w:rPr>
          <w:rFonts w:hint="eastAsia"/>
          <w:sz w:val="24"/>
        </w:rPr>
        <w:t>、</w:t>
      </w:r>
      <w:r w:rsidRPr="00EA0F52">
        <w:rPr>
          <w:rFonts w:hint="eastAsia"/>
          <w:sz w:val="24"/>
        </w:rPr>
        <w:t>均线曲线</w:t>
      </w:r>
      <w:r w:rsidR="00C11F70">
        <w:rPr>
          <w:rFonts w:hint="eastAsia"/>
          <w:sz w:val="24"/>
        </w:rPr>
        <w:t>、</w:t>
      </w:r>
      <w:r w:rsidRPr="00EA0F52">
        <w:rPr>
          <w:rFonts w:hint="eastAsia"/>
          <w:sz w:val="24"/>
        </w:rPr>
        <w:t>一倍和二倍</w:t>
      </w:r>
      <w:r>
        <w:rPr>
          <w:rFonts w:hint="eastAsia"/>
          <w:sz w:val="24"/>
        </w:rPr>
        <w:t>标准</w:t>
      </w:r>
      <w:r w:rsidRPr="00EA0F52">
        <w:rPr>
          <w:rFonts w:hint="eastAsia"/>
          <w:sz w:val="24"/>
        </w:rPr>
        <w:t>方差范围。</w:t>
      </w:r>
    </w:p>
    <w:p w:rsidR="00EA0F52" w:rsidRPr="00EA0F52" w:rsidRDefault="00EA0F52" w:rsidP="0012447B">
      <w:pPr>
        <w:pStyle w:val="a3"/>
        <w:numPr>
          <w:ilvl w:val="0"/>
          <w:numId w:val="10"/>
        </w:numPr>
        <w:spacing w:line="360" w:lineRule="auto"/>
        <w:ind w:firstLineChars="0"/>
        <w:jc w:val="left"/>
        <w:rPr>
          <w:sz w:val="24"/>
        </w:rPr>
      </w:pPr>
      <w:r>
        <w:rPr>
          <w:rFonts w:hint="eastAsia"/>
          <w:sz w:val="24"/>
        </w:rPr>
        <w:t>绘制</w:t>
      </w:r>
      <w:r w:rsidRPr="00EA0F52">
        <w:rPr>
          <w:sz w:val="24"/>
        </w:rPr>
        <w:t>2009</w:t>
      </w:r>
      <w:r>
        <w:rPr>
          <w:rFonts w:hint="eastAsia"/>
          <w:sz w:val="24"/>
        </w:rPr>
        <w:t>年</w:t>
      </w:r>
      <w:r w:rsidRPr="00EA0F52">
        <w:rPr>
          <w:sz w:val="24"/>
        </w:rPr>
        <w:t>-2016</w:t>
      </w:r>
      <w:r w:rsidRPr="00EA0F52">
        <w:rPr>
          <w:rFonts w:hint="eastAsia"/>
          <w:sz w:val="24"/>
        </w:rPr>
        <w:t>年美国非农业就业数据曲线，并使</w:t>
      </w:r>
      <w:r>
        <w:rPr>
          <w:rFonts w:hint="eastAsia"/>
          <w:sz w:val="24"/>
        </w:rPr>
        <w:t>用不同颜色标示各月数据可能对经济发生的正面或负面的影响。即前文所述的四种情况中的两种。</w:t>
      </w:r>
    </w:p>
    <w:p w:rsidR="00EA0F52" w:rsidRPr="00EA0F52" w:rsidRDefault="00EA0F52" w:rsidP="0012447B">
      <w:pPr>
        <w:pStyle w:val="a3"/>
        <w:numPr>
          <w:ilvl w:val="0"/>
          <w:numId w:val="10"/>
        </w:numPr>
        <w:spacing w:line="360" w:lineRule="auto"/>
        <w:ind w:firstLineChars="0"/>
        <w:jc w:val="left"/>
        <w:rPr>
          <w:sz w:val="24"/>
        </w:rPr>
      </w:pPr>
      <w:r>
        <w:rPr>
          <w:rFonts w:hint="eastAsia"/>
          <w:sz w:val="24"/>
        </w:rPr>
        <w:t>汇率数据</w:t>
      </w:r>
      <w:r w:rsidRPr="00EA0F52">
        <w:rPr>
          <w:rFonts w:hint="eastAsia"/>
          <w:sz w:val="24"/>
        </w:rPr>
        <w:t>统计分析</w:t>
      </w:r>
      <w:r w:rsidRPr="00EA0F52">
        <w:rPr>
          <w:sz w:val="24"/>
        </w:rPr>
        <w:t>——</w:t>
      </w:r>
      <w:r w:rsidRPr="00EA0F52">
        <w:rPr>
          <w:rFonts w:hint="eastAsia"/>
          <w:sz w:val="24"/>
        </w:rPr>
        <w:t>找出偏离均值超过两倍</w:t>
      </w:r>
      <w:r>
        <w:rPr>
          <w:rFonts w:hint="eastAsia"/>
          <w:sz w:val="24"/>
        </w:rPr>
        <w:t>标准</w:t>
      </w:r>
      <w:r w:rsidRPr="00EA0F52">
        <w:rPr>
          <w:rFonts w:hint="eastAsia"/>
          <w:sz w:val="24"/>
        </w:rPr>
        <w:t>方差的时点，并分析每个时点若干天后的涨跌规律，进行统计。</w:t>
      </w:r>
    </w:p>
    <w:p w:rsidR="00EA0F52" w:rsidRPr="00EA0F52" w:rsidRDefault="00EA0F52" w:rsidP="0012447B">
      <w:pPr>
        <w:pStyle w:val="a3"/>
        <w:numPr>
          <w:ilvl w:val="0"/>
          <w:numId w:val="10"/>
        </w:numPr>
        <w:spacing w:line="360" w:lineRule="auto"/>
        <w:ind w:firstLineChars="0"/>
        <w:jc w:val="left"/>
        <w:rPr>
          <w:sz w:val="24"/>
        </w:rPr>
      </w:pPr>
      <w:r w:rsidRPr="00EA0F52">
        <w:rPr>
          <w:rFonts w:hint="eastAsia"/>
          <w:sz w:val="24"/>
        </w:rPr>
        <w:t>综合分析</w:t>
      </w:r>
      <w:r w:rsidRPr="00EA0F52">
        <w:rPr>
          <w:sz w:val="24"/>
        </w:rPr>
        <w:t>——</w:t>
      </w:r>
      <w:r w:rsidRPr="00EA0F52">
        <w:rPr>
          <w:rFonts w:hint="eastAsia"/>
          <w:sz w:val="24"/>
        </w:rPr>
        <w:t>分析当非农业就业数据出现支撑美元走高或走弱的</w:t>
      </w:r>
      <w:proofErr w:type="gramStart"/>
      <w:r w:rsidRPr="00EA0F52">
        <w:rPr>
          <w:rFonts w:hint="eastAsia"/>
          <w:sz w:val="24"/>
        </w:rPr>
        <w:t>讯息</w:t>
      </w:r>
      <w:proofErr w:type="gramEnd"/>
      <w:r w:rsidRPr="00EA0F52">
        <w:rPr>
          <w:rFonts w:hint="eastAsia"/>
          <w:sz w:val="24"/>
        </w:rPr>
        <w:t>时，那些偏离均值超过两倍方差的时点若干天后的走势将受到何样的影响。</w:t>
      </w:r>
    </w:p>
    <w:p w:rsidR="00EA0F52" w:rsidRDefault="000E3D6D" w:rsidP="00EA0F52">
      <w:pPr>
        <w:pStyle w:val="a3"/>
        <w:ind w:left="780" w:firstLineChars="0" w:firstLine="0"/>
        <w:jc w:val="left"/>
        <w:rPr>
          <w:b/>
          <w:bCs/>
          <w:sz w:val="28"/>
        </w:rPr>
      </w:pPr>
      <w:r w:rsidRPr="000E3D6D">
        <w:rPr>
          <w:b/>
          <w:bCs/>
          <w:noProof/>
          <w:sz w:val="28"/>
        </w:rPr>
        <w:drawing>
          <wp:inline distT="0" distB="0" distL="0" distR="0" wp14:anchorId="73D7A502" wp14:editId="32E229C6">
            <wp:extent cx="5274310" cy="3466760"/>
            <wp:effectExtent l="0" t="0" r="2540" b="635"/>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3466760"/>
                    </a:xfrm>
                    <a:prstGeom prst="rect">
                      <a:avLst/>
                    </a:prstGeom>
                    <a:noFill/>
                    <a:ln>
                      <a:noFill/>
                    </a:ln>
                    <a:effectLst/>
                    <a:extLst/>
                  </pic:spPr>
                </pic:pic>
              </a:graphicData>
            </a:graphic>
          </wp:inline>
        </w:drawing>
      </w:r>
    </w:p>
    <w:p w:rsidR="000E3D6D" w:rsidRDefault="000E3D6D" w:rsidP="000E3D6D">
      <w:pPr>
        <w:pStyle w:val="a3"/>
        <w:numPr>
          <w:ilvl w:val="0"/>
          <w:numId w:val="2"/>
        </w:numPr>
        <w:ind w:firstLineChars="0"/>
        <w:jc w:val="left"/>
        <w:rPr>
          <w:b/>
          <w:bCs/>
          <w:sz w:val="28"/>
        </w:rPr>
      </w:pPr>
      <w:r>
        <w:rPr>
          <w:rFonts w:hint="eastAsia"/>
          <w:b/>
          <w:bCs/>
          <w:sz w:val="28"/>
        </w:rPr>
        <w:t>统计分析项目和方法</w:t>
      </w:r>
    </w:p>
    <w:p w:rsidR="000E3D6D" w:rsidRPr="0012447B" w:rsidRDefault="000E3D6D" w:rsidP="0012447B">
      <w:pPr>
        <w:pStyle w:val="a3"/>
        <w:numPr>
          <w:ilvl w:val="1"/>
          <w:numId w:val="2"/>
        </w:numPr>
        <w:spacing w:line="360" w:lineRule="auto"/>
        <w:ind w:firstLineChars="0"/>
        <w:jc w:val="left"/>
        <w:rPr>
          <w:sz w:val="24"/>
        </w:rPr>
      </w:pPr>
      <w:r w:rsidRPr="0012447B">
        <w:rPr>
          <w:rFonts w:hint="eastAsia"/>
          <w:sz w:val="24"/>
        </w:rPr>
        <w:t>统计每日汇率偏离汇率均值超过两倍标准方差的时点。</w:t>
      </w:r>
    </w:p>
    <w:p w:rsidR="000E3D6D" w:rsidRPr="0012447B" w:rsidRDefault="000E3D6D" w:rsidP="0012447B">
      <w:pPr>
        <w:pStyle w:val="a3"/>
        <w:numPr>
          <w:ilvl w:val="1"/>
          <w:numId w:val="2"/>
        </w:numPr>
        <w:spacing w:line="360" w:lineRule="auto"/>
        <w:ind w:firstLineChars="0"/>
        <w:jc w:val="left"/>
        <w:rPr>
          <w:sz w:val="24"/>
        </w:rPr>
      </w:pPr>
      <w:r w:rsidRPr="0012447B">
        <w:rPr>
          <w:rFonts w:hint="eastAsia"/>
          <w:sz w:val="24"/>
        </w:rPr>
        <w:t>统计这些汇率偏离汇率均值超过两倍标准方差的时点三天后、五天后、十天后是否继续向增大偏离的方向波动。</w:t>
      </w:r>
    </w:p>
    <w:p w:rsidR="00BF31A1" w:rsidRDefault="005C0EEF" w:rsidP="0012447B">
      <w:pPr>
        <w:pStyle w:val="a3"/>
        <w:numPr>
          <w:ilvl w:val="1"/>
          <w:numId w:val="2"/>
        </w:numPr>
        <w:spacing w:line="360" w:lineRule="auto"/>
        <w:ind w:firstLineChars="0"/>
        <w:jc w:val="left"/>
        <w:rPr>
          <w:sz w:val="24"/>
        </w:rPr>
      </w:pPr>
      <w:r w:rsidRPr="0012447B">
        <w:rPr>
          <w:rFonts w:hint="eastAsia"/>
          <w:sz w:val="24"/>
        </w:rPr>
        <w:lastRenderedPageBreak/>
        <w:t>引入非农业就业数据，</w:t>
      </w:r>
      <w:r w:rsidR="0012447B" w:rsidRPr="0012447B">
        <w:rPr>
          <w:rFonts w:hint="eastAsia"/>
          <w:sz w:val="24"/>
        </w:rPr>
        <w:t>考察在该数据发布时偏离均值超过两倍</w:t>
      </w:r>
      <w:r w:rsidR="00C11F70">
        <w:rPr>
          <w:rFonts w:hint="eastAsia"/>
          <w:sz w:val="24"/>
        </w:rPr>
        <w:t>标准</w:t>
      </w:r>
      <w:r w:rsidR="0012447B" w:rsidRPr="0012447B">
        <w:rPr>
          <w:rFonts w:hint="eastAsia"/>
          <w:sz w:val="24"/>
        </w:rPr>
        <w:t>方差的</w:t>
      </w:r>
      <w:r w:rsidR="00C11F70">
        <w:rPr>
          <w:rFonts w:hint="eastAsia"/>
          <w:sz w:val="24"/>
        </w:rPr>
        <w:t>日子</w:t>
      </w:r>
      <w:r w:rsidR="0012447B" w:rsidRPr="0012447B">
        <w:rPr>
          <w:rFonts w:hint="eastAsia"/>
          <w:sz w:val="24"/>
        </w:rPr>
        <w:t>十</w:t>
      </w:r>
      <w:r w:rsidRPr="0012447B">
        <w:rPr>
          <w:rFonts w:hint="eastAsia"/>
          <w:sz w:val="24"/>
        </w:rPr>
        <w:t>天后的</w:t>
      </w:r>
      <w:r w:rsidR="00C11F70">
        <w:rPr>
          <w:rFonts w:hint="eastAsia"/>
          <w:sz w:val="24"/>
        </w:rPr>
        <w:t>汇率</w:t>
      </w:r>
      <w:r w:rsidRPr="0012447B">
        <w:rPr>
          <w:rFonts w:hint="eastAsia"/>
          <w:sz w:val="24"/>
        </w:rPr>
        <w:t>走势。</w:t>
      </w:r>
    </w:p>
    <w:p w:rsidR="0012447B" w:rsidRPr="0012447B" w:rsidRDefault="0012447B" w:rsidP="0012447B">
      <w:pPr>
        <w:pStyle w:val="a3"/>
        <w:numPr>
          <w:ilvl w:val="0"/>
          <w:numId w:val="1"/>
        </w:numPr>
        <w:ind w:firstLineChars="0"/>
        <w:jc w:val="left"/>
        <w:rPr>
          <w:b/>
          <w:sz w:val="32"/>
        </w:rPr>
      </w:pPr>
      <w:r w:rsidRPr="0012447B">
        <w:rPr>
          <w:rFonts w:hint="eastAsia"/>
          <w:b/>
          <w:sz w:val="32"/>
        </w:rPr>
        <w:t>工程实现</w:t>
      </w:r>
    </w:p>
    <w:p w:rsidR="00BF31A1" w:rsidRPr="0012447B" w:rsidRDefault="005C0EEF" w:rsidP="0012447B">
      <w:pPr>
        <w:pStyle w:val="a3"/>
        <w:numPr>
          <w:ilvl w:val="0"/>
          <w:numId w:val="11"/>
        </w:numPr>
        <w:spacing w:line="360" w:lineRule="auto"/>
        <w:ind w:firstLineChars="0"/>
        <w:jc w:val="left"/>
        <w:rPr>
          <w:sz w:val="24"/>
        </w:rPr>
      </w:pPr>
      <w:r w:rsidRPr="0012447B">
        <w:rPr>
          <w:rFonts w:hint="eastAsia"/>
          <w:sz w:val="24"/>
        </w:rPr>
        <w:t>数据收集</w:t>
      </w:r>
    </w:p>
    <w:p w:rsidR="0012447B" w:rsidRDefault="0012447B" w:rsidP="0012447B">
      <w:pPr>
        <w:pStyle w:val="a3"/>
        <w:spacing w:line="360" w:lineRule="auto"/>
        <w:ind w:left="420" w:firstLine="480"/>
        <w:jc w:val="left"/>
        <w:rPr>
          <w:sz w:val="24"/>
        </w:rPr>
      </w:pPr>
      <w:r w:rsidRPr="0012447B">
        <w:rPr>
          <w:rFonts w:hint="eastAsia"/>
          <w:sz w:val="24"/>
        </w:rPr>
        <w:t>本工程</w:t>
      </w:r>
      <w:r>
        <w:rPr>
          <w:rFonts w:hint="eastAsia"/>
          <w:sz w:val="24"/>
        </w:rPr>
        <w:t>从网络上</w:t>
      </w:r>
      <w:r w:rsidRPr="0012447B">
        <w:rPr>
          <w:rFonts w:hint="eastAsia"/>
          <w:sz w:val="24"/>
        </w:rPr>
        <w:t>收集了</w:t>
      </w:r>
      <w:r w:rsidRPr="0012447B">
        <w:rPr>
          <w:sz w:val="24"/>
        </w:rPr>
        <w:t>2005</w:t>
      </w:r>
      <w:r w:rsidRPr="0012447B">
        <w:rPr>
          <w:rFonts w:hint="eastAsia"/>
          <w:sz w:val="24"/>
        </w:rPr>
        <w:t>年</w:t>
      </w:r>
      <w:r w:rsidRPr="0012447B">
        <w:rPr>
          <w:sz w:val="24"/>
        </w:rPr>
        <w:t>-2016</w:t>
      </w:r>
      <w:r w:rsidRPr="0012447B">
        <w:rPr>
          <w:rFonts w:hint="eastAsia"/>
          <w:sz w:val="24"/>
        </w:rPr>
        <w:t>年美元</w:t>
      </w:r>
      <w:r w:rsidR="00D97EE7">
        <w:rPr>
          <w:rFonts w:hint="eastAsia"/>
          <w:sz w:val="24"/>
        </w:rPr>
        <w:t>兑</w:t>
      </w:r>
      <w:r w:rsidRPr="0012447B">
        <w:rPr>
          <w:rFonts w:hint="eastAsia"/>
          <w:sz w:val="24"/>
        </w:rPr>
        <w:t>人民币的每日汇率（以下简称：数据</w:t>
      </w:r>
      <w:r w:rsidRPr="0012447B">
        <w:rPr>
          <w:sz w:val="24"/>
        </w:rPr>
        <w:t>1</w:t>
      </w:r>
      <w:r w:rsidRPr="0012447B">
        <w:rPr>
          <w:rFonts w:hint="eastAsia"/>
          <w:sz w:val="24"/>
        </w:rPr>
        <w:t>）和</w:t>
      </w:r>
      <w:r w:rsidRPr="0012447B">
        <w:rPr>
          <w:sz w:val="24"/>
        </w:rPr>
        <w:t>2009</w:t>
      </w:r>
      <w:r w:rsidRPr="0012447B">
        <w:rPr>
          <w:rFonts w:hint="eastAsia"/>
          <w:sz w:val="24"/>
        </w:rPr>
        <w:t>年</w:t>
      </w:r>
      <w:r w:rsidRPr="0012447B">
        <w:rPr>
          <w:sz w:val="24"/>
        </w:rPr>
        <w:t>-2016</w:t>
      </w:r>
      <w:r w:rsidRPr="0012447B">
        <w:rPr>
          <w:rFonts w:hint="eastAsia"/>
          <w:sz w:val="24"/>
        </w:rPr>
        <w:t>年美国劳工部月度发布的非农业就业数据（以下简称：数据</w:t>
      </w:r>
      <w:r w:rsidRPr="0012447B">
        <w:rPr>
          <w:sz w:val="24"/>
        </w:rPr>
        <w:t>2</w:t>
      </w:r>
      <w:r w:rsidRPr="0012447B">
        <w:rPr>
          <w:rFonts w:hint="eastAsia"/>
          <w:sz w:val="24"/>
        </w:rPr>
        <w:t>）作为工程的数据输入。</w:t>
      </w:r>
    </w:p>
    <w:p w:rsidR="0012447B" w:rsidRDefault="0012447B" w:rsidP="0012447B">
      <w:pPr>
        <w:pStyle w:val="a3"/>
        <w:numPr>
          <w:ilvl w:val="0"/>
          <w:numId w:val="11"/>
        </w:numPr>
        <w:spacing w:line="360" w:lineRule="auto"/>
        <w:ind w:firstLineChars="0"/>
        <w:jc w:val="left"/>
        <w:rPr>
          <w:sz w:val="24"/>
        </w:rPr>
      </w:pPr>
      <w:r>
        <w:rPr>
          <w:rFonts w:hint="eastAsia"/>
          <w:sz w:val="24"/>
        </w:rPr>
        <w:t>编码</w:t>
      </w:r>
      <w:r w:rsidR="00D97EE7">
        <w:rPr>
          <w:rFonts w:hint="eastAsia"/>
          <w:sz w:val="24"/>
        </w:rPr>
        <w:t>实现</w:t>
      </w:r>
    </w:p>
    <w:p w:rsidR="0012447B" w:rsidRDefault="0012447B" w:rsidP="005C0EEF">
      <w:pPr>
        <w:pStyle w:val="a3"/>
        <w:spacing w:line="360" w:lineRule="auto"/>
        <w:ind w:left="420" w:firstLine="480"/>
        <w:jc w:val="left"/>
        <w:rPr>
          <w:sz w:val="24"/>
        </w:rPr>
      </w:pPr>
      <w:r w:rsidRPr="0012447B">
        <w:rPr>
          <w:rFonts w:hint="eastAsia"/>
          <w:sz w:val="24"/>
        </w:rPr>
        <w:t>本工程使用</w:t>
      </w:r>
      <w:r w:rsidRPr="0012447B">
        <w:rPr>
          <w:rFonts w:hint="eastAsia"/>
          <w:sz w:val="24"/>
        </w:rPr>
        <w:t>d3.js</w:t>
      </w:r>
      <w:r w:rsidRPr="0012447B">
        <w:rPr>
          <w:rFonts w:hint="eastAsia"/>
          <w:sz w:val="24"/>
        </w:rPr>
        <w:t>语言进行开发设计</w:t>
      </w:r>
      <w:r>
        <w:rPr>
          <w:rFonts w:hint="eastAsia"/>
          <w:sz w:val="24"/>
        </w:rPr>
        <w:t>，使用</w:t>
      </w:r>
      <w:r>
        <w:rPr>
          <w:sz w:val="24"/>
        </w:rPr>
        <w:t>Firefox</w:t>
      </w:r>
      <w:r>
        <w:rPr>
          <w:rFonts w:hint="eastAsia"/>
          <w:sz w:val="24"/>
        </w:rPr>
        <w:t>浏览器进行调试和展示，并使用</w:t>
      </w:r>
      <w:r>
        <w:rPr>
          <w:rFonts w:hint="eastAsia"/>
          <w:sz w:val="24"/>
        </w:rPr>
        <w:t>Apache</w:t>
      </w:r>
      <w:r w:rsidR="00D97EE7">
        <w:rPr>
          <w:rFonts w:hint="eastAsia"/>
          <w:sz w:val="24"/>
        </w:rPr>
        <w:t xml:space="preserve"> Http Server </w:t>
      </w:r>
      <w:r w:rsidR="00D97EE7">
        <w:rPr>
          <w:rFonts w:hint="eastAsia"/>
          <w:sz w:val="24"/>
        </w:rPr>
        <w:t>来搭建服务器，存储要读取的</w:t>
      </w:r>
      <w:r w:rsidR="00D97EE7">
        <w:rPr>
          <w:rFonts w:hint="eastAsia"/>
          <w:sz w:val="24"/>
        </w:rPr>
        <w:t>.</w:t>
      </w:r>
      <w:proofErr w:type="spellStart"/>
      <w:r w:rsidR="00D97EE7">
        <w:rPr>
          <w:rFonts w:hint="eastAsia"/>
          <w:sz w:val="24"/>
        </w:rPr>
        <w:t>csv</w:t>
      </w:r>
      <w:proofErr w:type="spellEnd"/>
      <w:r w:rsidR="00D97EE7">
        <w:rPr>
          <w:rFonts w:hint="eastAsia"/>
          <w:sz w:val="24"/>
        </w:rPr>
        <w:t>文件。</w:t>
      </w:r>
      <w:r w:rsidR="00C11F70">
        <w:rPr>
          <w:rFonts w:hint="eastAsia"/>
          <w:sz w:val="24"/>
        </w:rPr>
        <w:t>本工程程序行数：</w:t>
      </w:r>
      <w:r w:rsidR="00C11F70">
        <w:rPr>
          <w:rFonts w:hint="eastAsia"/>
          <w:sz w:val="24"/>
        </w:rPr>
        <w:t>472</w:t>
      </w:r>
      <w:r w:rsidR="00C11F70">
        <w:rPr>
          <w:rFonts w:hint="eastAsia"/>
          <w:sz w:val="24"/>
        </w:rPr>
        <w:t>。</w:t>
      </w:r>
    </w:p>
    <w:p w:rsidR="005C0EEF" w:rsidRDefault="005C0EEF" w:rsidP="005C0EEF">
      <w:pPr>
        <w:pStyle w:val="a3"/>
        <w:numPr>
          <w:ilvl w:val="0"/>
          <w:numId w:val="11"/>
        </w:numPr>
        <w:spacing w:line="360" w:lineRule="auto"/>
        <w:ind w:firstLineChars="0"/>
        <w:jc w:val="left"/>
        <w:rPr>
          <w:sz w:val="24"/>
        </w:rPr>
      </w:pPr>
      <w:r>
        <w:rPr>
          <w:rFonts w:hint="eastAsia"/>
          <w:sz w:val="24"/>
        </w:rPr>
        <w:t>具体实现细节</w:t>
      </w:r>
    </w:p>
    <w:p w:rsidR="005C0EEF" w:rsidRDefault="00D97EE7" w:rsidP="002C1B28">
      <w:pPr>
        <w:pStyle w:val="a3"/>
        <w:numPr>
          <w:ilvl w:val="2"/>
          <w:numId w:val="12"/>
        </w:numPr>
        <w:spacing w:line="360" w:lineRule="auto"/>
        <w:ind w:firstLineChars="0"/>
        <w:jc w:val="left"/>
        <w:rPr>
          <w:sz w:val="24"/>
        </w:rPr>
      </w:pPr>
      <w:r>
        <w:rPr>
          <w:rFonts w:hint="eastAsia"/>
          <w:sz w:val="24"/>
        </w:rPr>
        <w:t>从两个</w:t>
      </w:r>
      <w:r>
        <w:rPr>
          <w:rFonts w:hint="eastAsia"/>
          <w:sz w:val="24"/>
        </w:rPr>
        <w:t>.</w:t>
      </w:r>
      <w:proofErr w:type="spellStart"/>
      <w:r>
        <w:rPr>
          <w:rFonts w:hint="eastAsia"/>
          <w:sz w:val="24"/>
        </w:rPr>
        <w:t>csv</w:t>
      </w:r>
      <w:proofErr w:type="spellEnd"/>
      <w:r>
        <w:rPr>
          <w:rFonts w:hint="eastAsia"/>
          <w:sz w:val="24"/>
        </w:rPr>
        <w:t>文件</w:t>
      </w:r>
      <w:r w:rsidR="005C0EEF">
        <w:rPr>
          <w:rFonts w:hint="eastAsia"/>
          <w:sz w:val="24"/>
        </w:rPr>
        <w:t>读取</w:t>
      </w:r>
      <w:r>
        <w:rPr>
          <w:rFonts w:hint="eastAsia"/>
          <w:sz w:val="24"/>
        </w:rPr>
        <w:t>数据</w:t>
      </w:r>
      <w:r>
        <w:rPr>
          <w:rFonts w:hint="eastAsia"/>
          <w:sz w:val="24"/>
        </w:rPr>
        <w:t>1</w:t>
      </w:r>
      <w:r>
        <w:rPr>
          <w:rFonts w:hint="eastAsia"/>
          <w:sz w:val="24"/>
        </w:rPr>
        <w:t>和数据</w:t>
      </w:r>
      <w:r>
        <w:rPr>
          <w:rFonts w:hint="eastAsia"/>
          <w:sz w:val="24"/>
        </w:rPr>
        <w:t>2</w:t>
      </w:r>
      <w:r>
        <w:rPr>
          <w:rFonts w:hint="eastAsia"/>
          <w:sz w:val="24"/>
        </w:rPr>
        <w:t>。</w:t>
      </w:r>
    </w:p>
    <w:p w:rsidR="00D97EE7" w:rsidRDefault="00D97EE7" w:rsidP="002C1B28">
      <w:pPr>
        <w:pStyle w:val="a3"/>
        <w:numPr>
          <w:ilvl w:val="2"/>
          <w:numId w:val="12"/>
        </w:numPr>
        <w:spacing w:line="360" w:lineRule="auto"/>
        <w:ind w:firstLineChars="0"/>
        <w:jc w:val="left"/>
        <w:rPr>
          <w:sz w:val="24"/>
        </w:rPr>
      </w:pPr>
      <w:r>
        <w:rPr>
          <w:rFonts w:hint="eastAsia"/>
          <w:sz w:val="24"/>
        </w:rPr>
        <w:t>利用数据</w:t>
      </w:r>
      <w:r>
        <w:rPr>
          <w:rFonts w:hint="eastAsia"/>
          <w:sz w:val="24"/>
        </w:rPr>
        <w:t>1</w:t>
      </w:r>
      <w:r>
        <w:rPr>
          <w:rFonts w:hint="eastAsia"/>
          <w:sz w:val="24"/>
        </w:rPr>
        <w:t>的画出</w:t>
      </w:r>
      <w:r w:rsidRPr="0012447B">
        <w:rPr>
          <w:sz w:val="24"/>
        </w:rPr>
        <w:t>2005</w:t>
      </w:r>
      <w:r w:rsidRPr="0012447B">
        <w:rPr>
          <w:rFonts w:hint="eastAsia"/>
          <w:sz w:val="24"/>
        </w:rPr>
        <w:t>年</w:t>
      </w:r>
      <w:r w:rsidRPr="0012447B">
        <w:rPr>
          <w:sz w:val="24"/>
        </w:rPr>
        <w:t>-2016</w:t>
      </w:r>
      <w:r w:rsidRPr="0012447B">
        <w:rPr>
          <w:rFonts w:hint="eastAsia"/>
          <w:sz w:val="24"/>
        </w:rPr>
        <w:t>年美元</w:t>
      </w:r>
      <w:r>
        <w:rPr>
          <w:rFonts w:hint="eastAsia"/>
          <w:sz w:val="24"/>
        </w:rPr>
        <w:t>兑人民币的</w:t>
      </w:r>
      <w:r w:rsidRPr="0012447B">
        <w:rPr>
          <w:rFonts w:hint="eastAsia"/>
          <w:sz w:val="24"/>
        </w:rPr>
        <w:t>汇率</w:t>
      </w:r>
      <w:r>
        <w:rPr>
          <w:rFonts w:hint="eastAsia"/>
          <w:sz w:val="24"/>
        </w:rPr>
        <w:t>曲线等，包括汇率曲线、均线、一倍和两倍标准方差范围。</w:t>
      </w:r>
    </w:p>
    <w:p w:rsidR="00D97EE7" w:rsidRDefault="00D97EE7" w:rsidP="002C1B28">
      <w:pPr>
        <w:pStyle w:val="a3"/>
        <w:numPr>
          <w:ilvl w:val="2"/>
          <w:numId w:val="12"/>
        </w:numPr>
        <w:spacing w:line="360" w:lineRule="auto"/>
        <w:ind w:firstLineChars="0"/>
        <w:jc w:val="left"/>
        <w:rPr>
          <w:sz w:val="24"/>
        </w:rPr>
      </w:pPr>
      <w:r>
        <w:rPr>
          <w:rFonts w:hint="eastAsia"/>
          <w:sz w:val="24"/>
        </w:rPr>
        <w:t>利用数据</w:t>
      </w:r>
      <w:r>
        <w:rPr>
          <w:rFonts w:hint="eastAsia"/>
          <w:sz w:val="24"/>
        </w:rPr>
        <w:t>2</w:t>
      </w:r>
      <w:r>
        <w:rPr>
          <w:rFonts w:hint="eastAsia"/>
          <w:sz w:val="24"/>
        </w:rPr>
        <w:t>的画出非农业就业数据曲线以及以各点所属的四种情况之一为各数值点着色。红色代表</w:t>
      </w:r>
      <w:r w:rsidRPr="00523E1C">
        <w:rPr>
          <w:sz w:val="24"/>
        </w:rPr>
        <w:t>高于前值</w:t>
      </w:r>
      <w:r>
        <w:rPr>
          <w:rFonts w:hint="eastAsia"/>
          <w:sz w:val="24"/>
        </w:rPr>
        <w:t>、</w:t>
      </w:r>
      <w:r w:rsidRPr="00523E1C">
        <w:rPr>
          <w:sz w:val="24"/>
        </w:rPr>
        <w:t>高于预期</w:t>
      </w:r>
      <w:r>
        <w:rPr>
          <w:rFonts w:hint="eastAsia"/>
          <w:sz w:val="24"/>
        </w:rPr>
        <w:t>；绿色代表</w:t>
      </w:r>
      <w:r w:rsidRPr="00523E1C">
        <w:rPr>
          <w:sz w:val="24"/>
        </w:rPr>
        <w:t>低于前值</w:t>
      </w:r>
      <w:r>
        <w:rPr>
          <w:rFonts w:hint="eastAsia"/>
          <w:sz w:val="24"/>
        </w:rPr>
        <w:t>、</w:t>
      </w:r>
      <w:r w:rsidRPr="00523E1C">
        <w:rPr>
          <w:sz w:val="24"/>
        </w:rPr>
        <w:t>低于预期</w:t>
      </w:r>
      <w:r>
        <w:rPr>
          <w:rFonts w:hint="eastAsia"/>
          <w:sz w:val="24"/>
        </w:rPr>
        <w:t>；橙色代表</w:t>
      </w:r>
      <w:r w:rsidRPr="00523E1C">
        <w:rPr>
          <w:sz w:val="24"/>
        </w:rPr>
        <w:t>低于前值</w:t>
      </w:r>
      <w:r>
        <w:rPr>
          <w:rFonts w:hint="eastAsia"/>
          <w:sz w:val="24"/>
        </w:rPr>
        <w:t>、</w:t>
      </w:r>
      <w:r w:rsidRPr="00523E1C">
        <w:rPr>
          <w:sz w:val="24"/>
        </w:rPr>
        <w:t>高于预期</w:t>
      </w:r>
      <w:r w:rsidR="002C1B28">
        <w:rPr>
          <w:rFonts w:hint="eastAsia"/>
          <w:sz w:val="24"/>
        </w:rPr>
        <w:t>；蓝色代表</w:t>
      </w:r>
      <w:r w:rsidR="002C1B28" w:rsidRPr="00523E1C">
        <w:rPr>
          <w:sz w:val="24"/>
        </w:rPr>
        <w:t>高于前值</w:t>
      </w:r>
      <w:r w:rsidR="002C1B28">
        <w:rPr>
          <w:rFonts w:hint="eastAsia"/>
          <w:sz w:val="24"/>
        </w:rPr>
        <w:t>、低</w:t>
      </w:r>
      <w:r w:rsidR="002C1B28" w:rsidRPr="00523E1C">
        <w:rPr>
          <w:sz w:val="24"/>
        </w:rPr>
        <w:t>于预期</w:t>
      </w:r>
      <w:r w:rsidR="002C1B28">
        <w:rPr>
          <w:rFonts w:hint="eastAsia"/>
          <w:sz w:val="24"/>
        </w:rPr>
        <w:t>。</w:t>
      </w:r>
    </w:p>
    <w:p w:rsidR="002C1B28" w:rsidRPr="0012447B" w:rsidRDefault="002C1B28" w:rsidP="002C1B28">
      <w:pPr>
        <w:pStyle w:val="a3"/>
        <w:numPr>
          <w:ilvl w:val="2"/>
          <w:numId w:val="12"/>
        </w:numPr>
        <w:spacing w:line="360" w:lineRule="auto"/>
        <w:ind w:firstLineChars="0"/>
        <w:jc w:val="left"/>
        <w:rPr>
          <w:sz w:val="24"/>
        </w:rPr>
      </w:pPr>
      <w:r>
        <w:rPr>
          <w:rFonts w:hint="eastAsia"/>
          <w:sz w:val="24"/>
        </w:rPr>
        <w:t>统计分析</w:t>
      </w:r>
      <w:r w:rsidRPr="0012447B">
        <w:rPr>
          <w:rFonts w:hint="eastAsia"/>
          <w:sz w:val="24"/>
        </w:rPr>
        <w:t>汇率偏离汇率均值超过两倍标准方差的时点三天后、五天后、十天后继续向增大偏离的方向波动</w:t>
      </w:r>
      <w:r>
        <w:rPr>
          <w:rFonts w:hint="eastAsia"/>
          <w:sz w:val="24"/>
        </w:rPr>
        <w:t>的个数和偏离比率</w:t>
      </w:r>
      <w:r w:rsidRPr="0012447B">
        <w:rPr>
          <w:rFonts w:hint="eastAsia"/>
          <w:sz w:val="24"/>
        </w:rPr>
        <w:t>。</w:t>
      </w:r>
    </w:p>
    <w:p w:rsidR="002C1B28" w:rsidRDefault="002C1B28" w:rsidP="002C1B28">
      <w:pPr>
        <w:pStyle w:val="a3"/>
        <w:numPr>
          <w:ilvl w:val="2"/>
          <w:numId w:val="12"/>
        </w:numPr>
        <w:spacing w:line="360" w:lineRule="auto"/>
        <w:ind w:firstLineChars="0"/>
        <w:jc w:val="left"/>
        <w:rPr>
          <w:rFonts w:hint="eastAsia"/>
          <w:sz w:val="24"/>
        </w:rPr>
      </w:pPr>
      <w:r>
        <w:rPr>
          <w:rFonts w:hint="eastAsia"/>
          <w:sz w:val="24"/>
        </w:rPr>
        <w:t>统计</w:t>
      </w:r>
      <w:r w:rsidRPr="00EA0F52">
        <w:rPr>
          <w:rFonts w:hint="eastAsia"/>
          <w:sz w:val="24"/>
        </w:rPr>
        <w:t>分析当非农业就业数据出现支撑美元走高或走弱的</w:t>
      </w:r>
      <w:r>
        <w:rPr>
          <w:rFonts w:hint="eastAsia"/>
          <w:sz w:val="24"/>
        </w:rPr>
        <w:t>信号时，那些偏离均值超过两倍方差</w:t>
      </w:r>
      <w:proofErr w:type="gramStart"/>
      <w:r w:rsidRPr="00EA0F52">
        <w:rPr>
          <w:rFonts w:hint="eastAsia"/>
          <w:sz w:val="24"/>
        </w:rPr>
        <w:t>时点</w:t>
      </w:r>
      <w:r>
        <w:rPr>
          <w:rFonts w:hint="eastAsia"/>
          <w:sz w:val="24"/>
        </w:rPr>
        <w:t>十</w:t>
      </w:r>
      <w:proofErr w:type="gramEnd"/>
      <w:r w:rsidRPr="00EA0F52">
        <w:rPr>
          <w:rFonts w:hint="eastAsia"/>
          <w:sz w:val="24"/>
        </w:rPr>
        <w:t>天后</w:t>
      </w:r>
      <w:r>
        <w:rPr>
          <w:rFonts w:hint="eastAsia"/>
          <w:sz w:val="24"/>
        </w:rPr>
        <w:t>出现继续增大偏离的天数和偏离比率</w:t>
      </w:r>
      <w:r w:rsidRPr="00EA0F52">
        <w:rPr>
          <w:rFonts w:hint="eastAsia"/>
          <w:sz w:val="24"/>
        </w:rPr>
        <w:t>。</w:t>
      </w:r>
    </w:p>
    <w:p w:rsidR="0080725B" w:rsidRDefault="0080725B" w:rsidP="002C1B28">
      <w:pPr>
        <w:pStyle w:val="a3"/>
        <w:numPr>
          <w:ilvl w:val="2"/>
          <w:numId w:val="12"/>
        </w:numPr>
        <w:spacing w:line="360" w:lineRule="auto"/>
        <w:ind w:firstLineChars="0"/>
        <w:jc w:val="left"/>
        <w:rPr>
          <w:sz w:val="24"/>
        </w:rPr>
      </w:pPr>
      <w:r>
        <w:rPr>
          <w:rFonts w:hint="eastAsia"/>
          <w:sz w:val="24"/>
        </w:rPr>
        <w:t>添加交互功能——缩放</w:t>
      </w:r>
      <w:r w:rsidR="00C11F70">
        <w:rPr>
          <w:rFonts w:hint="eastAsia"/>
          <w:sz w:val="24"/>
        </w:rPr>
        <w:t>以及</w:t>
      </w:r>
      <w:r>
        <w:rPr>
          <w:rFonts w:hint="eastAsia"/>
          <w:sz w:val="24"/>
        </w:rPr>
        <w:t>显示当前鼠标指示位置的数据值。</w:t>
      </w:r>
    </w:p>
    <w:p w:rsidR="002C1B28" w:rsidRDefault="002C1B28" w:rsidP="002C1B28">
      <w:pPr>
        <w:pStyle w:val="a3"/>
        <w:numPr>
          <w:ilvl w:val="2"/>
          <w:numId w:val="12"/>
        </w:numPr>
        <w:spacing w:line="360" w:lineRule="auto"/>
        <w:ind w:firstLineChars="0"/>
        <w:jc w:val="left"/>
        <w:rPr>
          <w:sz w:val="24"/>
        </w:rPr>
      </w:pPr>
      <w:r>
        <w:rPr>
          <w:rFonts w:hint="eastAsia"/>
          <w:sz w:val="24"/>
        </w:rPr>
        <w:t>其他——添加图例、标题和坐标轴。</w:t>
      </w:r>
    </w:p>
    <w:p w:rsidR="002C1B28" w:rsidRDefault="002C1B28" w:rsidP="002C1B28">
      <w:pPr>
        <w:pStyle w:val="a3"/>
        <w:numPr>
          <w:ilvl w:val="0"/>
          <w:numId w:val="11"/>
        </w:numPr>
        <w:spacing w:line="360" w:lineRule="auto"/>
        <w:ind w:firstLineChars="0"/>
        <w:jc w:val="left"/>
        <w:rPr>
          <w:sz w:val="24"/>
        </w:rPr>
      </w:pPr>
      <w:r>
        <w:rPr>
          <w:rFonts w:hint="eastAsia"/>
          <w:sz w:val="24"/>
        </w:rPr>
        <w:t>源代码</w:t>
      </w:r>
    </w:p>
    <w:p w:rsidR="002C1B28" w:rsidRDefault="002C1B28" w:rsidP="002C1B28">
      <w:pPr>
        <w:pStyle w:val="a3"/>
        <w:spacing w:line="360" w:lineRule="auto"/>
        <w:ind w:left="1620" w:firstLineChars="0" w:firstLine="0"/>
        <w:jc w:val="left"/>
        <w:rPr>
          <w:sz w:val="24"/>
        </w:rPr>
      </w:pPr>
      <w:r>
        <w:rPr>
          <w:rFonts w:hint="eastAsia"/>
          <w:sz w:val="24"/>
        </w:rPr>
        <w:t>另附。</w:t>
      </w:r>
    </w:p>
    <w:p w:rsidR="00424C5B" w:rsidRPr="00424C5B" w:rsidRDefault="00424C5B" w:rsidP="00424C5B">
      <w:pPr>
        <w:pStyle w:val="a3"/>
        <w:numPr>
          <w:ilvl w:val="0"/>
          <w:numId w:val="1"/>
        </w:numPr>
        <w:ind w:firstLineChars="0"/>
        <w:jc w:val="left"/>
        <w:rPr>
          <w:b/>
          <w:sz w:val="32"/>
        </w:rPr>
      </w:pPr>
      <w:r w:rsidRPr="00424C5B">
        <w:rPr>
          <w:rFonts w:hint="eastAsia"/>
          <w:b/>
          <w:sz w:val="32"/>
        </w:rPr>
        <w:t>工程结论</w:t>
      </w:r>
      <w:r w:rsidR="002D07EB">
        <w:rPr>
          <w:rFonts w:hint="eastAsia"/>
          <w:b/>
          <w:sz w:val="32"/>
        </w:rPr>
        <w:t>和讨论</w:t>
      </w:r>
    </w:p>
    <w:p w:rsidR="00624586" w:rsidRPr="00424C5B" w:rsidRDefault="00424C5B" w:rsidP="00424C5B">
      <w:pPr>
        <w:pStyle w:val="a3"/>
        <w:numPr>
          <w:ilvl w:val="0"/>
          <w:numId w:val="13"/>
        </w:numPr>
        <w:spacing w:line="360" w:lineRule="auto"/>
        <w:ind w:firstLineChars="0"/>
        <w:jc w:val="left"/>
        <w:rPr>
          <w:sz w:val="24"/>
        </w:rPr>
      </w:pPr>
      <w:r w:rsidRPr="00424C5B">
        <w:rPr>
          <w:rFonts w:hint="eastAsia"/>
          <w:sz w:val="24"/>
        </w:rPr>
        <w:lastRenderedPageBreak/>
        <w:t>从</w:t>
      </w:r>
      <w:r w:rsidRPr="00424C5B">
        <w:rPr>
          <w:rFonts w:hint="eastAsia"/>
          <w:sz w:val="24"/>
        </w:rPr>
        <w:t>2009</w:t>
      </w:r>
      <w:r w:rsidRPr="00424C5B">
        <w:rPr>
          <w:rFonts w:hint="eastAsia"/>
          <w:sz w:val="24"/>
        </w:rPr>
        <w:t>年</w:t>
      </w:r>
      <w:r w:rsidRPr="00424C5B">
        <w:rPr>
          <w:rFonts w:hint="eastAsia"/>
          <w:sz w:val="24"/>
        </w:rPr>
        <w:t>-2016</w:t>
      </w:r>
      <w:r w:rsidRPr="00424C5B">
        <w:rPr>
          <w:rFonts w:hint="eastAsia"/>
          <w:sz w:val="24"/>
        </w:rPr>
        <w:t>年</w:t>
      </w:r>
      <w:r>
        <w:rPr>
          <w:rFonts w:hint="eastAsia"/>
          <w:sz w:val="24"/>
        </w:rPr>
        <w:t>，总</w:t>
      </w:r>
      <w:r w:rsidRPr="00424C5B">
        <w:rPr>
          <w:rFonts w:hint="eastAsia"/>
          <w:sz w:val="24"/>
        </w:rPr>
        <w:t>共收集了</w:t>
      </w:r>
      <w:r w:rsidRPr="00424C5B">
        <w:rPr>
          <w:rFonts w:hint="eastAsia"/>
          <w:sz w:val="24"/>
        </w:rPr>
        <w:t>3000</w:t>
      </w:r>
      <w:r w:rsidR="00D25DE0">
        <w:rPr>
          <w:rFonts w:hint="eastAsia"/>
          <w:sz w:val="24"/>
        </w:rPr>
        <w:t>天</w:t>
      </w:r>
      <w:r w:rsidRPr="00424C5B">
        <w:rPr>
          <w:rFonts w:hint="eastAsia"/>
          <w:sz w:val="24"/>
        </w:rPr>
        <w:t>的数据</w:t>
      </w:r>
      <w:r>
        <w:rPr>
          <w:rFonts w:hint="eastAsia"/>
          <w:sz w:val="24"/>
        </w:rPr>
        <w:t>，</w:t>
      </w:r>
      <w:r w:rsidRPr="00424C5B">
        <w:rPr>
          <w:sz w:val="24"/>
        </w:rPr>
        <w:t>偏离超过二倍</w:t>
      </w:r>
      <w:r w:rsidR="00D25DE0">
        <w:rPr>
          <w:rFonts w:hint="eastAsia"/>
          <w:sz w:val="24"/>
        </w:rPr>
        <w:t>标准</w:t>
      </w:r>
      <w:r w:rsidRPr="00424C5B">
        <w:rPr>
          <w:sz w:val="24"/>
        </w:rPr>
        <w:t>方差的天数</w:t>
      </w:r>
      <w:r>
        <w:rPr>
          <w:rFonts w:hint="eastAsia"/>
          <w:sz w:val="24"/>
        </w:rPr>
        <w:t>为</w:t>
      </w:r>
      <w:r>
        <w:rPr>
          <w:rFonts w:hint="eastAsia"/>
          <w:sz w:val="24"/>
        </w:rPr>
        <w:t>552</w:t>
      </w:r>
      <w:r>
        <w:rPr>
          <w:rFonts w:hint="eastAsia"/>
          <w:sz w:val="24"/>
        </w:rPr>
        <w:t>天，所占比例为</w:t>
      </w:r>
      <w:r w:rsidRPr="00424C5B">
        <w:rPr>
          <w:sz w:val="24"/>
        </w:rPr>
        <w:t>18.4%</w:t>
      </w:r>
      <w:r>
        <w:rPr>
          <w:rFonts w:hint="eastAsia"/>
          <w:sz w:val="24"/>
        </w:rPr>
        <w:t>。如此高的比例表明，股价不是随机波动的，其中应有系统性的决定因素。</w:t>
      </w:r>
    </w:p>
    <w:tbl>
      <w:tblPr>
        <w:tblStyle w:val="a6"/>
        <w:tblW w:w="5000" w:type="pct"/>
        <w:jc w:val="center"/>
        <w:tblLook w:val="0600" w:firstRow="0" w:lastRow="0" w:firstColumn="0" w:lastColumn="0" w:noHBand="1" w:noVBand="1"/>
      </w:tblPr>
      <w:tblGrid>
        <w:gridCol w:w="1520"/>
        <w:gridCol w:w="4200"/>
        <w:gridCol w:w="2802"/>
      </w:tblGrid>
      <w:tr w:rsidR="00424C5B" w:rsidRPr="00424C5B" w:rsidTr="00AC6372">
        <w:trPr>
          <w:trHeight w:val="557"/>
          <w:jc w:val="center"/>
        </w:trPr>
        <w:tc>
          <w:tcPr>
            <w:tcW w:w="892" w:type="pct"/>
            <w:vAlign w:val="center"/>
            <w:hideMark/>
          </w:tcPr>
          <w:p w:rsidR="00424C5B" w:rsidRPr="00424C5B" w:rsidRDefault="00424C5B" w:rsidP="00424C5B">
            <w:pPr>
              <w:widowControl/>
              <w:jc w:val="center"/>
              <w:textAlignment w:val="center"/>
              <w:rPr>
                <w:sz w:val="24"/>
              </w:rPr>
            </w:pPr>
            <w:r w:rsidRPr="00424C5B">
              <w:rPr>
                <w:sz w:val="24"/>
              </w:rPr>
              <w:t>总天数</w:t>
            </w:r>
          </w:p>
        </w:tc>
        <w:tc>
          <w:tcPr>
            <w:tcW w:w="2464" w:type="pct"/>
            <w:vAlign w:val="center"/>
            <w:hideMark/>
          </w:tcPr>
          <w:p w:rsidR="00424C5B" w:rsidRPr="00424C5B" w:rsidRDefault="00424C5B" w:rsidP="00424C5B">
            <w:pPr>
              <w:widowControl/>
              <w:jc w:val="center"/>
              <w:textAlignment w:val="center"/>
              <w:rPr>
                <w:sz w:val="24"/>
              </w:rPr>
            </w:pPr>
            <w:r w:rsidRPr="00424C5B">
              <w:rPr>
                <w:sz w:val="24"/>
              </w:rPr>
              <w:t>偏离超过二倍方差的天数</w:t>
            </w:r>
          </w:p>
        </w:tc>
        <w:tc>
          <w:tcPr>
            <w:tcW w:w="1644" w:type="pct"/>
            <w:vAlign w:val="center"/>
            <w:hideMark/>
          </w:tcPr>
          <w:p w:rsidR="00424C5B" w:rsidRPr="00424C5B" w:rsidRDefault="00424C5B" w:rsidP="00424C5B">
            <w:pPr>
              <w:widowControl/>
              <w:jc w:val="center"/>
              <w:textAlignment w:val="center"/>
              <w:rPr>
                <w:sz w:val="24"/>
              </w:rPr>
            </w:pPr>
            <w:r w:rsidRPr="00424C5B">
              <w:rPr>
                <w:sz w:val="24"/>
              </w:rPr>
              <w:t>所占比例</w:t>
            </w:r>
          </w:p>
        </w:tc>
      </w:tr>
      <w:tr w:rsidR="00424C5B" w:rsidRPr="00424C5B" w:rsidTr="00AC6372">
        <w:trPr>
          <w:trHeight w:val="552"/>
          <w:jc w:val="center"/>
        </w:trPr>
        <w:tc>
          <w:tcPr>
            <w:tcW w:w="892" w:type="pct"/>
            <w:vAlign w:val="center"/>
            <w:hideMark/>
          </w:tcPr>
          <w:p w:rsidR="00424C5B" w:rsidRPr="00424C5B" w:rsidRDefault="00424C5B" w:rsidP="00424C5B">
            <w:pPr>
              <w:widowControl/>
              <w:jc w:val="center"/>
              <w:textAlignment w:val="center"/>
              <w:rPr>
                <w:sz w:val="24"/>
              </w:rPr>
            </w:pPr>
            <w:r w:rsidRPr="00424C5B">
              <w:rPr>
                <w:sz w:val="24"/>
              </w:rPr>
              <w:t>3000</w:t>
            </w:r>
          </w:p>
        </w:tc>
        <w:tc>
          <w:tcPr>
            <w:tcW w:w="2464" w:type="pct"/>
            <w:vAlign w:val="center"/>
            <w:hideMark/>
          </w:tcPr>
          <w:p w:rsidR="00424C5B" w:rsidRPr="00424C5B" w:rsidRDefault="00424C5B" w:rsidP="00424C5B">
            <w:pPr>
              <w:widowControl/>
              <w:jc w:val="center"/>
              <w:textAlignment w:val="center"/>
              <w:rPr>
                <w:sz w:val="24"/>
              </w:rPr>
            </w:pPr>
            <w:r w:rsidRPr="00424C5B">
              <w:rPr>
                <w:sz w:val="24"/>
              </w:rPr>
              <w:t>552</w:t>
            </w:r>
          </w:p>
        </w:tc>
        <w:tc>
          <w:tcPr>
            <w:tcW w:w="1644" w:type="pct"/>
            <w:vAlign w:val="center"/>
            <w:hideMark/>
          </w:tcPr>
          <w:p w:rsidR="00424C5B" w:rsidRPr="00424C5B" w:rsidRDefault="00424C5B" w:rsidP="00424C5B">
            <w:pPr>
              <w:widowControl/>
              <w:jc w:val="center"/>
              <w:textAlignment w:val="center"/>
              <w:rPr>
                <w:sz w:val="24"/>
              </w:rPr>
            </w:pPr>
            <w:r w:rsidRPr="00424C5B">
              <w:rPr>
                <w:sz w:val="24"/>
              </w:rPr>
              <w:t>18.4%</w:t>
            </w:r>
          </w:p>
        </w:tc>
      </w:tr>
    </w:tbl>
    <w:p w:rsidR="00424C5B" w:rsidRDefault="00424C5B" w:rsidP="00424C5B">
      <w:pPr>
        <w:jc w:val="left"/>
      </w:pPr>
    </w:p>
    <w:p w:rsidR="0098615A" w:rsidRPr="00424C5B" w:rsidRDefault="002E7834" w:rsidP="00424C5B">
      <w:pPr>
        <w:pStyle w:val="a3"/>
        <w:numPr>
          <w:ilvl w:val="0"/>
          <w:numId w:val="13"/>
        </w:numPr>
        <w:spacing w:line="360" w:lineRule="auto"/>
        <w:ind w:firstLineChars="0"/>
        <w:jc w:val="left"/>
        <w:rPr>
          <w:sz w:val="24"/>
        </w:rPr>
      </w:pPr>
      <w:r w:rsidRPr="00424C5B">
        <w:rPr>
          <w:rFonts w:hint="eastAsia"/>
          <w:sz w:val="24"/>
        </w:rPr>
        <w:t>偏离</w:t>
      </w:r>
      <w:r w:rsidR="00AC6372">
        <w:rPr>
          <w:rFonts w:hint="eastAsia"/>
          <w:sz w:val="24"/>
        </w:rPr>
        <w:t>超过两倍标准方差</w:t>
      </w:r>
      <w:r w:rsidRPr="00424C5B">
        <w:rPr>
          <w:rFonts w:hint="eastAsia"/>
          <w:sz w:val="24"/>
        </w:rPr>
        <w:t>若干天</w:t>
      </w:r>
      <w:r w:rsidR="00AC6372">
        <w:rPr>
          <w:rFonts w:hint="eastAsia"/>
          <w:sz w:val="24"/>
        </w:rPr>
        <w:t>后</w:t>
      </w:r>
      <w:r w:rsidRPr="00424C5B">
        <w:rPr>
          <w:rFonts w:hint="eastAsia"/>
          <w:sz w:val="24"/>
        </w:rPr>
        <w:t>汇率变化统计</w:t>
      </w:r>
      <w:r w:rsidR="00C9479D">
        <w:rPr>
          <w:rFonts w:hint="eastAsia"/>
          <w:sz w:val="24"/>
        </w:rPr>
        <w:t>。以</w:t>
      </w:r>
      <w:r w:rsidR="00C9479D" w:rsidRPr="00424C5B">
        <w:rPr>
          <w:sz w:val="24"/>
        </w:rPr>
        <w:t>十日内继续增大偏离</w:t>
      </w:r>
      <w:r w:rsidR="00C9479D" w:rsidRPr="00AC6372">
        <w:rPr>
          <w:rFonts w:hint="eastAsia"/>
          <w:sz w:val="24"/>
        </w:rPr>
        <w:t>为例，在</w:t>
      </w:r>
      <w:r w:rsidR="00C9479D" w:rsidRPr="00AC6372">
        <w:rPr>
          <w:rFonts w:hint="eastAsia"/>
          <w:sz w:val="24"/>
        </w:rPr>
        <w:t>552</w:t>
      </w:r>
      <w:r w:rsidR="00AC6372">
        <w:rPr>
          <w:rFonts w:hint="eastAsia"/>
          <w:sz w:val="24"/>
        </w:rPr>
        <w:t>个</w:t>
      </w:r>
      <w:r w:rsidR="00C9479D" w:rsidRPr="00424C5B">
        <w:rPr>
          <w:sz w:val="24"/>
        </w:rPr>
        <w:t>偏离超过二倍方差的</w:t>
      </w:r>
      <w:r w:rsidR="00AC6372">
        <w:rPr>
          <w:rFonts w:hint="eastAsia"/>
          <w:sz w:val="24"/>
        </w:rPr>
        <w:t>日子</w:t>
      </w:r>
      <w:r w:rsidR="00C9479D">
        <w:rPr>
          <w:rFonts w:hint="eastAsia"/>
          <w:sz w:val="24"/>
        </w:rPr>
        <w:t>里，有</w:t>
      </w:r>
      <w:r w:rsidR="00C9479D">
        <w:rPr>
          <w:rFonts w:hint="eastAsia"/>
          <w:sz w:val="24"/>
        </w:rPr>
        <w:t>355</w:t>
      </w:r>
      <w:r w:rsidR="00C9479D">
        <w:rPr>
          <w:rFonts w:hint="eastAsia"/>
          <w:sz w:val="24"/>
        </w:rPr>
        <w:t>天在十</w:t>
      </w:r>
      <w:r w:rsidR="00AC6372">
        <w:rPr>
          <w:rFonts w:hint="eastAsia"/>
          <w:sz w:val="24"/>
        </w:rPr>
        <w:t>天后</w:t>
      </w:r>
      <w:r w:rsidR="00C9479D">
        <w:rPr>
          <w:rFonts w:hint="eastAsia"/>
          <w:sz w:val="24"/>
        </w:rPr>
        <w:t>增大了偏离，这</w:t>
      </w:r>
      <w:r w:rsidR="00C9479D">
        <w:rPr>
          <w:rFonts w:hint="eastAsia"/>
          <w:sz w:val="24"/>
        </w:rPr>
        <w:t>355</w:t>
      </w:r>
      <w:r w:rsidR="00C9479D">
        <w:rPr>
          <w:rFonts w:hint="eastAsia"/>
          <w:sz w:val="24"/>
        </w:rPr>
        <w:t>天增大偏离的平均比率是</w:t>
      </w:r>
      <w:r w:rsidR="00C9479D">
        <w:rPr>
          <w:rFonts w:hint="eastAsia"/>
          <w:sz w:val="24"/>
        </w:rPr>
        <w:t>0.33%</w:t>
      </w:r>
      <w:r w:rsidR="00C9479D">
        <w:rPr>
          <w:rFonts w:hint="eastAsia"/>
          <w:sz w:val="24"/>
        </w:rPr>
        <w:t>，</w:t>
      </w:r>
      <w:r w:rsidR="00C9479D">
        <w:rPr>
          <w:rFonts w:hint="eastAsia"/>
          <w:sz w:val="24"/>
        </w:rPr>
        <w:t>355</w:t>
      </w:r>
      <w:r w:rsidR="00C9479D">
        <w:rPr>
          <w:rFonts w:hint="eastAsia"/>
          <w:sz w:val="24"/>
        </w:rPr>
        <w:t>天占全部</w:t>
      </w:r>
      <w:r w:rsidR="00C9479D" w:rsidRPr="00424C5B">
        <w:rPr>
          <w:sz w:val="24"/>
        </w:rPr>
        <w:t>偏离超过二倍方差的天</w:t>
      </w:r>
      <w:r w:rsidR="00C9479D">
        <w:rPr>
          <w:rFonts w:hint="eastAsia"/>
          <w:sz w:val="24"/>
        </w:rPr>
        <w:t>数的</w:t>
      </w:r>
      <w:r w:rsidR="00C9479D">
        <w:rPr>
          <w:rFonts w:hint="eastAsia"/>
          <w:sz w:val="24"/>
        </w:rPr>
        <w:t>64.3%</w:t>
      </w:r>
      <w:r w:rsidR="00C9479D">
        <w:rPr>
          <w:rFonts w:hint="eastAsia"/>
          <w:sz w:val="24"/>
        </w:rPr>
        <w:t>。</w:t>
      </w:r>
    </w:p>
    <w:tbl>
      <w:tblPr>
        <w:tblStyle w:val="a6"/>
        <w:tblW w:w="5000" w:type="pct"/>
        <w:jc w:val="center"/>
        <w:tblLook w:val="0600" w:firstRow="0" w:lastRow="0" w:firstColumn="0" w:lastColumn="0" w:noHBand="1" w:noVBand="1"/>
      </w:tblPr>
      <w:tblGrid>
        <w:gridCol w:w="1792"/>
        <w:gridCol w:w="1675"/>
        <w:gridCol w:w="2134"/>
        <w:gridCol w:w="2921"/>
      </w:tblGrid>
      <w:tr w:rsidR="00C9479D" w:rsidRPr="00424C5B" w:rsidTr="00AC6372">
        <w:trPr>
          <w:trHeight w:val="1312"/>
          <w:jc w:val="center"/>
        </w:trPr>
        <w:tc>
          <w:tcPr>
            <w:tcW w:w="1051" w:type="pct"/>
            <w:vAlign w:val="center"/>
            <w:hideMark/>
          </w:tcPr>
          <w:p w:rsidR="00C9479D" w:rsidRPr="00424C5B" w:rsidRDefault="00C9479D" w:rsidP="00C9479D">
            <w:pPr>
              <w:widowControl/>
              <w:jc w:val="center"/>
              <w:rPr>
                <w:rFonts w:ascii="Arial" w:eastAsia="宋体" w:hAnsi="Arial" w:cs="Arial"/>
                <w:kern w:val="0"/>
                <w:sz w:val="24"/>
                <w:szCs w:val="36"/>
              </w:rPr>
            </w:pPr>
          </w:p>
        </w:tc>
        <w:tc>
          <w:tcPr>
            <w:tcW w:w="983" w:type="pct"/>
            <w:vAlign w:val="center"/>
            <w:hideMark/>
          </w:tcPr>
          <w:p w:rsidR="00424C5B" w:rsidRPr="00424C5B" w:rsidRDefault="00C9479D" w:rsidP="00C9479D">
            <w:pPr>
              <w:widowControl/>
              <w:jc w:val="center"/>
              <w:textAlignment w:val="center"/>
              <w:rPr>
                <w:rFonts w:ascii="Arial" w:eastAsia="宋体" w:hAnsi="Arial" w:cs="Arial"/>
                <w:kern w:val="0"/>
                <w:sz w:val="24"/>
                <w:szCs w:val="36"/>
              </w:rPr>
            </w:pPr>
            <w:r w:rsidRPr="00424C5B">
              <w:rPr>
                <w:rFonts w:ascii="Trebuchet MS" w:eastAsia="宋体" w:hAnsi="Arial" w:cs="Arial"/>
                <w:color w:val="000000" w:themeColor="dark1"/>
                <w:kern w:val="24"/>
                <w:sz w:val="24"/>
                <w:szCs w:val="28"/>
              </w:rPr>
              <w:t>天数</w:t>
            </w:r>
          </w:p>
        </w:tc>
        <w:tc>
          <w:tcPr>
            <w:tcW w:w="1252" w:type="pct"/>
            <w:vAlign w:val="center"/>
            <w:hideMark/>
          </w:tcPr>
          <w:p w:rsidR="00424C5B" w:rsidRPr="00424C5B" w:rsidRDefault="00C9479D" w:rsidP="00C9479D">
            <w:pPr>
              <w:widowControl/>
              <w:jc w:val="center"/>
              <w:textAlignment w:val="center"/>
              <w:rPr>
                <w:rFonts w:ascii="Arial" w:eastAsia="宋体" w:hAnsi="Arial" w:cs="Arial"/>
                <w:kern w:val="0"/>
                <w:sz w:val="24"/>
                <w:szCs w:val="36"/>
              </w:rPr>
            </w:pPr>
            <w:r w:rsidRPr="00424C5B">
              <w:rPr>
                <w:rFonts w:ascii="Trebuchet MS" w:eastAsia="宋体" w:hAnsi="Arial" w:cs="Arial"/>
                <w:color w:val="000000" w:themeColor="dark1"/>
                <w:kern w:val="24"/>
                <w:sz w:val="24"/>
                <w:szCs w:val="28"/>
              </w:rPr>
              <w:t>继续</w:t>
            </w:r>
            <w:r w:rsidRPr="002D07EB">
              <w:rPr>
                <w:rFonts w:ascii="Trebuchet MS" w:eastAsia="宋体" w:hAnsi="Arial" w:cs="Arial" w:hint="eastAsia"/>
                <w:color w:val="000000" w:themeColor="dark1"/>
                <w:kern w:val="24"/>
                <w:sz w:val="24"/>
                <w:szCs w:val="28"/>
              </w:rPr>
              <w:t>加大</w:t>
            </w:r>
            <w:r w:rsidRPr="00424C5B">
              <w:rPr>
                <w:rFonts w:ascii="Trebuchet MS" w:eastAsia="宋体" w:hAnsi="Arial" w:cs="Arial"/>
                <w:color w:val="000000" w:themeColor="dark1"/>
                <w:kern w:val="24"/>
                <w:sz w:val="24"/>
                <w:szCs w:val="28"/>
              </w:rPr>
              <w:t>偏离比率</w:t>
            </w:r>
            <w:r w:rsidRPr="002D07EB">
              <w:rPr>
                <w:rFonts w:ascii="Trebuchet MS" w:eastAsia="宋体" w:hAnsi="Arial" w:cs="Arial" w:hint="eastAsia"/>
                <w:color w:val="000000" w:themeColor="dark1"/>
                <w:kern w:val="24"/>
                <w:sz w:val="24"/>
                <w:szCs w:val="28"/>
              </w:rPr>
              <w:t>的平均值</w:t>
            </w:r>
          </w:p>
        </w:tc>
        <w:tc>
          <w:tcPr>
            <w:tcW w:w="1714" w:type="pct"/>
            <w:vAlign w:val="center"/>
            <w:hideMark/>
          </w:tcPr>
          <w:p w:rsidR="00424C5B" w:rsidRPr="00424C5B" w:rsidRDefault="00C9479D" w:rsidP="00C9479D">
            <w:pPr>
              <w:widowControl/>
              <w:jc w:val="center"/>
              <w:textAlignment w:val="center"/>
              <w:rPr>
                <w:rFonts w:ascii="Arial" w:eastAsia="宋体" w:hAnsi="Arial" w:cs="Arial"/>
                <w:kern w:val="0"/>
                <w:sz w:val="24"/>
                <w:szCs w:val="36"/>
              </w:rPr>
            </w:pPr>
            <w:r w:rsidRPr="00424C5B">
              <w:rPr>
                <w:rFonts w:ascii="Trebuchet MS" w:eastAsia="宋体" w:hAnsi="Arial" w:cs="Arial"/>
                <w:color w:val="000000" w:themeColor="dark1"/>
                <w:kern w:val="24"/>
                <w:sz w:val="24"/>
                <w:szCs w:val="28"/>
              </w:rPr>
              <w:t>天数占所有偏离超过两倍方差的比例</w:t>
            </w:r>
          </w:p>
        </w:tc>
      </w:tr>
      <w:tr w:rsidR="00C9479D" w:rsidRPr="00424C5B" w:rsidTr="00AC6372">
        <w:trPr>
          <w:trHeight w:val="869"/>
          <w:jc w:val="center"/>
        </w:trPr>
        <w:tc>
          <w:tcPr>
            <w:tcW w:w="1051" w:type="pct"/>
            <w:vAlign w:val="center"/>
            <w:hideMark/>
          </w:tcPr>
          <w:p w:rsidR="00424C5B" w:rsidRPr="00424C5B" w:rsidRDefault="00C9479D" w:rsidP="00424C5B">
            <w:pPr>
              <w:widowControl/>
              <w:jc w:val="center"/>
              <w:textAlignment w:val="center"/>
              <w:rPr>
                <w:rFonts w:ascii="Arial" w:eastAsia="宋体" w:hAnsi="Arial" w:cs="Arial"/>
                <w:kern w:val="0"/>
                <w:sz w:val="24"/>
                <w:szCs w:val="36"/>
              </w:rPr>
            </w:pPr>
            <w:r w:rsidRPr="00424C5B">
              <w:rPr>
                <w:rFonts w:ascii="Trebuchet MS" w:eastAsia="宋体" w:hAnsi="Arial" w:cs="Arial"/>
                <w:color w:val="000000" w:themeColor="dark1"/>
                <w:kern w:val="24"/>
                <w:sz w:val="24"/>
                <w:szCs w:val="28"/>
              </w:rPr>
              <w:t>三日内继续增大偏离</w:t>
            </w:r>
          </w:p>
        </w:tc>
        <w:tc>
          <w:tcPr>
            <w:tcW w:w="983" w:type="pct"/>
            <w:vAlign w:val="center"/>
            <w:hideMark/>
          </w:tcPr>
          <w:p w:rsidR="00424C5B" w:rsidRPr="00424C5B" w:rsidRDefault="00C9479D" w:rsidP="00424C5B">
            <w:pPr>
              <w:widowControl/>
              <w:jc w:val="center"/>
              <w:textAlignment w:val="center"/>
              <w:rPr>
                <w:rFonts w:ascii="Arial" w:eastAsia="宋体" w:hAnsi="Arial" w:cs="Arial"/>
                <w:kern w:val="0"/>
                <w:sz w:val="24"/>
                <w:szCs w:val="36"/>
              </w:rPr>
            </w:pPr>
            <w:r w:rsidRPr="00424C5B">
              <w:rPr>
                <w:rFonts w:ascii="Trebuchet MS" w:eastAsia="宋体" w:hAnsi="Trebuchet MS" w:cs="Arial"/>
                <w:color w:val="000000" w:themeColor="dark1"/>
                <w:kern w:val="24"/>
                <w:sz w:val="24"/>
                <w:szCs w:val="28"/>
              </w:rPr>
              <w:t>292</w:t>
            </w:r>
          </w:p>
        </w:tc>
        <w:tc>
          <w:tcPr>
            <w:tcW w:w="1252" w:type="pct"/>
            <w:vAlign w:val="center"/>
            <w:hideMark/>
          </w:tcPr>
          <w:p w:rsidR="00424C5B" w:rsidRPr="00424C5B" w:rsidRDefault="00C9479D" w:rsidP="00424C5B">
            <w:pPr>
              <w:widowControl/>
              <w:jc w:val="center"/>
              <w:textAlignment w:val="center"/>
              <w:rPr>
                <w:rFonts w:ascii="Arial" w:eastAsia="宋体" w:hAnsi="Arial" w:cs="Arial"/>
                <w:kern w:val="0"/>
                <w:sz w:val="24"/>
                <w:szCs w:val="36"/>
              </w:rPr>
            </w:pPr>
            <w:r w:rsidRPr="00424C5B">
              <w:rPr>
                <w:rFonts w:ascii="Trebuchet MS" w:eastAsia="宋体" w:hAnsi="Trebuchet MS" w:cs="Arial"/>
                <w:color w:val="000000" w:themeColor="dark1"/>
                <w:kern w:val="24"/>
                <w:sz w:val="24"/>
                <w:szCs w:val="28"/>
              </w:rPr>
              <w:t>0.18%</w:t>
            </w:r>
          </w:p>
        </w:tc>
        <w:tc>
          <w:tcPr>
            <w:tcW w:w="1714" w:type="pct"/>
            <w:vAlign w:val="center"/>
            <w:hideMark/>
          </w:tcPr>
          <w:p w:rsidR="00424C5B" w:rsidRPr="00424C5B" w:rsidRDefault="00C9479D" w:rsidP="00424C5B">
            <w:pPr>
              <w:widowControl/>
              <w:jc w:val="center"/>
              <w:textAlignment w:val="center"/>
              <w:rPr>
                <w:rFonts w:ascii="Arial" w:eastAsia="宋体" w:hAnsi="Arial" w:cs="Arial"/>
                <w:kern w:val="0"/>
                <w:sz w:val="24"/>
                <w:szCs w:val="36"/>
              </w:rPr>
            </w:pPr>
            <w:r w:rsidRPr="00424C5B">
              <w:rPr>
                <w:rFonts w:ascii="Trebuchet MS" w:eastAsia="宋体" w:hAnsi="Trebuchet MS" w:cs="Arial"/>
                <w:color w:val="000000" w:themeColor="dark1"/>
                <w:kern w:val="24"/>
                <w:sz w:val="24"/>
                <w:szCs w:val="28"/>
              </w:rPr>
              <w:t>52.9%</w:t>
            </w:r>
          </w:p>
        </w:tc>
      </w:tr>
      <w:tr w:rsidR="00C9479D" w:rsidRPr="00424C5B" w:rsidTr="00AC6372">
        <w:trPr>
          <w:trHeight w:val="709"/>
          <w:jc w:val="center"/>
        </w:trPr>
        <w:tc>
          <w:tcPr>
            <w:tcW w:w="1051" w:type="pct"/>
            <w:vAlign w:val="center"/>
            <w:hideMark/>
          </w:tcPr>
          <w:p w:rsidR="00424C5B" w:rsidRPr="00424C5B" w:rsidRDefault="00C9479D" w:rsidP="00424C5B">
            <w:pPr>
              <w:widowControl/>
              <w:jc w:val="center"/>
              <w:textAlignment w:val="center"/>
              <w:rPr>
                <w:rFonts w:ascii="Arial" w:eastAsia="宋体" w:hAnsi="Arial" w:cs="Arial"/>
                <w:kern w:val="0"/>
                <w:sz w:val="24"/>
                <w:szCs w:val="36"/>
              </w:rPr>
            </w:pPr>
            <w:r w:rsidRPr="00424C5B">
              <w:rPr>
                <w:rFonts w:ascii="Trebuchet MS" w:eastAsia="宋体" w:hAnsi="Arial" w:cs="Arial"/>
                <w:color w:val="000000" w:themeColor="dark1"/>
                <w:kern w:val="24"/>
                <w:sz w:val="24"/>
                <w:szCs w:val="28"/>
              </w:rPr>
              <w:t>五日内继续增大偏离</w:t>
            </w:r>
          </w:p>
        </w:tc>
        <w:tc>
          <w:tcPr>
            <w:tcW w:w="983" w:type="pct"/>
            <w:vAlign w:val="center"/>
            <w:hideMark/>
          </w:tcPr>
          <w:p w:rsidR="00424C5B" w:rsidRPr="00424C5B" w:rsidRDefault="00C9479D" w:rsidP="00424C5B">
            <w:pPr>
              <w:widowControl/>
              <w:jc w:val="center"/>
              <w:textAlignment w:val="center"/>
              <w:rPr>
                <w:rFonts w:ascii="Arial" w:eastAsia="宋体" w:hAnsi="Arial" w:cs="Arial"/>
                <w:kern w:val="0"/>
                <w:sz w:val="24"/>
                <w:szCs w:val="36"/>
              </w:rPr>
            </w:pPr>
            <w:r w:rsidRPr="00424C5B">
              <w:rPr>
                <w:rFonts w:ascii="Trebuchet MS" w:eastAsia="宋体" w:hAnsi="Trebuchet MS" w:cs="Arial"/>
                <w:color w:val="000000" w:themeColor="dark1"/>
                <w:kern w:val="24"/>
                <w:sz w:val="24"/>
                <w:szCs w:val="28"/>
              </w:rPr>
              <w:t>306</w:t>
            </w:r>
          </w:p>
        </w:tc>
        <w:tc>
          <w:tcPr>
            <w:tcW w:w="1252" w:type="pct"/>
            <w:vAlign w:val="center"/>
            <w:hideMark/>
          </w:tcPr>
          <w:p w:rsidR="00424C5B" w:rsidRPr="00424C5B" w:rsidRDefault="00C9479D" w:rsidP="00424C5B">
            <w:pPr>
              <w:widowControl/>
              <w:jc w:val="center"/>
              <w:textAlignment w:val="center"/>
              <w:rPr>
                <w:rFonts w:ascii="Arial" w:eastAsia="宋体" w:hAnsi="Arial" w:cs="Arial"/>
                <w:kern w:val="0"/>
                <w:sz w:val="24"/>
                <w:szCs w:val="36"/>
              </w:rPr>
            </w:pPr>
            <w:r w:rsidRPr="00424C5B">
              <w:rPr>
                <w:rFonts w:ascii="Trebuchet MS" w:eastAsia="宋体" w:hAnsi="Trebuchet MS" w:cs="Arial"/>
                <w:color w:val="000000" w:themeColor="dark1"/>
                <w:kern w:val="24"/>
                <w:sz w:val="24"/>
                <w:szCs w:val="28"/>
              </w:rPr>
              <w:t>0.26%</w:t>
            </w:r>
          </w:p>
        </w:tc>
        <w:tc>
          <w:tcPr>
            <w:tcW w:w="1714" w:type="pct"/>
            <w:vAlign w:val="center"/>
            <w:hideMark/>
          </w:tcPr>
          <w:p w:rsidR="00424C5B" w:rsidRPr="00424C5B" w:rsidRDefault="00C9479D" w:rsidP="00424C5B">
            <w:pPr>
              <w:widowControl/>
              <w:jc w:val="center"/>
              <w:textAlignment w:val="center"/>
              <w:rPr>
                <w:rFonts w:ascii="Arial" w:eastAsia="宋体" w:hAnsi="Arial" w:cs="Arial"/>
                <w:kern w:val="0"/>
                <w:sz w:val="24"/>
                <w:szCs w:val="36"/>
              </w:rPr>
            </w:pPr>
            <w:r w:rsidRPr="00424C5B">
              <w:rPr>
                <w:rFonts w:ascii="Trebuchet MS" w:eastAsia="宋体" w:hAnsi="Trebuchet MS" w:cs="Arial"/>
                <w:color w:val="000000" w:themeColor="dark1"/>
                <w:kern w:val="24"/>
                <w:sz w:val="24"/>
                <w:szCs w:val="28"/>
              </w:rPr>
              <w:t>55.4%</w:t>
            </w:r>
          </w:p>
        </w:tc>
      </w:tr>
      <w:tr w:rsidR="00C9479D" w:rsidRPr="00424C5B" w:rsidTr="00AC6372">
        <w:trPr>
          <w:trHeight w:val="851"/>
          <w:jc w:val="center"/>
        </w:trPr>
        <w:tc>
          <w:tcPr>
            <w:tcW w:w="1051" w:type="pct"/>
            <w:vAlign w:val="center"/>
            <w:hideMark/>
          </w:tcPr>
          <w:p w:rsidR="00424C5B" w:rsidRPr="00424C5B" w:rsidRDefault="00C9479D" w:rsidP="00424C5B">
            <w:pPr>
              <w:widowControl/>
              <w:jc w:val="center"/>
              <w:textAlignment w:val="center"/>
              <w:rPr>
                <w:rFonts w:ascii="Arial" w:eastAsia="宋体" w:hAnsi="Arial" w:cs="Arial"/>
                <w:kern w:val="0"/>
                <w:sz w:val="24"/>
                <w:szCs w:val="36"/>
              </w:rPr>
            </w:pPr>
            <w:r w:rsidRPr="00424C5B">
              <w:rPr>
                <w:rFonts w:ascii="Trebuchet MS" w:eastAsia="宋体" w:hAnsi="Arial" w:cs="Arial"/>
                <w:color w:val="000000" w:themeColor="dark1"/>
                <w:kern w:val="24"/>
                <w:sz w:val="24"/>
                <w:szCs w:val="28"/>
              </w:rPr>
              <w:t>十日内继续增大偏离</w:t>
            </w:r>
          </w:p>
        </w:tc>
        <w:tc>
          <w:tcPr>
            <w:tcW w:w="983" w:type="pct"/>
            <w:vAlign w:val="center"/>
            <w:hideMark/>
          </w:tcPr>
          <w:p w:rsidR="00424C5B" w:rsidRPr="00424C5B" w:rsidRDefault="00C9479D" w:rsidP="00424C5B">
            <w:pPr>
              <w:widowControl/>
              <w:jc w:val="center"/>
              <w:textAlignment w:val="center"/>
              <w:rPr>
                <w:rFonts w:ascii="Arial" w:eastAsia="宋体" w:hAnsi="Arial" w:cs="Arial"/>
                <w:kern w:val="0"/>
                <w:sz w:val="24"/>
                <w:szCs w:val="36"/>
              </w:rPr>
            </w:pPr>
            <w:r w:rsidRPr="00424C5B">
              <w:rPr>
                <w:rFonts w:ascii="Trebuchet MS" w:eastAsia="宋体" w:hAnsi="Trebuchet MS" w:cs="Arial"/>
                <w:color w:val="000000" w:themeColor="dark1"/>
                <w:kern w:val="24"/>
                <w:sz w:val="24"/>
                <w:szCs w:val="28"/>
              </w:rPr>
              <w:t>355</w:t>
            </w:r>
          </w:p>
        </w:tc>
        <w:tc>
          <w:tcPr>
            <w:tcW w:w="1252" w:type="pct"/>
            <w:vAlign w:val="center"/>
            <w:hideMark/>
          </w:tcPr>
          <w:p w:rsidR="00424C5B" w:rsidRPr="00424C5B" w:rsidRDefault="00C9479D" w:rsidP="00424C5B">
            <w:pPr>
              <w:widowControl/>
              <w:jc w:val="center"/>
              <w:textAlignment w:val="center"/>
              <w:rPr>
                <w:rFonts w:ascii="Arial" w:eastAsia="宋体" w:hAnsi="Arial" w:cs="Arial"/>
                <w:kern w:val="0"/>
                <w:sz w:val="24"/>
                <w:szCs w:val="36"/>
              </w:rPr>
            </w:pPr>
            <w:r w:rsidRPr="00424C5B">
              <w:rPr>
                <w:rFonts w:ascii="Trebuchet MS" w:eastAsia="宋体" w:hAnsi="Trebuchet MS" w:cs="Arial"/>
                <w:color w:val="000000" w:themeColor="dark1"/>
                <w:kern w:val="24"/>
                <w:sz w:val="24"/>
                <w:szCs w:val="28"/>
              </w:rPr>
              <w:t>0.33%</w:t>
            </w:r>
          </w:p>
        </w:tc>
        <w:tc>
          <w:tcPr>
            <w:tcW w:w="1714" w:type="pct"/>
            <w:vAlign w:val="center"/>
            <w:hideMark/>
          </w:tcPr>
          <w:p w:rsidR="00424C5B" w:rsidRPr="00424C5B" w:rsidRDefault="00C9479D" w:rsidP="00424C5B">
            <w:pPr>
              <w:widowControl/>
              <w:jc w:val="center"/>
              <w:textAlignment w:val="center"/>
              <w:rPr>
                <w:rFonts w:ascii="Arial" w:eastAsia="宋体" w:hAnsi="Arial" w:cs="Arial"/>
                <w:kern w:val="0"/>
                <w:sz w:val="24"/>
                <w:szCs w:val="36"/>
              </w:rPr>
            </w:pPr>
            <w:r w:rsidRPr="00424C5B">
              <w:rPr>
                <w:rFonts w:ascii="Trebuchet MS" w:eastAsia="宋体" w:hAnsi="Trebuchet MS" w:cs="Arial"/>
                <w:color w:val="000000" w:themeColor="dark1"/>
                <w:kern w:val="24"/>
                <w:sz w:val="24"/>
                <w:szCs w:val="28"/>
              </w:rPr>
              <w:t>64.3%</w:t>
            </w:r>
          </w:p>
        </w:tc>
      </w:tr>
    </w:tbl>
    <w:p w:rsidR="00424C5B" w:rsidRDefault="00424C5B" w:rsidP="00424C5B">
      <w:pPr>
        <w:pStyle w:val="a3"/>
        <w:ind w:left="1620" w:firstLineChars="0" w:firstLine="0"/>
        <w:jc w:val="left"/>
      </w:pPr>
    </w:p>
    <w:p w:rsidR="00F55F89" w:rsidRDefault="002E7834" w:rsidP="00AC6372">
      <w:pPr>
        <w:pStyle w:val="a3"/>
        <w:numPr>
          <w:ilvl w:val="0"/>
          <w:numId w:val="13"/>
        </w:numPr>
        <w:spacing w:line="360" w:lineRule="auto"/>
        <w:ind w:firstLineChars="0"/>
        <w:jc w:val="left"/>
        <w:rPr>
          <w:sz w:val="24"/>
        </w:rPr>
      </w:pPr>
      <w:r w:rsidRPr="00AC6372">
        <w:rPr>
          <w:rFonts w:hint="eastAsia"/>
          <w:sz w:val="24"/>
        </w:rPr>
        <w:t>偏离均值超过两倍</w:t>
      </w:r>
      <w:r w:rsidR="00AC6372" w:rsidRPr="00AC6372">
        <w:rPr>
          <w:rFonts w:hint="eastAsia"/>
          <w:sz w:val="24"/>
        </w:rPr>
        <w:t>标准</w:t>
      </w:r>
      <w:r w:rsidRPr="00AC6372">
        <w:rPr>
          <w:rFonts w:hint="eastAsia"/>
          <w:sz w:val="24"/>
        </w:rPr>
        <w:t>方差时点若干天后的波动比率期望</w:t>
      </w:r>
      <w:r w:rsidR="00AC6372" w:rsidRPr="00AC6372">
        <w:rPr>
          <w:rFonts w:hint="eastAsia"/>
          <w:sz w:val="24"/>
        </w:rPr>
        <w:t>。以</w:t>
      </w:r>
      <w:r w:rsidR="00AC6372" w:rsidRPr="00AC6372">
        <w:rPr>
          <w:sz w:val="24"/>
        </w:rPr>
        <w:t>十日后波动比率</w:t>
      </w:r>
      <w:r w:rsidR="00AC6372" w:rsidRPr="00AC6372">
        <w:rPr>
          <w:rFonts w:hint="eastAsia"/>
          <w:sz w:val="24"/>
        </w:rPr>
        <w:t>为例，即在</w:t>
      </w:r>
      <w:r w:rsidR="00AC6372" w:rsidRPr="00AC6372">
        <w:rPr>
          <w:rFonts w:hint="eastAsia"/>
          <w:sz w:val="24"/>
        </w:rPr>
        <w:t>552</w:t>
      </w:r>
      <w:r w:rsidR="00AC6372">
        <w:rPr>
          <w:rFonts w:hint="eastAsia"/>
          <w:sz w:val="24"/>
        </w:rPr>
        <w:t>个</w:t>
      </w:r>
      <w:r w:rsidR="00AC6372" w:rsidRPr="00424C5B">
        <w:rPr>
          <w:sz w:val="24"/>
        </w:rPr>
        <w:t>偏离超过二倍方差的</w:t>
      </w:r>
      <w:r w:rsidR="00AC6372">
        <w:rPr>
          <w:rFonts w:hint="eastAsia"/>
          <w:sz w:val="24"/>
        </w:rPr>
        <w:t>日子里，所有这些日子与十天后的汇率相比的平均波动比率。正数为增大偏离，负数为减小偏离。</w:t>
      </w:r>
    </w:p>
    <w:tbl>
      <w:tblPr>
        <w:tblStyle w:val="a6"/>
        <w:tblW w:w="4149" w:type="pct"/>
        <w:jc w:val="center"/>
        <w:tblInd w:w="817" w:type="dxa"/>
        <w:tblLook w:val="0600" w:firstRow="0" w:lastRow="0" w:firstColumn="0" w:lastColumn="0" w:noHBand="1" w:noVBand="1"/>
      </w:tblPr>
      <w:tblGrid>
        <w:gridCol w:w="3358"/>
        <w:gridCol w:w="3714"/>
      </w:tblGrid>
      <w:tr w:rsidR="00F55F89" w:rsidRPr="00AC6372" w:rsidTr="00F55F89">
        <w:trPr>
          <w:trHeight w:val="765"/>
          <w:jc w:val="center"/>
        </w:trPr>
        <w:tc>
          <w:tcPr>
            <w:tcW w:w="2374" w:type="pct"/>
            <w:vAlign w:val="center"/>
            <w:hideMark/>
          </w:tcPr>
          <w:p w:rsidR="00AC6372" w:rsidRPr="00AC6372" w:rsidRDefault="00F55F89" w:rsidP="00F55F89">
            <w:pPr>
              <w:widowControl/>
              <w:jc w:val="center"/>
              <w:textAlignment w:val="center"/>
              <w:rPr>
                <w:rFonts w:ascii="Arial" w:eastAsia="宋体" w:hAnsi="Arial" w:cs="Arial"/>
                <w:kern w:val="0"/>
                <w:sz w:val="24"/>
                <w:szCs w:val="36"/>
              </w:rPr>
            </w:pPr>
            <w:r w:rsidRPr="00AC6372">
              <w:rPr>
                <w:rFonts w:ascii="Trebuchet MS" w:eastAsia="宋体" w:hAnsi="Arial" w:cs="Arial"/>
                <w:color w:val="000000" w:themeColor="dark1"/>
                <w:kern w:val="24"/>
                <w:sz w:val="24"/>
                <w:szCs w:val="28"/>
              </w:rPr>
              <w:t>三日后波动比率</w:t>
            </w:r>
          </w:p>
        </w:tc>
        <w:tc>
          <w:tcPr>
            <w:tcW w:w="2626" w:type="pct"/>
            <w:vAlign w:val="center"/>
            <w:hideMark/>
          </w:tcPr>
          <w:p w:rsidR="00AC6372" w:rsidRPr="00AC6372" w:rsidRDefault="00F55F89" w:rsidP="00F55F89">
            <w:pPr>
              <w:widowControl/>
              <w:jc w:val="center"/>
              <w:textAlignment w:val="center"/>
              <w:rPr>
                <w:rFonts w:ascii="Arial" w:eastAsia="宋体" w:hAnsi="Arial" w:cs="Arial"/>
                <w:kern w:val="0"/>
                <w:sz w:val="24"/>
                <w:szCs w:val="36"/>
              </w:rPr>
            </w:pPr>
            <w:r w:rsidRPr="00AC6372">
              <w:rPr>
                <w:rFonts w:ascii="Trebuchet MS" w:eastAsia="宋体" w:hAnsi="Trebuchet MS" w:cs="Arial"/>
                <w:color w:val="000000" w:themeColor="dark1"/>
                <w:kern w:val="24"/>
                <w:sz w:val="24"/>
                <w:szCs w:val="28"/>
              </w:rPr>
              <w:t>0.035%</w:t>
            </w:r>
          </w:p>
        </w:tc>
      </w:tr>
      <w:tr w:rsidR="00F55F89" w:rsidRPr="00AC6372" w:rsidTr="00F55F89">
        <w:trPr>
          <w:trHeight w:val="765"/>
          <w:jc w:val="center"/>
        </w:trPr>
        <w:tc>
          <w:tcPr>
            <w:tcW w:w="2374" w:type="pct"/>
            <w:vAlign w:val="center"/>
            <w:hideMark/>
          </w:tcPr>
          <w:p w:rsidR="00AC6372" w:rsidRPr="00AC6372" w:rsidRDefault="00F55F89" w:rsidP="00F55F89">
            <w:pPr>
              <w:widowControl/>
              <w:jc w:val="center"/>
              <w:textAlignment w:val="center"/>
              <w:rPr>
                <w:rFonts w:ascii="Arial" w:eastAsia="宋体" w:hAnsi="Arial" w:cs="Arial"/>
                <w:kern w:val="0"/>
                <w:sz w:val="24"/>
                <w:szCs w:val="36"/>
              </w:rPr>
            </w:pPr>
            <w:r w:rsidRPr="00AC6372">
              <w:rPr>
                <w:rFonts w:ascii="Trebuchet MS" w:eastAsia="宋体" w:hAnsi="Arial" w:cs="Arial"/>
                <w:color w:val="000000" w:themeColor="dark1"/>
                <w:kern w:val="24"/>
                <w:sz w:val="24"/>
                <w:szCs w:val="28"/>
              </w:rPr>
              <w:t>五日后波动比率</w:t>
            </w:r>
          </w:p>
        </w:tc>
        <w:tc>
          <w:tcPr>
            <w:tcW w:w="2626" w:type="pct"/>
            <w:vAlign w:val="center"/>
            <w:hideMark/>
          </w:tcPr>
          <w:p w:rsidR="00AC6372" w:rsidRPr="00AC6372" w:rsidRDefault="00F55F89" w:rsidP="00F55F89">
            <w:pPr>
              <w:widowControl/>
              <w:jc w:val="center"/>
              <w:textAlignment w:val="center"/>
              <w:rPr>
                <w:rFonts w:ascii="Arial" w:eastAsia="宋体" w:hAnsi="Arial" w:cs="Arial"/>
                <w:kern w:val="0"/>
                <w:sz w:val="24"/>
                <w:szCs w:val="36"/>
              </w:rPr>
            </w:pPr>
            <w:r w:rsidRPr="00AC6372">
              <w:rPr>
                <w:rFonts w:ascii="Trebuchet MS" w:eastAsia="宋体" w:hAnsi="Trebuchet MS" w:cs="Arial"/>
                <w:color w:val="000000" w:themeColor="dark1"/>
                <w:kern w:val="24"/>
                <w:sz w:val="24"/>
                <w:szCs w:val="28"/>
              </w:rPr>
              <w:t>0.062%</w:t>
            </w:r>
          </w:p>
        </w:tc>
      </w:tr>
      <w:tr w:rsidR="00F55F89" w:rsidRPr="00AC6372" w:rsidTr="00F55F89">
        <w:trPr>
          <w:trHeight w:val="765"/>
          <w:jc w:val="center"/>
        </w:trPr>
        <w:tc>
          <w:tcPr>
            <w:tcW w:w="2374" w:type="pct"/>
            <w:vAlign w:val="center"/>
            <w:hideMark/>
          </w:tcPr>
          <w:p w:rsidR="00AC6372" w:rsidRPr="00AC6372" w:rsidRDefault="00F55F89" w:rsidP="00F55F89">
            <w:pPr>
              <w:widowControl/>
              <w:jc w:val="center"/>
              <w:textAlignment w:val="center"/>
              <w:rPr>
                <w:rFonts w:ascii="Arial" w:eastAsia="宋体" w:hAnsi="Arial" w:cs="Arial"/>
                <w:kern w:val="0"/>
                <w:sz w:val="24"/>
                <w:szCs w:val="36"/>
              </w:rPr>
            </w:pPr>
            <w:r w:rsidRPr="00AC6372">
              <w:rPr>
                <w:rFonts w:ascii="Trebuchet MS" w:eastAsia="宋体" w:hAnsi="Arial" w:cs="Arial"/>
                <w:color w:val="000000" w:themeColor="dark1"/>
                <w:kern w:val="24"/>
                <w:sz w:val="24"/>
                <w:szCs w:val="28"/>
              </w:rPr>
              <w:t>十日后波动比率</w:t>
            </w:r>
          </w:p>
        </w:tc>
        <w:tc>
          <w:tcPr>
            <w:tcW w:w="2626" w:type="pct"/>
            <w:vAlign w:val="center"/>
            <w:hideMark/>
          </w:tcPr>
          <w:p w:rsidR="00AC6372" w:rsidRPr="00AC6372" w:rsidRDefault="00F55F89" w:rsidP="00F55F89">
            <w:pPr>
              <w:widowControl/>
              <w:jc w:val="center"/>
              <w:textAlignment w:val="center"/>
              <w:rPr>
                <w:rFonts w:ascii="Arial" w:eastAsia="宋体" w:hAnsi="Arial" w:cs="Arial"/>
                <w:kern w:val="0"/>
                <w:sz w:val="24"/>
                <w:szCs w:val="36"/>
              </w:rPr>
            </w:pPr>
            <w:r w:rsidRPr="00AC6372">
              <w:rPr>
                <w:rFonts w:ascii="Trebuchet MS" w:eastAsia="宋体" w:hAnsi="Trebuchet MS" w:cs="Arial"/>
                <w:color w:val="000000" w:themeColor="dark1"/>
                <w:kern w:val="24"/>
                <w:sz w:val="24"/>
                <w:szCs w:val="28"/>
              </w:rPr>
              <w:t>0.126%</w:t>
            </w:r>
          </w:p>
        </w:tc>
      </w:tr>
    </w:tbl>
    <w:p w:rsidR="00F55F89" w:rsidRDefault="00F55F89" w:rsidP="00F55F89">
      <w:pPr>
        <w:pStyle w:val="a3"/>
        <w:spacing w:line="360" w:lineRule="auto"/>
        <w:ind w:left="1620" w:firstLineChars="0" w:firstLine="0"/>
        <w:jc w:val="left"/>
        <w:rPr>
          <w:sz w:val="24"/>
        </w:rPr>
      </w:pPr>
    </w:p>
    <w:p w:rsidR="0098615A" w:rsidRPr="00AC6372" w:rsidRDefault="00AC6372" w:rsidP="00AC6372">
      <w:pPr>
        <w:pStyle w:val="a3"/>
        <w:numPr>
          <w:ilvl w:val="0"/>
          <w:numId w:val="13"/>
        </w:numPr>
        <w:spacing w:line="360" w:lineRule="auto"/>
        <w:ind w:firstLineChars="0"/>
        <w:jc w:val="left"/>
        <w:rPr>
          <w:sz w:val="24"/>
        </w:rPr>
      </w:pPr>
      <w:r>
        <w:rPr>
          <w:rFonts w:hint="eastAsia"/>
          <w:sz w:val="24"/>
        </w:rPr>
        <w:t>从结论</w:t>
      </w:r>
      <w:r>
        <w:rPr>
          <w:rFonts w:hint="eastAsia"/>
          <w:sz w:val="24"/>
        </w:rPr>
        <w:t>2</w:t>
      </w:r>
      <w:r>
        <w:rPr>
          <w:rFonts w:hint="eastAsia"/>
          <w:sz w:val="24"/>
        </w:rPr>
        <w:t>和</w:t>
      </w:r>
      <w:r>
        <w:rPr>
          <w:rFonts w:hint="eastAsia"/>
          <w:sz w:val="24"/>
        </w:rPr>
        <w:t>3</w:t>
      </w:r>
      <w:r>
        <w:rPr>
          <w:rFonts w:hint="eastAsia"/>
          <w:sz w:val="24"/>
        </w:rPr>
        <w:t>可以得出，当汇率越过</w:t>
      </w:r>
      <w:r w:rsidRPr="00AC6372">
        <w:rPr>
          <w:rFonts w:hint="eastAsia"/>
          <w:sz w:val="24"/>
        </w:rPr>
        <w:t>两倍标准方差时</w:t>
      </w:r>
      <w:r w:rsidR="00D25DE0">
        <w:rPr>
          <w:rFonts w:hint="eastAsia"/>
          <w:sz w:val="24"/>
        </w:rPr>
        <w:t>，</w:t>
      </w:r>
      <w:r>
        <w:rPr>
          <w:rFonts w:hint="eastAsia"/>
          <w:sz w:val="24"/>
        </w:rPr>
        <w:t>其大概率</w:t>
      </w:r>
      <w:r>
        <w:rPr>
          <w:rFonts w:hint="eastAsia"/>
          <w:sz w:val="24"/>
        </w:rPr>
        <w:lastRenderedPageBreak/>
        <w:t>事件是继续增大偏离，而不是减小</w:t>
      </w:r>
      <w:r w:rsidR="00D25DE0">
        <w:rPr>
          <w:rFonts w:hint="eastAsia"/>
          <w:sz w:val="24"/>
        </w:rPr>
        <w:t>，并随着考察之后天数的增加，比例逐渐变大</w:t>
      </w:r>
      <w:r w:rsidR="002D07EB">
        <w:rPr>
          <w:rFonts w:hint="eastAsia"/>
          <w:sz w:val="24"/>
        </w:rPr>
        <w:t>。其原因可能是</w:t>
      </w:r>
      <w:r w:rsidR="00E97F4E">
        <w:rPr>
          <w:rFonts w:hint="eastAsia"/>
          <w:sz w:val="24"/>
        </w:rPr>
        <w:t>汇率价格此时已经超过了某个重要的心理关口</w:t>
      </w:r>
      <w:r w:rsidR="00F55F89">
        <w:rPr>
          <w:rFonts w:hint="eastAsia"/>
          <w:sz w:val="24"/>
        </w:rPr>
        <w:t>或界限，导致投资者追涨杀跌，这从汇率价格的一些决定因素中可以解释。即一国货币的价值更多地决定于其国家经济的好坏、其国际竞争力、进出口收支和处于国际产业链中的位置。即使是短期有人人为操纵，也需要大量资金。这些因素都较为宏大，一旦因以上因素而导致汇率波动，很难短时间内对冲或扭转该趋势，而必然是在一定时期内保持这一趋势。</w:t>
      </w:r>
    </w:p>
    <w:p w:rsidR="0098615A" w:rsidRPr="00671AB1" w:rsidRDefault="002E7834" w:rsidP="00671AB1">
      <w:pPr>
        <w:pStyle w:val="a3"/>
        <w:numPr>
          <w:ilvl w:val="0"/>
          <w:numId w:val="13"/>
        </w:numPr>
        <w:spacing w:line="360" w:lineRule="auto"/>
        <w:ind w:firstLineChars="0"/>
        <w:jc w:val="left"/>
        <w:rPr>
          <w:sz w:val="24"/>
        </w:rPr>
      </w:pPr>
      <w:r w:rsidRPr="00F55F89">
        <w:rPr>
          <w:rFonts w:hint="eastAsia"/>
          <w:sz w:val="24"/>
        </w:rPr>
        <w:t>在</w:t>
      </w:r>
      <w:r w:rsidR="00F55F89" w:rsidRPr="00F55F89">
        <w:rPr>
          <w:rFonts w:hint="eastAsia"/>
          <w:sz w:val="24"/>
        </w:rPr>
        <w:t>非农业就业数据</w:t>
      </w:r>
      <w:r w:rsidRPr="00F55F89">
        <w:rPr>
          <w:rFonts w:hint="eastAsia"/>
          <w:sz w:val="24"/>
        </w:rPr>
        <w:t>发布</w:t>
      </w:r>
      <w:r w:rsidR="00F55F89">
        <w:rPr>
          <w:rFonts w:hint="eastAsia"/>
          <w:sz w:val="24"/>
        </w:rPr>
        <w:t>三天之内</w:t>
      </w:r>
      <w:r w:rsidRPr="00F55F89">
        <w:rPr>
          <w:rFonts w:hint="eastAsia"/>
          <w:sz w:val="24"/>
        </w:rPr>
        <w:t>偏离均值超过两倍</w:t>
      </w:r>
      <w:r w:rsidR="00F55F89">
        <w:rPr>
          <w:rFonts w:hint="eastAsia"/>
          <w:sz w:val="24"/>
        </w:rPr>
        <w:t>标准</w:t>
      </w:r>
      <w:r w:rsidRPr="00F55F89">
        <w:rPr>
          <w:rFonts w:hint="eastAsia"/>
          <w:sz w:val="24"/>
        </w:rPr>
        <w:t>方差的</w:t>
      </w:r>
      <w:proofErr w:type="gramStart"/>
      <w:r w:rsidRPr="00F55F89">
        <w:rPr>
          <w:rFonts w:hint="eastAsia"/>
          <w:sz w:val="24"/>
        </w:rPr>
        <w:t>时点</w:t>
      </w:r>
      <w:r w:rsidR="00F55F89">
        <w:rPr>
          <w:rFonts w:hint="eastAsia"/>
          <w:sz w:val="24"/>
        </w:rPr>
        <w:t>十</w:t>
      </w:r>
      <w:proofErr w:type="gramEnd"/>
      <w:r w:rsidRPr="00F55F89">
        <w:rPr>
          <w:rFonts w:hint="eastAsia"/>
          <w:sz w:val="24"/>
        </w:rPr>
        <w:t>天后的</w:t>
      </w:r>
      <w:r w:rsidR="00F55F89">
        <w:rPr>
          <w:rFonts w:hint="eastAsia"/>
          <w:sz w:val="24"/>
        </w:rPr>
        <w:t>波动情况</w:t>
      </w:r>
      <w:r w:rsidRPr="00F55F89">
        <w:rPr>
          <w:rFonts w:hint="eastAsia"/>
          <w:sz w:val="24"/>
        </w:rPr>
        <w:t>。</w:t>
      </w:r>
      <w:r w:rsidR="00D25DE0">
        <w:rPr>
          <w:rFonts w:hint="eastAsia"/>
          <w:sz w:val="24"/>
        </w:rPr>
        <w:t>本工程考察了</w:t>
      </w:r>
      <w:r w:rsidR="00D25DE0">
        <w:rPr>
          <w:rFonts w:hint="eastAsia"/>
          <w:sz w:val="24"/>
        </w:rPr>
        <w:t>2009</w:t>
      </w:r>
      <w:r w:rsidR="00D25DE0">
        <w:rPr>
          <w:rFonts w:hint="eastAsia"/>
          <w:sz w:val="24"/>
        </w:rPr>
        <w:t>年</w:t>
      </w:r>
      <w:r w:rsidR="00D25DE0">
        <w:rPr>
          <w:rFonts w:hint="eastAsia"/>
          <w:sz w:val="24"/>
        </w:rPr>
        <w:t>1</w:t>
      </w:r>
      <w:r w:rsidR="00D25DE0">
        <w:rPr>
          <w:rFonts w:hint="eastAsia"/>
          <w:sz w:val="24"/>
        </w:rPr>
        <w:t>月</w:t>
      </w:r>
      <w:r w:rsidR="0080725B">
        <w:rPr>
          <w:rFonts w:hint="eastAsia"/>
          <w:sz w:val="24"/>
        </w:rPr>
        <w:t>至</w:t>
      </w:r>
      <w:r w:rsidR="00D25DE0">
        <w:rPr>
          <w:rFonts w:hint="eastAsia"/>
          <w:sz w:val="24"/>
        </w:rPr>
        <w:t>2016</w:t>
      </w:r>
      <w:r w:rsidR="00D25DE0">
        <w:rPr>
          <w:rFonts w:hint="eastAsia"/>
          <w:sz w:val="24"/>
        </w:rPr>
        <w:t>年</w:t>
      </w:r>
      <w:r w:rsidR="00D25DE0">
        <w:rPr>
          <w:rFonts w:hint="eastAsia"/>
          <w:sz w:val="24"/>
        </w:rPr>
        <w:t>12</w:t>
      </w:r>
      <w:r w:rsidR="00D25DE0">
        <w:rPr>
          <w:rFonts w:hint="eastAsia"/>
          <w:sz w:val="24"/>
        </w:rPr>
        <w:t>月之间，共</w:t>
      </w:r>
      <w:r w:rsidR="00D25DE0">
        <w:rPr>
          <w:rFonts w:hint="eastAsia"/>
          <w:sz w:val="24"/>
        </w:rPr>
        <w:t>84</w:t>
      </w:r>
      <w:r w:rsidR="00D25DE0">
        <w:rPr>
          <w:rFonts w:hint="eastAsia"/>
          <w:sz w:val="24"/>
        </w:rPr>
        <w:t>个月发布的</w:t>
      </w:r>
      <w:r w:rsidR="00D25DE0" w:rsidRPr="00F55F89">
        <w:rPr>
          <w:rFonts w:hint="eastAsia"/>
          <w:sz w:val="24"/>
        </w:rPr>
        <w:t>在非农业就业数据</w:t>
      </w:r>
      <w:r w:rsidR="00D25DE0">
        <w:rPr>
          <w:rFonts w:hint="eastAsia"/>
          <w:sz w:val="24"/>
        </w:rPr>
        <w:t>。其中有</w:t>
      </w:r>
      <w:r w:rsidR="00D25DE0">
        <w:rPr>
          <w:rFonts w:hint="eastAsia"/>
          <w:sz w:val="24"/>
        </w:rPr>
        <w:t>64</w:t>
      </w:r>
      <w:r w:rsidR="00D25DE0">
        <w:rPr>
          <w:rFonts w:hint="eastAsia"/>
          <w:sz w:val="24"/>
        </w:rPr>
        <w:t>个月是我们的考察对象，即</w:t>
      </w:r>
      <w:r w:rsidR="0080725B" w:rsidRPr="00523E1C">
        <w:rPr>
          <w:sz w:val="24"/>
        </w:rPr>
        <w:t>高于前值</w:t>
      </w:r>
      <w:r w:rsidR="0080725B">
        <w:rPr>
          <w:rFonts w:hint="eastAsia"/>
          <w:sz w:val="24"/>
        </w:rPr>
        <w:t>、</w:t>
      </w:r>
      <w:r w:rsidR="0080725B" w:rsidRPr="00523E1C">
        <w:rPr>
          <w:sz w:val="24"/>
        </w:rPr>
        <w:t>高于预期</w:t>
      </w:r>
      <w:r w:rsidR="0080725B">
        <w:rPr>
          <w:rFonts w:hint="eastAsia"/>
          <w:sz w:val="24"/>
        </w:rPr>
        <w:t>或</w:t>
      </w:r>
      <w:r w:rsidR="0080725B" w:rsidRPr="00523E1C">
        <w:rPr>
          <w:sz w:val="24"/>
        </w:rPr>
        <w:t>低于前值</w:t>
      </w:r>
      <w:r w:rsidR="0080725B">
        <w:rPr>
          <w:rFonts w:hint="eastAsia"/>
          <w:sz w:val="24"/>
        </w:rPr>
        <w:t>、</w:t>
      </w:r>
      <w:r w:rsidR="0080725B" w:rsidRPr="00523E1C">
        <w:rPr>
          <w:sz w:val="24"/>
        </w:rPr>
        <w:t>低于预期</w:t>
      </w:r>
      <w:r w:rsidR="0080725B">
        <w:rPr>
          <w:rFonts w:hint="eastAsia"/>
          <w:sz w:val="24"/>
        </w:rPr>
        <w:t>。我们查找发布数据后三日内是否有</w:t>
      </w:r>
      <w:r w:rsidR="0080725B" w:rsidRPr="00D25DE0">
        <w:rPr>
          <w:rFonts w:ascii="Trebuchet MS" w:eastAsia="宋体" w:hAnsi="Arial" w:cs="Arial"/>
          <w:color w:val="000000" w:themeColor="dark1"/>
          <w:kern w:val="24"/>
          <w:sz w:val="24"/>
          <w:szCs w:val="24"/>
        </w:rPr>
        <w:t>偏离均值超过两倍</w:t>
      </w:r>
      <w:r w:rsidR="0080725B">
        <w:rPr>
          <w:rFonts w:ascii="Trebuchet MS" w:eastAsia="宋体" w:hAnsi="Arial" w:cs="Arial" w:hint="eastAsia"/>
          <w:color w:val="000000" w:themeColor="dark1"/>
          <w:kern w:val="24"/>
          <w:sz w:val="24"/>
          <w:szCs w:val="24"/>
        </w:rPr>
        <w:t>标准</w:t>
      </w:r>
      <w:r w:rsidR="0080725B" w:rsidRPr="00D25DE0">
        <w:rPr>
          <w:rFonts w:ascii="Trebuchet MS" w:eastAsia="宋体" w:hAnsi="Arial" w:cs="Arial"/>
          <w:color w:val="000000" w:themeColor="dark1"/>
          <w:kern w:val="24"/>
          <w:sz w:val="24"/>
          <w:szCs w:val="24"/>
        </w:rPr>
        <w:t>方差的</w:t>
      </w:r>
      <w:r w:rsidR="00C93D6A">
        <w:rPr>
          <w:rFonts w:ascii="Trebuchet MS" w:eastAsia="宋体" w:hAnsi="Arial" w:cs="Arial" w:hint="eastAsia"/>
          <w:color w:val="000000" w:themeColor="dark1"/>
          <w:kern w:val="24"/>
          <w:sz w:val="24"/>
          <w:szCs w:val="24"/>
        </w:rPr>
        <w:t>日子</w:t>
      </w:r>
      <w:r w:rsidR="0080725B">
        <w:rPr>
          <w:rFonts w:ascii="Trebuchet MS" w:eastAsia="宋体" w:hAnsi="Arial" w:cs="Arial" w:hint="eastAsia"/>
          <w:color w:val="000000" w:themeColor="dark1"/>
          <w:kern w:val="24"/>
          <w:sz w:val="24"/>
          <w:szCs w:val="24"/>
        </w:rPr>
        <w:t>，共计查找</w:t>
      </w:r>
      <w:r w:rsidR="0080725B">
        <w:rPr>
          <w:rFonts w:ascii="Trebuchet MS" w:eastAsia="宋体" w:hAnsi="Arial" w:cs="Arial" w:hint="eastAsia"/>
          <w:color w:val="000000" w:themeColor="dark1"/>
          <w:kern w:val="24"/>
          <w:sz w:val="24"/>
          <w:szCs w:val="24"/>
        </w:rPr>
        <w:t>64*3=192</w:t>
      </w:r>
      <w:r w:rsidR="0080725B">
        <w:rPr>
          <w:rFonts w:ascii="Trebuchet MS" w:eastAsia="宋体" w:hAnsi="Arial" w:cs="Arial" w:hint="eastAsia"/>
          <w:color w:val="000000" w:themeColor="dark1"/>
          <w:kern w:val="24"/>
          <w:sz w:val="24"/>
          <w:szCs w:val="24"/>
        </w:rPr>
        <w:t>天，其中</w:t>
      </w:r>
      <w:r w:rsidR="0080725B">
        <w:rPr>
          <w:rFonts w:ascii="Trebuchet MS" w:eastAsia="宋体" w:hAnsi="Arial" w:cs="Arial" w:hint="eastAsia"/>
          <w:color w:val="000000" w:themeColor="dark1"/>
          <w:kern w:val="24"/>
          <w:sz w:val="24"/>
          <w:szCs w:val="24"/>
        </w:rPr>
        <w:t>21</w:t>
      </w:r>
      <w:r w:rsidR="0080725B">
        <w:rPr>
          <w:rFonts w:ascii="Trebuchet MS" w:eastAsia="宋体" w:hAnsi="Arial" w:cs="Arial" w:hint="eastAsia"/>
          <w:color w:val="000000" w:themeColor="dark1"/>
          <w:kern w:val="24"/>
          <w:sz w:val="24"/>
          <w:szCs w:val="24"/>
        </w:rPr>
        <w:t>天是</w:t>
      </w:r>
      <w:r w:rsidR="0080725B" w:rsidRPr="00D25DE0">
        <w:rPr>
          <w:rFonts w:ascii="Trebuchet MS" w:eastAsia="宋体" w:hAnsi="Arial" w:cs="Arial"/>
          <w:color w:val="000000" w:themeColor="dark1"/>
          <w:kern w:val="24"/>
          <w:sz w:val="24"/>
          <w:szCs w:val="24"/>
        </w:rPr>
        <w:t>偏离均值超过两倍</w:t>
      </w:r>
      <w:r w:rsidR="0080725B">
        <w:rPr>
          <w:rFonts w:ascii="Trebuchet MS" w:eastAsia="宋体" w:hAnsi="Arial" w:cs="Arial" w:hint="eastAsia"/>
          <w:color w:val="000000" w:themeColor="dark1"/>
          <w:kern w:val="24"/>
          <w:sz w:val="24"/>
          <w:szCs w:val="24"/>
        </w:rPr>
        <w:t>标准</w:t>
      </w:r>
      <w:r w:rsidR="0080725B" w:rsidRPr="00D25DE0">
        <w:rPr>
          <w:rFonts w:ascii="Trebuchet MS" w:eastAsia="宋体" w:hAnsi="Arial" w:cs="Arial"/>
          <w:color w:val="000000" w:themeColor="dark1"/>
          <w:kern w:val="24"/>
          <w:sz w:val="24"/>
          <w:szCs w:val="24"/>
        </w:rPr>
        <w:t>方差的</w:t>
      </w:r>
      <w:r w:rsidR="0080725B">
        <w:rPr>
          <w:rFonts w:ascii="Trebuchet MS" w:eastAsia="宋体" w:hAnsi="Arial" w:cs="Arial" w:hint="eastAsia"/>
          <w:color w:val="000000" w:themeColor="dark1"/>
          <w:kern w:val="24"/>
          <w:sz w:val="24"/>
          <w:szCs w:val="24"/>
        </w:rPr>
        <w:t>日子</w:t>
      </w:r>
      <w:r w:rsidR="00671AB1">
        <w:rPr>
          <w:rFonts w:ascii="Trebuchet MS" w:eastAsia="宋体" w:hAnsi="Arial" w:cs="Arial" w:hint="eastAsia"/>
          <w:color w:val="000000" w:themeColor="dark1"/>
          <w:kern w:val="24"/>
          <w:sz w:val="24"/>
          <w:szCs w:val="24"/>
        </w:rPr>
        <w:t>，占比</w:t>
      </w:r>
      <w:r w:rsidR="00671AB1">
        <w:rPr>
          <w:rFonts w:ascii="Trebuchet MS" w:eastAsia="宋体" w:hAnsi="Arial" w:cs="Arial" w:hint="eastAsia"/>
          <w:color w:val="000000" w:themeColor="dark1"/>
          <w:kern w:val="24"/>
          <w:sz w:val="24"/>
          <w:szCs w:val="24"/>
        </w:rPr>
        <w:t>11%</w:t>
      </w:r>
      <w:r w:rsidR="0080725B">
        <w:rPr>
          <w:rFonts w:ascii="Trebuchet MS" w:eastAsia="宋体" w:hAnsi="Arial" w:cs="Arial" w:hint="eastAsia"/>
          <w:color w:val="000000" w:themeColor="dark1"/>
          <w:kern w:val="24"/>
          <w:sz w:val="24"/>
          <w:szCs w:val="24"/>
        </w:rPr>
        <w:t>。这</w:t>
      </w:r>
      <w:bookmarkStart w:id="0" w:name="_GoBack"/>
      <w:r w:rsidR="0080725B">
        <w:rPr>
          <w:rFonts w:ascii="Trebuchet MS" w:eastAsia="宋体" w:hAnsi="Arial" w:cs="Arial" w:hint="eastAsia"/>
          <w:color w:val="000000" w:themeColor="dark1"/>
          <w:kern w:val="24"/>
          <w:sz w:val="24"/>
          <w:szCs w:val="24"/>
        </w:rPr>
        <w:t>21</w:t>
      </w:r>
      <w:r w:rsidR="0080725B">
        <w:rPr>
          <w:rFonts w:ascii="Trebuchet MS" w:eastAsia="宋体" w:hAnsi="Arial" w:cs="Arial" w:hint="eastAsia"/>
          <w:color w:val="000000" w:themeColor="dark1"/>
          <w:kern w:val="24"/>
          <w:sz w:val="24"/>
          <w:szCs w:val="24"/>
        </w:rPr>
        <w:t>天里有</w:t>
      </w:r>
      <w:r w:rsidR="0080725B">
        <w:rPr>
          <w:rFonts w:ascii="Trebuchet MS" w:eastAsia="宋体" w:hAnsi="Arial" w:cs="Arial" w:hint="eastAsia"/>
          <w:color w:val="000000" w:themeColor="dark1"/>
          <w:kern w:val="24"/>
          <w:sz w:val="24"/>
          <w:szCs w:val="24"/>
        </w:rPr>
        <w:t>10</w:t>
      </w:r>
      <w:r w:rsidR="0080725B">
        <w:rPr>
          <w:rFonts w:ascii="Trebuchet MS" w:eastAsia="宋体" w:hAnsi="Arial" w:cs="Arial" w:hint="eastAsia"/>
          <w:color w:val="000000" w:themeColor="dark1"/>
          <w:kern w:val="24"/>
          <w:sz w:val="24"/>
          <w:szCs w:val="24"/>
        </w:rPr>
        <w:t>天是</w:t>
      </w:r>
      <w:r w:rsidR="0080725B">
        <w:rPr>
          <w:rFonts w:ascii="Trebuchet MS" w:eastAsia="宋体" w:hAnsi="Arial" w:cs="Arial"/>
          <w:color w:val="000000" w:themeColor="dark1"/>
          <w:kern w:val="24"/>
          <w:sz w:val="24"/>
          <w:szCs w:val="24"/>
        </w:rPr>
        <w:t>十日后偏离</w:t>
      </w:r>
      <w:r w:rsidR="0080725B">
        <w:rPr>
          <w:rFonts w:ascii="Trebuchet MS" w:eastAsia="宋体" w:hAnsi="Arial" w:cs="Arial" w:hint="eastAsia"/>
          <w:color w:val="000000" w:themeColor="dark1"/>
          <w:kern w:val="24"/>
          <w:sz w:val="24"/>
          <w:szCs w:val="24"/>
        </w:rPr>
        <w:t>继续</w:t>
      </w:r>
      <w:r w:rsidR="0080725B">
        <w:rPr>
          <w:rFonts w:ascii="Trebuchet MS" w:eastAsia="宋体" w:hAnsi="Arial" w:cs="Arial"/>
          <w:color w:val="000000" w:themeColor="dark1"/>
          <w:kern w:val="24"/>
          <w:sz w:val="24"/>
          <w:szCs w:val="24"/>
        </w:rPr>
        <w:t>增大</w:t>
      </w:r>
      <w:r w:rsidR="0080725B">
        <w:rPr>
          <w:rFonts w:ascii="Trebuchet MS" w:eastAsia="宋体" w:hAnsi="Arial" w:cs="Arial" w:hint="eastAsia"/>
          <w:color w:val="000000" w:themeColor="dark1"/>
          <w:kern w:val="24"/>
          <w:sz w:val="24"/>
          <w:szCs w:val="24"/>
        </w:rPr>
        <w:t>，这</w:t>
      </w:r>
      <w:r w:rsidR="0080725B">
        <w:rPr>
          <w:rFonts w:ascii="Trebuchet MS" w:eastAsia="宋体" w:hAnsi="Arial" w:cs="Arial" w:hint="eastAsia"/>
          <w:color w:val="000000" w:themeColor="dark1"/>
          <w:kern w:val="24"/>
          <w:sz w:val="24"/>
          <w:szCs w:val="24"/>
        </w:rPr>
        <w:t>10</w:t>
      </w:r>
      <w:r w:rsidR="0080725B">
        <w:rPr>
          <w:rFonts w:ascii="Trebuchet MS" w:eastAsia="宋体" w:hAnsi="Arial" w:cs="Arial" w:hint="eastAsia"/>
          <w:color w:val="000000" w:themeColor="dark1"/>
          <w:kern w:val="24"/>
          <w:sz w:val="24"/>
          <w:szCs w:val="24"/>
        </w:rPr>
        <w:t>天平均的偏离比率是</w:t>
      </w:r>
      <w:r w:rsidR="0080725B">
        <w:rPr>
          <w:rFonts w:ascii="Trebuchet MS" w:eastAsia="宋体" w:hAnsi="Arial" w:cs="Arial" w:hint="eastAsia"/>
          <w:color w:val="000000" w:themeColor="dark1"/>
          <w:kern w:val="24"/>
          <w:sz w:val="24"/>
          <w:szCs w:val="24"/>
        </w:rPr>
        <w:t>0.45%</w:t>
      </w:r>
      <w:r w:rsidR="0080725B">
        <w:rPr>
          <w:rFonts w:ascii="Trebuchet MS" w:eastAsia="宋体" w:hAnsi="Arial" w:cs="Arial" w:hint="eastAsia"/>
          <w:color w:val="000000" w:themeColor="dark1"/>
          <w:kern w:val="24"/>
          <w:sz w:val="24"/>
          <w:szCs w:val="24"/>
        </w:rPr>
        <w:t>。</w:t>
      </w:r>
      <w:r w:rsidR="00671AB1">
        <w:rPr>
          <w:rFonts w:ascii="Trebuchet MS" w:eastAsia="宋体" w:hAnsi="Arial" w:cs="Arial" w:hint="eastAsia"/>
          <w:color w:val="000000" w:themeColor="dark1"/>
          <w:kern w:val="24"/>
          <w:sz w:val="24"/>
          <w:szCs w:val="24"/>
        </w:rPr>
        <w:t>然而，这</w:t>
      </w:r>
      <w:r w:rsidR="00671AB1">
        <w:rPr>
          <w:rFonts w:ascii="Trebuchet MS" w:eastAsia="宋体" w:hAnsi="Arial" w:cs="Arial" w:hint="eastAsia"/>
          <w:color w:val="000000" w:themeColor="dark1"/>
          <w:kern w:val="24"/>
          <w:sz w:val="24"/>
          <w:szCs w:val="24"/>
        </w:rPr>
        <w:t>21</w:t>
      </w:r>
      <w:r w:rsidR="00671AB1">
        <w:rPr>
          <w:rFonts w:ascii="Trebuchet MS" w:eastAsia="宋体" w:hAnsi="Arial" w:cs="Arial" w:hint="eastAsia"/>
          <w:color w:val="000000" w:themeColor="dark1"/>
          <w:kern w:val="24"/>
          <w:sz w:val="24"/>
          <w:szCs w:val="24"/>
        </w:rPr>
        <w:t>个</w:t>
      </w:r>
      <w:r w:rsidR="00671AB1" w:rsidRPr="00D25DE0">
        <w:rPr>
          <w:rFonts w:ascii="Trebuchet MS" w:eastAsia="宋体" w:hAnsi="Arial" w:cs="Arial"/>
          <w:color w:val="000000" w:themeColor="dark1"/>
          <w:kern w:val="24"/>
          <w:sz w:val="24"/>
          <w:szCs w:val="24"/>
        </w:rPr>
        <w:t>偏离均值超过两倍</w:t>
      </w:r>
      <w:r w:rsidR="00671AB1">
        <w:rPr>
          <w:rFonts w:ascii="Trebuchet MS" w:eastAsia="宋体" w:hAnsi="Arial" w:cs="Arial" w:hint="eastAsia"/>
          <w:color w:val="000000" w:themeColor="dark1"/>
          <w:kern w:val="24"/>
          <w:sz w:val="24"/>
          <w:szCs w:val="24"/>
        </w:rPr>
        <w:t>标准</w:t>
      </w:r>
      <w:r w:rsidR="00671AB1" w:rsidRPr="00D25DE0">
        <w:rPr>
          <w:rFonts w:ascii="Trebuchet MS" w:eastAsia="宋体" w:hAnsi="Arial" w:cs="Arial"/>
          <w:color w:val="000000" w:themeColor="dark1"/>
          <w:kern w:val="24"/>
          <w:sz w:val="24"/>
          <w:szCs w:val="24"/>
        </w:rPr>
        <w:t>方差的</w:t>
      </w:r>
      <w:r w:rsidR="00671AB1">
        <w:rPr>
          <w:rFonts w:ascii="Trebuchet MS" w:eastAsia="宋体" w:hAnsi="Arial" w:cs="Arial" w:hint="eastAsia"/>
          <w:color w:val="000000" w:themeColor="dark1"/>
          <w:kern w:val="24"/>
          <w:sz w:val="24"/>
          <w:szCs w:val="24"/>
        </w:rPr>
        <w:t>日子</w:t>
      </w:r>
      <w:r w:rsidR="00671AB1">
        <w:rPr>
          <w:rFonts w:ascii="Trebuchet MS" w:eastAsia="宋体" w:hAnsi="Arial" w:cs="Arial" w:hint="eastAsia"/>
          <w:color w:val="000000" w:themeColor="dark1"/>
          <w:kern w:val="24"/>
          <w:sz w:val="24"/>
          <w:szCs w:val="24"/>
        </w:rPr>
        <w:t>，十日后的平均</w:t>
      </w:r>
      <w:r w:rsidR="00671AB1">
        <w:rPr>
          <w:rFonts w:ascii="Trebuchet MS" w:eastAsia="宋体" w:hAnsi="Arial" w:cs="Arial" w:hint="eastAsia"/>
          <w:color w:val="000000" w:themeColor="dark1"/>
          <w:kern w:val="24"/>
          <w:sz w:val="24"/>
          <w:szCs w:val="24"/>
        </w:rPr>
        <w:t>偏离比率是</w:t>
      </w:r>
      <w:r w:rsidR="00671AB1">
        <w:rPr>
          <w:rFonts w:ascii="Trebuchet MS" w:eastAsia="宋体" w:hAnsi="Arial" w:cs="Arial" w:hint="eastAsia"/>
          <w:color w:val="000000" w:themeColor="dark1"/>
          <w:kern w:val="24"/>
          <w:sz w:val="24"/>
          <w:szCs w:val="24"/>
        </w:rPr>
        <w:t>-0.12</w:t>
      </w:r>
      <w:r w:rsidR="00671AB1">
        <w:rPr>
          <w:rFonts w:ascii="Trebuchet MS" w:eastAsia="宋体" w:hAnsi="Arial" w:cs="Arial" w:hint="eastAsia"/>
          <w:color w:val="000000" w:themeColor="dark1"/>
          <w:kern w:val="24"/>
          <w:sz w:val="24"/>
          <w:szCs w:val="24"/>
        </w:rPr>
        <w:t>%</w:t>
      </w:r>
      <w:r w:rsidR="00671AB1">
        <w:rPr>
          <w:rFonts w:ascii="Trebuchet MS" w:eastAsia="宋体" w:hAnsi="Arial" w:cs="Arial" w:hint="eastAsia"/>
          <w:color w:val="000000" w:themeColor="dark1"/>
          <w:kern w:val="24"/>
          <w:sz w:val="24"/>
          <w:szCs w:val="24"/>
        </w:rPr>
        <w:t>，</w:t>
      </w:r>
      <w:bookmarkEnd w:id="0"/>
      <w:r w:rsidR="00671AB1">
        <w:rPr>
          <w:rFonts w:ascii="Trebuchet MS" w:eastAsia="宋体" w:hAnsi="Arial" w:cs="Arial" w:hint="eastAsia"/>
          <w:color w:val="000000" w:themeColor="dark1"/>
          <w:kern w:val="24"/>
          <w:sz w:val="24"/>
          <w:szCs w:val="24"/>
        </w:rPr>
        <w:t>表明平均来看是缩小了偏差。以上数据表明，在</w:t>
      </w:r>
      <w:r w:rsidR="00671AB1" w:rsidRPr="00F55F89">
        <w:rPr>
          <w:rFonts w:hint="eastAsia"/>
          <w:sz w:val="24"/>
        </w:rPr>
        <w:t>非农业就业数据</w:t>
      </w:r>
      <w:r w:rsidR="00671AB1">
        <w:rPr>
          <w:rFonts w:hint="eastAsia"/>
          <w:sz w:val="24"/>
        </w:rPr>
        <w:t>发布后，市场波动较平常增加，增大偏差和减小偏差的比率都加大了，</w:t>
      </w:r>
      <w:r w:rsidR="00C93D6A" w:rsidRPr="00671AB1">
        <w:rPr>
          <w:rFonts w:hint="eastAsia"/>
          <w:sz w:val="24"/>
        </w:rPr>
        <w:t>但</w:t>
      </w:r>
      <w:r w:rsidR="00671AB1">
        <w:rPr>
          <w:rFonts w:hint="eastAsia"/>
          <w:sz w:val="24"/>
        </w:rPr>
        <w:t>波动</w:t>
      </w:r>
      <w:r w:rsidR="00C93D6A" w:rsidRPr="00671AB1">
        <w:rPr>
          <w:rFonts w:hint="eastAsia"/>
          <w:sz w:val="24"/>
        </w:rPr>
        <w:t>方向并不与</w:t>
      </w:r>
      <w:r w:rsidR="00671AB1">
        <w:rPr>
          <w:rFonts w:hint="eastAsia"/>
          <w:sz w:val="24"/>
        </w:rPr>
        <w:t>非农业就业</w:t>
      </w:r>
      <w:r w:rsidR="00C93D6A" w:rsidRPr="00671AB1">
        <w:rPr>
          <w:rFonts w:hint="eastAsia"/>
          <w:sz w:val="24"/>
        </w:rPr>
        <w:t>数据所代表的含义正相关。</w:t>
      </w:r>
      <w:r w:rsidR="00671AB1">
        <w:rPr>
          <w:rFonts w:hint="eastAsia"/>
          <w:sz w:val="24"/>
        </w:rPr>
        <w:t>可以这样解释，在该数据发布后，市场可能会借机对该数据做一轮短期行情</w:t>
      </w:r>
      <w:r w:rsidR="00792615">
        <w:rPr>
          <w:rFonts w:hint="eastAsia"/>
          <w:sz w:val="24"/>
        </w:rPr>
        <w:t>。</w:t>
      </w:r>
      <w:r w:rsidR="00671AB1">
        <w:rPr>
          <w:rFonts w:hint="eastAsia"/>
          <w:sz w:val="24"/>
        </w:rPr>
        <w:t>而由于</w:t>
      </w:r>
      <w:r w:rsidR="00792615">
        <w:rPr>
          <w:rFonts w:hint="eastAsia"/>
          <w:sz w:val="24"/>
        </w:rPr>
        <w:t>该行情</w:t>
      </w:r>
      <w:r w:rsidR="00671AB1">
        <w:rPr>
          <w:rFonts w:hint="eastAsia"/>
          <w:sz w:val="24"/>
        </w:rPr>
        <w:t>没有其他“宏大</w:t>
      </w:r>
      <w:r w:rsidR="00792615">
        <w:rPr>
          <w:rFonts w:hint="eastAsia"/>
          <w:sz w:val="24"/>
        </w:rPr>
        <w:t>”因素</w:t>
      </w:r>
      <w:r w:rsidR="00671AB1">
        <w:rPr>
          <w:rFonts w:hint="eastAsia"/>
          <w:sz w:val="24"/>
        </w:rPr>
        <w:t>的支持，</w:t>
      </w:r>
      <w:r w:rsidR="00792615">
        <w:rPr>
          <w:rFonts w:hint="eastAsia"/>
          <w:sz w:val="24"/>
        </w:rPr>
        <w:t>市场各方都知道这是短期行情，故会高抛低吸，及时对冲，产生涨跌交互的状态。而这</w:t>
      </w:r>
      <w:r w:rsidR="00792615">
        <w:rPr>
          <w:rFonts w:hint="eastAsia"/>
          <w:sz w:val="24"/>
        </w:rPr>
        <w:t>192</w:t>
      </w:r>
      <w:r w:rsidR="00792615">
        <w:rPr>
          <w:rFonts w:hint="eastAsia"/>
          <w:sz w:val="24"/>
        </w:rPr>
        <w:t>个被考察的日子里，只有</w:t>
      </w:r>
      <w:r w:rsidR="00792615">
        <w:rPr>
          <w:rFonts w:hint="eastAsia"/>
          <w:sz w:val="24"/>
        </w:rPr>
        <w:t>11%</w:t>
      </w:r>
      <w:r w:rsidR="00792615">
        <w:rPr>
          <w:rFonts w:hint="eastAsia"/>
          <w:sz w:val="24"/>
        </w:rPr>
        <w:t>的日子</w:t>
      </w:r>
      <w:r w:rsidR="00792615" w:rsidRPr="00D25DE0">
        <w:rPr>
          <w:rFonts w:ascii="Trebuchet MS" w:eastAsia="宋体" w:hAnsi="Arial" w:cs="Arial"/>
          <w:color w:val="000000" w:themeColor="dark1"/>
          <w:kern w:val="24"/>
          <w:sz w:val="24"/>
          <w:szCs w:val="24"/>
        </w:rPr>
        <w:t>偏离均值超过两倍</w:t>
      </w:r>
      <w:r w:rsidR="00792615">
        <w:rPr>
          <w:rFonts w:ascii="Trebuchet MS" w:eastAsia="宋体" w:hAnsi="Arial" w:cs="Arial" w:hint="eastAsia"/>
          <w:color w:val="000000" w:themeColor="dark1"/>
          <w:kern w:val="24"/>
          <w:sz w:val="24"/>
          <w:szCs w:val="24"/>
        </w:rPr>
        <w:t>标准</w:t>
      </w:r>
      <w:r w:rsidR="00792615" w:rsidRPr="00D25DE0">
        <w:rPr>
          <w:rFonts w:ascii="Trebuchet MS" w:eastAsia="宋体" w:hAnsi="Arial" w:cs="Arial"/>
          <w:color w:val="000000" w:themeColor="dark1"/>
          <w:kern w:val="24"/>
          <w:sz w:val="24"/>
          <w:szCs w:val="24"/>
        </w:rPr>
        <w:t>方差</w:t>
      </w:r>
      <w:r w:rsidR="00792615">
        <w:rPr>
          <w:rFonts w:ascii="Trebuchet MS" w:eastAsia="宋体" w:hAnsi="Arial" w:cs="Arial" w:hint="eastAsia"/>
          <w:color w:val="000000" w:themeColor="dark1"/>
          <w:kern w:val="24"/>
          <w:sz w:val="24"/>
          <w:szCs w:val="24"/>
        </w:rPr>
        <w:t>，小于</w:t>
      </w:r>
      <w:r w:rsidR="00792615" w:rsidRPr="00424C5B">
        <w:rPr>
          <w:sz w:val="24"/>
        </w:rPr>
        <w:t>18.4%</w:t>
      </w:r>
      <w:r w:rsidR="00E0492B">
        <w:rPr>
          <w:rFonts w:hint="eastAsia"/>
          <w:sz w:val="24"/>
        </w:rPr>
        <w:t>的平均比例，说明该数据发布</w:t>
      </w:r>
      <w:proofErr w:type="gramStart"/>
      <w:r w:rsidR="00E0492B">
        <w:rPr>
          <w:rFonts w:hint="eastAsia"/>
          <w:sz w:val="24"/>
        </w:rPr>
        <w:t>不</w:t>
      </w:r>
      <w:proofErr w:type="gramEnd"/>
      <w:r w:rsidR="00E0492B">
        <w:rPr>
          <w:rFonts w:hint="eastAsia"/>
          <w:sz w:val="24"/>
        </w:rPr>
        <w:t>导致汇率的大波动，反而是有助于其稳定。这与之前所述波动增加，事实上是辩证统一的。即要么是不偏离，要么是发生大偏离，但会及时回调。</w:t>
      </w:r>
    </w:p>
    <w:tbl>
      <w:tblPr>
        <w:tblStyle w:val="a6"/>
        <w:tblW w:w="5553" w:type="pct"/>
        <w:tblLook w:val="0600" w:firstRow="0" w:lastRow="0" w:firstColumn="0" w:lastColumn="0" w:noHBand="1" w:noVBand="1"/>
      </w:tblPr>
      <w:tblGrid>
        <w:gridCol w:w="1440"/>
        <w:gridCol w:w="1579"/>
        <w:gridCol w:w="1997"/>
        <w:gridCol w:w="1899"/>
        <w:gridCol w:w="1272"/>
        <w:gridCol w:w="1278"/>
      </w:tblGrid>
      <w:tr w:rsidR="002E7834" w:rsidRPr="00F55F89" w:rsidTr="002E7834">
        <w:trPr>
          <w:trHeight w:val="1440"/>
        </w:trPr>
        <w:tc>
          <w:tcPr>
            <w:tcW w:w="761" w:type="pct"/>
            <w:vAlign w:val="center"/>
            <w:hideMark/>
          </w:tcPr>
          <w:p w:rsidR="00F55F89" w:rsidRPr="00D25DE0" w:rsidRDefault="00F55F89" w:rsidP="002E7834">
            <w:pPr>
              <w:widowControl/>
              <w:jc w:val="center"/>
              <w:textAlignment w:val="center"/>
              <w:rPr>
                <w:rFonts w:ascii="Arial" w:eastAsia="宋体" w:hAnsi="Arial" w:cs="Arial"/>
                <w:kern w:val="0"/>
                <w:sz w:val="24"/>
                <w:szCs w:val="24"/>
              </w:rPr>
            </w:pPr>
            <w:r w:rsidRPr="00D25DE0">
              <w:rPr>
                <w:rFonts w:ascii="Trebuchet MS" w:eastAsia="宋体" w:hAnsi="Arial" w:cs="Arial"/>
                <w:color w:val="000000" w:themeColor="dark1"/>
                <w:kern w:val="24"/>
                <w:sz w:val="24"/>
                <w:szCs w:val="24"/>
              </w:rPr>
              <w:lastRenderedPageBreak/>
              <w:t>符合标准的非农数据发布数</w:t>
            </w:r>
          </w:p>
        </w:tc>
        <w:tc>
          <w:tcPr>
            <w:tcW w:w="834" w:type="pct"/>
            <w:vAlign w:val="center"/>
            <w:hideMark/>
          </w:tcPr>
          <w:p w:rsidR="00F55F89" w:rsidRPr="00D25DE0" w:rsidRDefault="00F55F89" w:rsidP="002E7834">
            <w:pPr>
              <w:widowControl/>
              <w:jc w:val="center"/>
              <w:textAlignment w:val="center"/>
              <w:rPr>
                <w:rFonts w:ascii="Arial" w:eastAsia="宋体" w:hAnsi="Arial" w:cs="Arial"/>
                <w:kern w:val="0"/>
                <w:sz w:val="24"/>
                <w:szCs w:val="24"/>
              </w:rPr>
            </w:pPr>
            <w:r w:rsidRPr="00D25DE0">
              <w:rPr>
                <w:rFonts w:ascii="Trebuchet MS" w:eastAsia="宋体" w:hAnsi="Arial" w:cs="Arial"/>
                <w:color w:val="000000" w:themeColor="dark1"/>
                <w:kern w:val="24"/>
                <w:sz w:val="24"/>
                <w:szCs w:val="24"/>
              </w:rPr>
              <w:t>考察的天数</w:t>
            </w:r>
          </w:p>
        </w:tc>
        <w:tc>
          <w:tcPr>
            <w:tcW w:w="1055" w:type="pct"/>
            <w:vAlign w:val="center"/>
            <w:hideMark/>
          </w:tcPr>
          <w:p w:rsidR="00F55F89" w:rsidRPr="00D25DE0" w:rsidRDefault="00F55F89" w:rsidP="002E7834">
            <w:pPr>
              <w:widowControl/>
              <w:jc w:val="center"/>
              <w:textAlignment w:val="center"/>
              <w:rPr>
                <w:rFonts w:ascii="Arial" w:eastAsia="宋体" w:hAnsi="Arial" w:cs="Arial"/>
                <w:kern w:val="0"/>
                <w:sz w:val="24"/>
                <w:szCs w:val="24"/>
              </w:rPr>
            </w:pPr>
            <w:r w:rsidRPr="00D25DE0">
              <w:rPr>
                <w:rFonts w:ascii="Trebuchet MS" w:eastAsia="宋体" w:hAnsi="Arial" w:cs="Arial"/>
                <w:color w:val="000000" w:themeColor="dark1"/>
                <w:kern w:val="24"/>
                <w:sz w:val="24"/>
                <w:szCs w:val="24"/>
              </w:rPr>
              <w:t>其中有偏离均值超过两倍</w:t>
            </w:r>
            <w:r w:rsidR="0080725B">
              <w:rPr>
                <w:rFonts w:ascii="Trebuchet MS" w:eastAsia="宋体" w:hAnsi="Arial" w:cs="Arial" w:hint="eastAsia"/>
                <w:color w:val="000000" w:themeColor="dark1"/>
                <w:kern w:val="24"/>
                <w:sz w:val="24"/>
                <w:szCs w:val="24"/>
              </w:rPr>
              <w:t>标准</w:t>
            </w:r>
            <w:r w:rsidRPr="00D25DE0">
              <w:rPr>
                <w:rFonts w:ascii="Trebuchet MS" w:eastAsia="宋体" w:hAnsi="Arial" w:cs="Arial"/>
                <w:color w:val="000000" w:themeColor="dark1"/>
                <w:kern w:val="24"/>
                <w:sz w:val="24"/>
                <w:szCs w:val="24"/>
              </w:rPr>
              <w:t>方差的时点个数</w:t>
            </w:r>
          </w:p>
        </w:tc>
        <w:tc>
          <w:tcPr>
            <w:tcW w:w="1003" w:type="pct"/>
            <w:vAlign w:val="center"/>
            <w:hideMark/>
          </w:tcPr>
          <w:p w:rsidR="00F55F89" w:rsidRPr="00D25DE0" w:rsidRDefault="00F55F89" w:rsidP="002E7834">
            <w:pPr>
              <w:widowControl/>
              <w:jc w:val="center"/>
              <w:textAlignment w:val="center"/>
              <w:rPr>
                <w:rFonts w:ascii="Arial" w:eastAsia="宋体" w:hAnsi="Arial" w:cs="Arial"/>
                <w:kern w:val="0"/>
                <w:sz w:val="24"/>
                <w:szCs w:val="24"/>
              </w:rPr>
            </w:pPr>
            <w:r w:rsidRPr="00D25DE0">
              <w:rPr>
                <w:rFonts w:ascii="Trebuchet MS" w:eastAsia="宋体" w:hAnsi="Arial" w:cs="Arial"/>
                <w:color w:val="000000" w:themeColor="dark1"/>
                <w:kern w:val="24"/>
                <w:sz w:val="24"/>
                <w:szCs w:val="24"/>
              </w:rPr>
              <w:t>十日后偏离增大个数</w:t>
            </w:r>
          </w:p>
        </w:tc>
        <w:tc>
          <w:tcPr>
            <w:tcW w:w="672" w:type="pct"/>
            <w:vAlign w:val="center"/>
            <w:hideMark/>
          </w:tcPr>
          <w:p w:rsidR="00F55F89" w:rsidRPr="00D25DE0" w:rsidRDefault="00F55F89" w:rsidP="002E7834">
            <w:pPr>
              <w:widowControl/>
              <w:jc w:val="center"/>
              <w:textAlignment w:val="center"/>
              <w:rPr>
                <w:rFonts w:ascii="Arial" w:eastAsia="宋体" w:hAnsi="Arial" w:cs="Arial"/>
                <w:kern w:val="0"/>
                <w:sz w:val="24"/>
                <w:szCs w:val="24"/>
              </w:rPr>
            </w:pPr>
            <w:r w:rsidRPr="00D25DE0">
              <w:rPr>
                <w:rFonts w:ascii="Trebuchet MS" w:eastAsia="宋体" w:hAnsi="Arial" w:cs="Arial"/>
                <w:color w:val="000000" w:themeColor="dark1"/>
                <w:kern w:val="24"/>
                <w:sz w:val="24"/>
                <w:szCs w:val="24"/>
              </w:rPr>
              <w:t>偏离增大比率</w:t>
            </w:r>
          </w:p>
        </w:tc>
        <w:tc>
          <w:tcPr>
            <w:tcW w:w="675" w:type="pct"/>
            <w:vAlign w:val="center"/>
            <w:hideMark/>
          </w:tcPr>
          <w:p w:rsidR="00F55F89" w:rsidRPr="00D25DE0" w:rsidRDefault="00F55F89" w:rsidP="002E7834">
            <w:pPr>
              <w:widowControl/>
              <w:jc w:val="center"/>
              <w:textAlignment w:val="center"/>
              <w:rPr>
                <w:rFonts w:ascii="Arial" w:eastAsia="宋体" w:hAnsi="Arial" w:cs="Arial"/>
                <w:kern w:val="0"/>
                <w:sz w:val="24"/>
                <w:szCs w:val="24"/>
              </w:rPr>
            </w:pPr>
            <w:r w:rsidRPr="00D25DE0">
              <w:rPr>
                <w:rFonts w:ascii="Trebuchet MS" w:eastAsia="宋体" w:hAnsi="Arial" w:cs="Arial"/>
                <w:color w:val="000000" w:themeColor="dark1"/>
                <w:kern w:val="24"/>
                <w:sz w:val="24"/>
                <w:szCs w:val="24"/>
              </w:rPr>
              <w:t>波动期望比率</w:t>
            </w:r>
          </w:p>
        </w:tc>
      </w:tr>
      <w:tr w:rsidR="002E7834" w:rsidRPr="00F55F89" w:rsidTr="002E7834">
        <w:trPr>
          <w:trHeight w:val="795"/>
        </w:trPr>
        <w:tc>
          <w:tcPr>
            <w:tcW w:w="761" w:type="pct"/>
            <w:vAlign w:val="center"/>
            <w:hideMark/>
          </w:tcPr>
          <w:p w:rsidR="00F55F89" w:rsidRPr="00D25DE0" w:rsidRDefault="00F55F89" w:rsidP="002E7834">
            <w:pPr>
              <w:widowControl/>
              <w:jc w:val="center"/>
              <w:textAlignment w:val="center"/>
              <w:rPr>
                <w:rFonts w:ascii="Arial" w:eastAsia="宋体" w:hAnsi="Arial" w:cs="Arial"/>
                <w:kern w:val="0"/>
                <w:sz w:val="24"/>
                <w:szCs w:val="24"/>
              </w:rPr>
            </w:pPr>
            <w:r w:rsidRPr="00D25DE0">
              <w:rPr>
                <w:rFonts w:ascii="Trebuchet MS" w:eastAsia="宋体" w:hAnsi="Trebuchet MS" w:cs="Arial"/>
                <w:color w:val="000000" w:themeColor="dark1"/>
                <w:kern w:val="24"/>
                <w:sz w:val="24"/>
                <w:szCs w:val="24"/>
              </w:rPr>
              <w:t>64</w:t>
            </w:r>
          </w:p>
        </w:tc>
        <w:tc>
          <w:tcPr>
            <w:tcW w:w="834" w:type="pct"/>
            <w:vAlign w:val="center"/>
            <w:hideMark/>
          </w:tcPr>
          <w:p w:rsidR="00F55F89" w:rsidRPr="00D25DE0" w:rsidRDefault="00F55F89" w:rsidP="002E7834">
            <w:pPr>
              <w:widowControl/>
              <w:jc w:val="center"/>
              <w:textAlignment w:val="center"/>
              <w:rPr>
                <w:rFonts w:ascii="Arial" w:eastAsia="宋体" w:hAnsi="Arial" w:cs="Arial"/>
                <w:kern w:val="0"/>
                <w:sz w:val="24"/>
                <w:szCs w:val="24"/>
              </w:rPr>
            </w:pPr>
            <w:r w:rsidRPr="00D25DE0">
              <w:rPr>
                <w:rFonts w:ascii="Trebuchet MS" w:eastAsia="宋体" w:hAnsi="Trebuchet MS" w:cs="Arial"/>
                <w:color w:val="000000" w:themeColor="dark1"/>
                <w:kern w:val="24"/>
                <w:sz w:val="24"/>
                <w:szCs w:val="24"/>
              </w:rPr>
              <w:t>192</w:t>
            </w:r>
          </w:p>
        </w:tc>
        <w:tc>
          <w:tcPr>
            <w:tcW w:w="1055" w:type="pct"/>
            <w:vAlign w:val="center"/>
            <w:hideMark/>
          </w:tcPr>
          <w:p w:rsidR="00F55F89" w:rsidRPr="00D25DE0" w:rsidRDefault="00F55F89" w:rsidP="002E7834">
            <w:pPr>
              <w:widowControl/>
              <w:jc w:val="center"/>
              <w:textAlignment w:val="center"/>
              <w:rPr>
                <w:rFonts w:ascii="Arial" w:eastAsia="宋体" w:hAnsi="Arial" w:cs="Arial"/>
                <w:kern w:val="0"/>
                <w:sz w:val="24"/>
                <w:szCs w:val="24"/>
              </w:rPr>
            </w:pPr>
            <w:r w:rsidRPr="00D25DE0">
              <w:rPr>
                <w:rFonts w:ascii="Trebuchet MS" w:eastAsia="宋体" w:hAnsi="Trebuchet MS" w:cs="Arial"/>
                <w:color w:val="000000" w:themeColor="dark1"/>
                <w:kern w:val="24"/>
                <w:sz w:val="24"/>
                <w:szCs w:val="24"/>
              </w:rPr>
              <w:t>21</w:t>
            </w:r>
          </w:p>
        </w:tc>
        <w:tc>
          <w:tcPr>
            <w:tcW w:w="1003" w:type="pct"/>
            <w:vAlign w:val="center"/>
            <w:hideMark/>
          </w:tcPr>
          <w:p w:rsidR="00F55F89" w:rsidRPr="00D25DE0" w:rsidRDefault="00F55F89" w:rsidP="002E7834">
            <w:pPr>
              <w:widowControl/>
              <w:jc w:val="center"/>
              <w:textAlignment w:val="center"/>
              <w:rPr>
                <w:rFonts w:ascii="Arial" w:eastAsia="宋体" w:hAnsi="Arial" w:cs="Arial"/>
                <w:kern w:val="0"/>
                <w:sz w:val="24"/>
                <w:szCs w:val="24"/>
              </w:rPr>
            </w:pPr>
            <w:r w:rsidRPr="00D25DE0">
              <w:rPr>
                <w:rFonts w:ascii="Trebuchet MS" w:eastAsia="宋体" w:hAnsi="Trebuchet MS" w:cs="Arial"/>
                <w:color w:val="000000" w:themeColor="dark1"/>
                <w:kern w:val="24"/>
                <w:sz w:val="24"/>
                <w:szCs w:val="24"/>
              </w:rPr>
              <w:t>10</w:t>
            </w:r>
          </w:p>
        </w:tc>
        <w:tc>
          <w:tcPr>
            <w:tcW w:w="672" w:type="pct"/>
            <w:vAlign w:val="center"/>
            <w:hideMark/>
          </w:tcPr>
          <w:p w:rsidR="00F55F89" w:rsidRPr="00D25DE0" w:rsidRDefault="00F55F89" w:rsidP="002E7834">
            <w:pPr>
              <w:widowControl/>
              <w:jc w:val="center"/>
              <w:textAlignment w:val="center"/>
              <w:rPr>
                <w:rFonts w:ascii="Arial" w:eastAsia="宋体" w:hAnsi="Arial" w:cs="Arial"/>
                <w:kern w:val="0"/>
                <w:sz w:val="24"/>
                <w:szCs w:val="24"/>
              </w:rPr>
            </w:pPr>
            <w:r w:rsidRPr="00D25DE0">
              <w:rPr>
                <w:rFonts w:ascii="Trebuchet MS" w:eastAsia="宋体" w:hAnsi="Trebuchet MS" w:cs="Arial"/>
                <w:color w:val="000000" w:themeColor="dark1"/>
                <w:kern w:val="24"/>
                <w:sz w:val="24"/>
                <w:szCs w:val="24"/>
              </w:rPr>
              <w:t>0.45%</w:t>
            </w:r>
          </w:p>
        </w:tc>
        <w:tc>
          <w:tcPr>
            <w:tcW w:w="675" w:type="pct"/>
            <w:vAlign w:val="center"/>
            <w:hideMark/>
          </w:tcPr>
          <w:p w:rsidR="00F55F89" w:rsidRPr="00D25DE0" w:rsidRDefault="00F55F89" w:rsidP="002E7834">
            <w:pPr>
              <w:widowControl/>
              <w:jc w:val="center"/>
              <w:textAlignment w:val="center"/>
              <w:rPr>
                <w:rFonts w:ascii="Arial" w:eastAsia="宋体" w:hAnsi="Arial" w:cs="Arial"/>
                <w:kern w:val="0"/>
                <w:sz w:val="24"/>
                <w:szCs w:val="24"/>
              </w:rPr>
            </w:pPr>
            <w:r w:rsidRPr="00D25DE0">
              <w:rPr>
                <w:rFonts w:ascii="Trebuchet MS" w:eastAsia="宋体" w:hAnsi="Trebuchet MS" w:cs="Arial"/>
                <w:color w:val="000000" w:themeColor="dark1"/>
                <w:kern w:val="24"/>
                <w:sz w:val="24"/>
                <w:szCs w:val="24"/>
              </w:rPr>
              <w:t>-0.12%</w:t>
            </w:r>
          </w:p>
        </w:tc>
      </w:tr>
    </w:tbl>
    <w:p w:rsidR="00AC6372" w:rsidRPr="00616904" w:rsidRDefault="00E0492B" w:rsidP="00E0492B">
      <w:pPr>
        <w:pStyle w:val="a3"/>
        <w:numPr>
          <w:ilvl w:val="0"/>
          <w:numId w:val="13"/>
        </w:numPr>
        <w:spacing w:line="360" w:lineRule="auto"/>
        <w:ind w:firstLineChars="0"/>
        <w:rPr>
          <w:rFonts w:hint="eastAsia"/>
          <w:sz w:val="24"/>
        </w:rPr>
      </w:pPr>
      <w:r w:rsidRPr="00616904">
        <w:rPr>
          <w:rFonts w:hint="eastAsia"/>
          <w:sz w:val="24"/>
        </w:rPr>
        <w:t>对可视化技术方面的讨论</w:t>
      </w:r>
    </w:p>
    <w:p w:rsidR="00E0492B" w:rsidRPr="00616904" w:rsidRDefault="00E0492B" w:rsidP="00E0492B">
      <w:pPr>
        <w:pStyle w:val="a3"/>
        <w:spacing w:line="360" w:lineRule="auto"/>
        <w:ind w:left="1620" w:firstLineChars="0" w:firstLine="0"/>
        <w:rPr>
          <w:rFonts w:hint="eastAsia"/>
          <w:sz w:val="24"/>
        </w:rPr>
      </w:pPr>
      <w:r w:rsidRPr="00616904">
        <w:rPr>
          <w:rFonts w:hint="eastAsia"/>
          <w:sz w:val="24"/>
        </w:rPr>
        <w:t>本文使用的可视化图形是折线图，</w:t>
      </w:r>
      <w:r w:rsidRPr="00616904">
        <w:rPr>
          <w:rFonts w:hint="eastAsia"/>
          <w:sz w:val="24"/>
        </w:rPr>
        <w:t>x</w:t>
      </w:r>
      <w:r w:rsidRPr="00616904">
        <w:rPr>
          <w:rFonts w:hint="eastAsia"/>
          <w:sz w:val="24"/>
        </w:rPr>
        <w:t>轴是时间，</w:t>
      </w:r>
      <w:r w:rsidRPr="00616904">
        <w:rPr>
          <w:rFonts w:hint="eastAsia"/>
          <w:sz w:val="24"/>
        </w:rPr>
        <w:t>y</w:t>
      </w:r>
      <w:r w:rsidRPr="00616904">
        <w:rPr>
          <w:rFonts w:hint="eastAsia"/>
          <w:sz w:val="24"/>
        </w:rPr>
        <w:t>轴是数值，即汇率和非农就业人数。之所以选择折线图，是因为对于汇率、股价波动，传统上是选择这样的折线图，早已为大多数人接受和认可。该图可以看出数值随时间的变化。</w:t>
      </w:r>
    </w:p>
    <w:p w:rsidR="00E0492B" w:rsidRDefault="00E0492B" w:rsidP="00E0492B">
      <w:pPr>
        <w:pStyle w:val="a3"/>
        <w:spacing w:line="360" w:lineRule="auto"/>
        <w:ind w:left="1620" w:firstLineChars="0" w:firstLine="0"/>
        <w:rPr>
          <w:rFonts w:hint="eastAsia"/>
          <w:sz w:val="24"/>
        </w:rPr>
      </w:pPr>
      <w:r w:rsidRPr="00616904">
        <w:rPr>
          <w:rFonts w:hint="eastAsia"/>
          <w:sz w:val="24"/>
        </w:rPr>
        <w:t>本工程将汇率曲线图和非农就业图放置在一个图内，原意是期望</w:t>
      </w:r>
      <w:r w:rsidR="00616904" w:rsidRPr="00616904">
        <w:rPr>
          <w:rFonts w:hint="eastAsia"/>
          <w:sz w:val="24"/>
        </w:rPr>
        <w:t>直观地看出两曲线之间的关系，比如相似、相逆或其他。然而，经过直观感受和数据分析，发现这两种数据间并无有规律可</w:t>
      </w:r>
      <w:proofErr w:type="gramStart"/>
      <w:r w:rsidR="00616904" w:rsidRPr="00616904">
        <w:rPr>
          <w:rFonts w:hint="eastAsia"/>
          <w:sz w:val="24"/>
        </w:rPr>
        <w:t>偱</w:t>
      </w:r>
      <w:proofErr w:type="gramEnd"/>
      <w:r w:rsidR="00616904" w:rsidRPr="00616904">
        <w:rPr>
          <w:rFonts w:hint="eastAsia"/>
          <w:sz w:val="24"/>
        </w:rPr>
        <w:t>的某种关系。</w:t>
      </w:r>
    </w:p>
    <w:p w:rsidR="00616904" w:rsidRDefault="00616904" w:rsidP="00616904">
      <w:pPr>
        <w:pStyle w:val="a3"/>
        <w:numPr>
          <w:ilvl w:val="0"/>
          <w:numId w:val="1"/>
        </w:numPr>
        <w:ind w:firstLineChars="0"/>
        <w:jc w:val="left"/>
        <w:rPr>
          <w:rFonts w:hint="eastAsia"/>
          <w:b/>
          <w:sz w:val="32"/>
        </w:rPr>
      </w:pPr>
      <w:r w:rsidRPr="00616904">
        <w:rPr>
          <w:rFonts w:hint="eastAsia"/>
          <w:b/>
          <w:sz w:val="32"/>
        </w:rPr>
        <w:t>工程可精进的地方</w:t>
      </w:r>
    </w:p>
    <w:p w:rsidR="00000000" w:rsidRPr="00037F6A" w:rsidRDefault="00C93D6A" w:rsidP="00037F6A">
      <w:pPr>
        <w:pStyle w:val="a3"/>
        <w:numPr>
          <w:ilvl w:val="0"/>
          <w:numId w:val="19"/>
        </w:numPr>
        <w:spacing w:line="360" w:lineRule="auto"/>
        <w:ind w:firstLineChars="0"/>
        <w:rPr>
          <w:sz w:val="24"/>
        </w:rPr>
      </w:pPr>
      <w:r w:rsidRPr="00037F6A">
        <w:rPr>
          <w:rFonts w:hint="eastAsia"/>
          <w:sz w:val="24"/>
        </w:rPr>
        <w:t>本工程所展示的图形为美元对人民币汇率，但其实展示美元指数可能更好，因为该指数可能更受美国国内</w:t>
      </w:r>
      <w:r w:rsidR="00037F6A">
        <w:rPr>
          <w:rFonts w:hint="eastAsia"/>
          <w:sz w:val="24"/>
        </w:rPr>
        <w:t>经济数据</w:t>
      </w:r>
      <w:r w:rsidRPr="00037F6A">
        <w:rPr>
          <w:rFonts w:hint="eastAsia"/>
          <w:sz w:val="24"/>
        </w:rPr>
        <w:t>的影响。</w:t>
      </w:r>
    </w:p>
    <w:p w:rsidR="00000000" w:rsidRPr="00037F6A" w:rsidRDefault="00C93D6A" w:rsidP="00037F6A">
      <w:pPr>
        <w:pStyle w:val="a3"/>
        <w:numPr>
          <w:ilvl w:val="0"/>
          <w:numId w:val="19"/>
        </w:numPr>
        <w:spacing w:line="360" w:lineRule="auto"/>
        <w:ind w:firstLineChars="0"/>
        <w:rPr>
          <w:sz w:val="24"/>
        </w:rPr>
      </w:pPr>
      <w:r w:rsidRPr="00037F6A">
        <w:rPr>
          <w:rFonts w:hint="eastAsia"/>
          <w:sz w:val="24"/>
        </w:rPr>
        <w:t>在交互方面还可加强，观看者目前不能自由选择均线时间、标准方差倍</w:t>
      </w:r>
      <w:r w:rsidRPr="00037F6A">
        <w:rPr>
          <w:rFonts w:hint="eastAsia"/>
          <w:sz w:val="24"/>
        </w:rPr>
        <w:t>数等参数。</w:t>
      </w:r>
    </w:p>
    <w:p w:rsidR="00000000" w:rsidRPr="00037F6A" w:rsidRDefault="00C93D6A" w:rsidP="00037F6A">
      <w:pPr>
        <w:pStyle w:val="a3"/>
        <w:numPr>
          <w:ilvl w:val="0"/>
          <w:numId w:val="19"/>
        </w:numPr>
        <w:spacing w:line="360" w:lineRule="auto"/>
        <w:ind w:firstLineChars="0"/>
        <w:rPr>
          <w:sz w:val="24"/>
        </w:rPr>
      </w:pPr>
      <w:r w:rsidRPr="00037F6A">
        <w:rPr>
          <w:rFonts w:hint="eastAsia"/>
          <w:sz w:val="24"/>
        </w:rPr>
        <w:t>还可增加更多的影响因素来考察汇率波动</w:t>
      </w:r>
      <w:r w:rsidR="00037F6A">
        <w:rPr>
          <w:rFonts w:hint="eastAsia"/>
          <w:sz w:val="24"/>
        </w:rPr>
        <w:t>，这样可能会发现某些数据对于美元价格的影响。</w:t>
      </w:r>
    </w:p>
    <w:p w:rsidR="00616904" w:rsidRPr="00616904" w:rsidRDefault="00616904" w:rsidP="00616904">
      <w:pPr>
        <w:pStyle w:val="a3"/>
        <w:ind w:left="420" w:firstLineChars="0" w:firstLine="0"/>
        <w:jc w:val="left"/>
        <w:rPr>
          <w:b/>
          <w:sz w:val="32"/>
        </w:rPr>
      </w:pPr>
    </w:p>
    <w:p w:rsidR="00AC6372" w:rsidRPr="002C1B28" w:rsidRDefault="00AC6372" w:rsidP="00AC6372">
      <w:pPr>
        <w:pStyle w:val="a3"/>
        <w:spacing w:line="360" w:lineRule="auto"/>
        <w:ind w:left="1620" w:firstLineChars="0" w:firstLine="0"/>
        <w:jc w:val="left"/>
      </w:pPr>
    </w:p>
    <w:sectPr w:rsidR="00AC6372" w:rsidRPr="002C1B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C34"/>
    <w:multiLevelType w:val="hybridMultilevel"/>
    <w:tmpl w:val="6338E09C"/>
    <w:lvl w:ilvl="0" w:tplc="6532A7E0">
      <w:start w:val="1"/>
      <w:numFmt w:val="bullet"/>
      <w:lvlText w:val=""/>
      <w:lvlJc w:val="left"/>
      <w:pPr>
        <w:tabs>
          <w:tab w:val="num" w:pos="720"/>
        </w:tabs>
        <w:ind w:left="720" w:hanging="360"/>
      </w:pPr>
      <w:rPr>
        <w:rFonts w:ascii="Wingdings 2" w:hAnsi="Wingdings 2" w:hint="default"/>
      </w:rPr>
    </w:lvl>
    <w:lvl w:ilvl="1" w:tplc="ADAAF7BA" w:tentative="1">
      <w:start w:val="1"/>
      <w:numFmt w:val="bullet"/>
      <w:lvlText w:val=""/>
      <w:lvlJc w:val="left"/>
      <w:pPr>
        <w:tabs>
          <w:tab w:val="num" w:pos="1440"/>
        </w:tabs>
        <w:ind w:left="1440" w:hanging="360"/>
      </w:pPr>
      <w:rPr>
        <w:rFonts w:ascii="Wingdings 2" w:hAnsi="Wingdings 2" w:hint="default"/>
      </w:rPr>
    </w:lvl>
    <w:lvl w:ilvl="2" w:tplc="4BAA3B4E" w:tentative="1">
      <w:start w:val="1"/>
      <w:numFmt w:val="bullet"/>
      <w:lvlText w:val=""/>
      <w:lvlJc w:val="left"/>
      <w:pPr>
        <w:tabs>
          <w:tab w:val="num" w:pos="2160"/>
        </w:tabs>
        <w:ind w:left="2160" w:hanging="360"/>
      </w:pPr>
      <w:rPr>
        <w:rFonts w:ascii="Wingdings 2" w:hAnsi="Wingdings 2" w:hint="default"/>
      </w:rPr>
    </w:lvl>
    <w:lvl w:ilvl="3" w:tplc="9C50115C" w:tentative="1">
      <w:start w:val="1"/>
      <w:numFmt w:val="bullet"/>
      <w:lvlText w:val=""/>
      <w:lvlJc w:val="left"/>
      <w:pPr>
        <w:tabs>
          <w:tab w:val="num" w:pos="2880"/>
        </w:tabs>
        <w:ind w:left="2880" w:hanging="360"/>
      </w:pPr>
      <w:rPr>
        <w:rFonts w:ascii="Wingdings 2" w:hAnsi="Wingdings 2" w:hint="default"/>
      </w:rPr>
    </w:lvl>
    <w:lvl w:ilvl="4" w:tplc="499C509A" w:tentative="1">
      <w:start w:val="1"/>
      <w:numFmt w:val="bullet"/>
      <w:lvlText w:val=""/>
      <w:lvlJc w:val="left"/>
      <w:pPr>
        <w:tabs>
          <w:tab w:val="num" w:pos="3600"/>
        </w:tabs>
        <w:ind w:left="3600" w:hanging="360"/>
      </w:pPr>
      <w:rPr>
        <w:rFonts w:ascii="Wingdings 2" w:hAnsi="Wingdings 2" w:hint="default"/>
      </w:rPr>
    </w:lvl>
    <w:lvl w:ilvl="5" w:tplc="7A2EA340" w:tentative="1">
      <w:start w:val="1"/>
      <w:numFmt w:val="bullet"/>
      <w:lvlText w:val=""/>
      <w:lvlJc w:val="left"/>
      <w:pPr>
        <w:tabs>
          <w:tab w:val="num" w:pos="4320"/>
        </w:tabs>
        <w:ind w:left="4320" w:hanging="360"/>
      </w:pPr>
      <w:rPr>
        <w:rFonts w:ascii="Wingdings 2" w:hAnsi="Wingdings 2" w:hint="default"/>
      </w:rPr>
    </w:lvl>
    <w:lvl w:ilvl="6" w:tplc="50A41F96" w:tentative="1">
      <w:start w:val="1"/>
      <w:numFmt w:val="bullet"/>
      <w:lvlText w:val=""/>
      <w:lvlJc w:val="left"/>
      <w:pPr>
        <w:tabs>
          <w:tab w:val="num" w:pos="5040"/>
        </w:tabs>
        <w:ind w:left="5040" w:hanging="360"/>
      </w:pPr>
      <w:rPr>
        <w:rFonts w:ascii="Wingdings 2" w:hAnsi="Wingdings 2" w:hint="default"/>
      </w:rPr>
    </w:lvl>
    <w:lvl w:ilvl="7" w:tplc="45C05E0E" w:tentative="1">
      <w:start w:val="1"/>
      <w:numFmt w:val="bullet"/>
      <w:lvlText w:val=""/>
      <w:lvlJc w:val="left"/>
      <w:pPr>
        <w:tabs>
          <w:tab w:val="num" w:pos="5760"/>
        </w:tabs>
        <w:ind w:left="5760" w:hanging="360"/>
      </w:pPr>
      <w:rPr>
        <w:rFonts w:ascii="Wingdings 2" w:hAnsi="Wingdings 2" w:hint="default"/>
      </w:rPr>
    </w:lvl>
    <w:lvl w:ilvl="8" w:tplc="DC5095E4" w:tentative="1">
      <w:start w:val="1"/>
      <w:numFmt w:val="bullet"/>
      <w:lvlText w:val=""/>
      <w:lvlJc w:val="left"/>
      <w:pPr>
        <w:tabs>
          <w:tab w:val="num" w:pos="6480"/>
        </w:tabs>
        <w:ind w:left="6480" w:hanging="360"/>
      </w:pPr>
      <w:rPr>
        <w:rFonts w:ascii="Wingdings 2" w:hAnsi="Wingdings 2" w:hint="default"/>
      </w:rPr>
    </w:lvl>
  </w:abstractNum>
  <w:abstractNum w:abstractNumId="1">
    <w:nsid w:val="05ED0D88"/>
    <w:multiLevelType w:val="hybridMultilevel"/>
    <w:tmpl w:val="9E0A5742"/>
    <w:lvl w:ilvl="0" w:tplc="13DC1E6A">
      <w:start w:val="1"/>
      <w:numFmt w:val="bullet"/>
      <w:lvlText w:val=""/>
      <w:lvlJc w:val="left"/>
      <w:pPr>
        <w:tabs>
          <w:tab w:val="num" w:pos="720"/>
        </w:tabs>
        <w:ind w:left="720" w:hanging="360"/>
      </w:pPr>
      <w:rPr>
        <w:rFonts w:ascii="Wingdings 2" w:hAnsi="Wingdings 2" w:hint="default"/>
      </w:rPr>
    </w:lvl>
    <w:lvl w:ilvl="1" w:tplc="11E6F054" w:tentative="1">
      <w:start w:val="1"/>
      <w:numFmt w:val="bullet"/>
      <w:lvlText w:val=""/>
      <w:lvlJc w:val="left"/>
      <w:pPr>
        <w:tabs>
          <w:tab w:val="num" w:pos="1440"/>
        </w:tabs>
        <w:ind w:left="1440" w:hanging="360"/>
      </w:pPr>
      <w:rPr>
        <w:rFonts w:ascii="Wingdings 2" w:hAnsi="Wingdings 2" w:hint="default"/>
      </w:rPr>
    </w:lvl>
    <w:lvl w:ilvl="2" w:tplc="4AB433A6" w:tentative="1">
      <w:start w:val="1"/>
      <w:numFmt w:val="bullet"/>
      <w:lvlText w:val=""/>
      <w:lvlJc w:val="left"/>
      <w:pPr>
        <w:tabs>
          <w:tab w:val="num" w:pos="2160"/>
        </w:tabs>
        <w:ind w:left="2160" w:hanging="360"/>
      </w:pPr>
      <w:rPr>
        <w:rFonts w:ascii="Wingdings 2" w:hAnsi="Wingdings 2" w:hint="default"/>
      </w:rPr>
    </w:lvl>
    <w:lvl w:ilvl="3" w:tplc="CEFA050C" w:tentative="1">
      <w:start w:val="1"/>
      <w:numFmt w:val="bullet"/>
      <w:lvlText w:val=""/>
      <w:lvlJc w:val="left"/>
      <w:pPr>
        <w:tabs>
          <w:tab w:val="num" w:pos="2880"/>
        </w:tabs>
        <w:ind w:left="2880" w:hanging="360"/>
      </w:pPr>
      <w:rPr>
        <w:rFonts w:ascii="Wingdings 2" w:hAnsi="Wingdings 2" w:hint="default"/>
      </w:rPr>
    </w:lvl>
    <w:lvl w:ilvl="4" w:tplc="DCB0E02E" w:tentative="1">
      <w:start w:val="1"/>
      <w:numFmt w:val="bullet"/>
      <w:lvlText w:val=""/>
      <w:lvlJc w:val="left"/>
      <w:pPr>
        <w:tabs>
          <w:tab w:val="num" w:pos="3600"/>
        </w:tabs>
        <w:ind w:left="3600" w:hanging="360"/>
      </w:pPr>
      <w:rPr>
        <w:rFonts w:ascii="Wingdings 2" w:hAnsi="Wingdings 2" w:hint="default"/>
      </w:rPr>
    </w:lvl>
    <w:lvl w:ilvl="5" w:tplc="FEBABAEC" w:tentative="1">
      <w:start w:val="1"/>
      <w:numFmt w:val="bullet"/>
      <w:lvlText w:val=""/>
      <w:lvlJc w:val="left"/>
      <w:pPr>
        <w:tabs>
          <w:tab w:val="num" w:pos="4320"/>
        </w:tabs>
        <w:ind w:left="4320" w:hanging="360"/>
      </w:pPr>
      <w:rPr>
        <w:rFonts w:ascii="Wingdings 2" w:hAnsi="Wingdings 2" w:hint="default"/>
      </w:rPr>
    </w:lvl>
    <w:lvl w:ilvl="6" w:tplc="75943062" w:tentative="1">
      <w:start w:val="1"/>
      <w:numFmt w:val="bullet"/>
      <w:lvlText w:val=""/>
      <w:lvlJc w:val="left"/>
      <w:pPr>
        <w:tabs>
          <w:tab w:val="num" w:pos="5040"/>
        </w:tabs>
        <w:ind w:left="5040" w:hanging="360"/>
      </w:pPr>
      <w:rPr>
        <w:rFonts w:ascii="Wingdings 2" w:hAnsi="Wingdings 2" w:hint="default"/>
      </w:rPr>
    </w:lvl>
    <w:lvl w:ilvl="7" w:tplc="89DC2094" w:tentative="1">
      <w:start w:val="1"/>
      <w:numFmt w:val="bullet"/>
      <w:lvlText w:val=""/>
      <w:lvlJc w:val="left"/>
      <w:pPr>
        <w:tabs>
          <w:tab w:val="num" w:pos="5760"/>
        </w:tabs>
        <w:ind w:left="5760" w:hanging="360"/>
      </w:pPr>
      <w:rPr>
        <w:rFonts w:ascii="Wingdings 2" w:hAnsi="Wingdings 2" w:hint="default"/>
      </w:rPr>
    </w:lvl>
    <w:lvl w:ilvl="8" w:tplc="3162E744" w:tentative="1">
      <w:start w:val="1"/>
      <w:numFmt w:val="bullet"/>
      <w:lvlText w:val=""/>
      <w:lvlJc w:val="left"/>
      <w:pPr>
        <w:tabs>
          <w:tab w:val="num" w:pos="6480"/>
        </w:tabs>
        <w:ind w:left="6480" w:hanging="360"/>
      </w:pPr>
      <w:rPr>
        <w:rFonts w:ascii="Wingdings 2" w:hAnsi="Wingdings 2" w:hint="default"/>
      </w:rPr>
    </w:lvl>
  </w:abstractNum>
  <w:abstractNum w:abstractNumId="2">
    <w:nsid w:val="0BDB0B41"/>
    <w:multiLevelType w:val="hybridMultilevel"/>
    <w:tmpl w:val="33FC915A"/>
    <w:lvl w:ilvl="0" w:tplc="04090011">
      <w:start w:val="1"/>
      <w:numFmt w:val="decimal"/>
      <w:lvlText w:val="%1)"/>
      <w:lvlJc w:val="left"/>
      <w:pPr>
        <w:ind w:left="1320" w:hanging="420"/>
      </w:pPr>
    </w:lvl>
    <w:lvl w:ilvl="1" w:tplc="04090011">
      <w:start w:val="1"/>
      <w:numFmt w:val="decimal"/>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
    <w:nsid w:val="235538F4"/>
    <w:multiLevelType w:val="hybridMultilevel"/>
    <w:tmpl w:val="1316A4E8"/>
    <w:lvl w:ilvl="0" w:tplc="01F8C7E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792363E"/>
    <w:multiLevelType w:val="hybridMultilevel"/>
    <w:tmpl w:val="F9D4BD4E"/>
    <w:lvl w:ilvl="0" w:tplc="BEB470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B66236B"/>
    <w:multiLevelType w:val="hybridMultilevel"/>
    <w:tmpl w:val="09CC36B6"/>
    <w:lvl w:ilvl="0" w:tplc="679685DC">
      <w:start w:val="1"/>
      <w:numFmt w:val="bullet"/>
      <w:lvlText w:val=""/>
      <w:lvlJc w:val="left"/>
      <w:pPr>
        <w:tabs>
          <w:tab w:val="num" w:pos="720"/>
        </w:tabs>
        <w:ind w:left="720" w:hanging="360"/>
      </w:pPr>
      <w:rPr>
        <w:rFonts w:ascii="Wingdings 2" w:hAnsi="Wingdings 2" w:hint="default"/>
      </w:rPr>
    </w:lvl>
    <w:lvl w:ilvl="1" w:tplc="E3F49270" w:tentative="1">
      <w:start w:val="1"/>
      <w:numFmt w:val="bullet"/>
      <w:lvlText w:val=""/>
      <w:lvlJc w:val="left"/>
      <w:pPr>
        <w:tabs>
          <w:tab w:val="num" w:pos="1440"/>
        </w:tabs>
        <w:ind w:left="1440" w:hanging="360"/>
      </w:pPr>
      <w:rPr>
        <w:rFonts w:ascii="Wingdings 2" w:hAnsi="Wingdings 2" w:hint="default"/>
      </w:rPr>
    </w:lvl>
    <w:lvl w:ilvl="2" w:tplc="5198B3F8" w:tentative="1">
      <w:start w:val="1"/>
      <w:numFmt w:val="bullet"/>
      <w:lvlText w:val=""/>
      <w:lvlJc w:val="left"/>
      <w:pPr>
        <w:tabs>
          <w:tab w:val="num" w:pos="2160"/>
        </w:tabs>
        <w:ind w:left="2160" w:hanging="360"/>
      </w:pPr>
      <w:rPr>
        <w:rFonts w:ascii="Wingdings 2" w:hAnsi="Wingdings 2" w:hint="default"/>
      </w:rPr>
    </w:lvl>
    <w:lvl w:ilvl="3" w:tplc="D3085188" w:tentative="1">
      <w:start w:val="1"/>
      <w:numFmt w:val="bullet"/>
      <w:lvlText w:val=""/>
      <w:lvlJc w:val="left"/>
      <w:pPr>
        <w:tabs>
          <w:tab w:val="num" w:pos="2880"/>
        </w:tabs>
        <w:ind w:left="2880" w:hanging="360"/>
      </w:pPr>
      <w:rPr>
        <w:rFonts w:ascii="Wingdings 2" w:hAnsi="Wingdings 2" w:hint="default"/>
      </w:rPr>
    </w:lvl>
    <w:lvl w:ilvl="4" w:tplc="4F583658" w:tentative="1">
      <w:start w:val="1"/>
      <w:numFmt w:val="bullet"/>
      <w:lvlText w:val=""/>
      <w:lvlJc w:val="left"/>
      <w:pPr>
        <w:tabs>
          <w:tab w:val="num" w:pos="3600"/>
        </w:tabs>
        <w:ind w:left="3600" w:hanging="360"/>
      </w:pPr>
      <w:rPr>
        <w:rFonts w:ascii="Wingdings 2" w:hAnsi="Wingdings 2" w:hint="default"/>
      </w:rPr>
    </w:lvl>
    <w:lvl w:ilvl="5" w:tplc="5BECC5E6" w:tentative="1">
      <w:start w:val="1"/>
      <w:numFmt w:val="bullet"/>
      <w:lvlText w:val=""/>
      <w:lvlJc w:val="left"/>
      <w:pPr>
        <w:tabs>
          <w:tab w:val="num" w:pos="4320"/>
        </w:tabs>
        <w:ind w:left="4320" w:hanging="360"/>
      </w:pPr>
      <w:rPr>
        <w:rFonts w:ascii="Wingdings 2" w:hAnsi="Wingdings 2" w:hint="default"/>
      </w:rPr>
    </w:lvl>
    <w:lvl w:ilvl="6" w:tplc="9F10AFA0" w:tentative="1">
      <w:start w:val="1"/>
      <w:numFmt w:val="bullet"/>
      <w:lvlText w:val=""/>
      <w:lvlJc w:val="left"/>
      <w:pPr>
        <w:tabs>
          <w:tab w:val="num" w:pos="5040"/>
        </w:tabs>
        <w:ind w:left="5040" w:hanging="360"/>
      </w:pPr>
      <w:rPr>
        <w:rFonts w:ascii="Wingdings 2" w:hAnsi="Wingdings 2" w:hint="default"/>
      </w:rPr>
    </w:lvl>
    <w:lvl w:ilvl="7" w:tplc="11180D5A" w:tentative="1">
      <w:start w:val="1"/>
      <w:numFmt w:val="bullet"/>
      <w:lvlText w:val=""/>
      <w:lvlJc w:val="left"/>
      <w:pPr>
        <w:tabs>
          <w:tab w:val="num" w:pos="5760"/>
        </w:tabs>
        <w:ind w:left="5760" w:hanging="360"/>
      </w:pPr>
      <w:rPr>
        <w:rFonts w:ascii="Wingdings 2" w:hAnsi="Wingdings 2" w:hint="default"/>
      </w:rPr>
    </w:lvl>
    <w:lvl w:ilvl="8" w:tplc="B672C3A8" w:tentative="1">
      <w:start w:val="1"/>
      <w:numFmt w:val="bullet"/>
      <w:lvlText w:val=""/>
      <w:lvlJc w:val="left"/>
      <w:pPr>
        <w:tabs>
          <w:tab w:val="num" w:pos="6480"/>
        </w:tabs>
        <w:ind w:left="6480" w:hanging="360"/>
      </w:pPr>
      <w:rPr>
        <w:rFonts w:ascii="Wingdings 2" w:hAnsi="Wingdings 2" w:hint="default"/>
      </w:rPr>
    </w:lvl>
  </w:abstractNum>
  <w:abstractNum w:abstractNumId="6">
    <w:nsid w:val="373A5838"/>
    <w:multiLevelType w:val="hybridMultilevel"/>
    <w:tmpl w:val="32CE70E6"/>
    <w:lvl w:ilvl="0" w:tplc="9EC21A9C">
      <w:start w:val="1"/>
      <w:numFmt w:val="bullet"/>
      <w:lvlText w:val=""/>
      <w:lvlJc w:val="left"/>
      <w:pPr>
        <w:tabs>
          <w:tab w:val="num" w:pos="720"/>
        </w:tabs>
        <w:ind w:left="720" w:hanging="360"/>
      </w:pPr>
      <w:rPr>
        <w:rFonts w:ascii="Wingdings 2" w:hAnsi="Wingdings 2" w:hint="default"/>
      </w:rPr>
    </w:lvl>
    <w:lvl w:ilvl="1" w:tplc="5C4AD944" w:tentative="1">
      <w:start w:val="1"/>
      <w:numFmt w:val="bullet"/>
      <w:lvlText w:val=""/>
      <w:lvlJc w:val="left"/>
      <w:pPr>
        <w:tabs>
          <w:tab w:val="num" w:pos="1440"/>
        </w:tabs>
        <w:ind w:left="1440" w:hanging="360"/>
      </w:pPr>
      <w:rPr>
        <w:rFonts w:ascii="Wingdings 2" w:hAnsi="Wingdings 2" w:hint="default"/>
      </w:rPr>
    </w:lvl>
    <w:lvl w:ilvl="2" w:tplc="A508A196" w:tentative="1">
      <w:start w:val="1"/>
      <w:numFmt w:val="bullet"/>
      <w:lvlText w:val=""/>
      <w:lvlJc w:val="left"/>
      <w:pPr>
        <w:tabs>
          <w:tab w:val="num" w:pos="2160"/>
        </w:tabs>
        <w:ind w:left="2160" w:hanging="360"/>
      </w:pPr>
      <w:rPr>
        <w:rFonts w:ascii="Wingdings 2" w:hAnsi="Wingdings 2" w:hint="default"/>
      </w:rPr>
    </w:lvl>
    <w:lvl w:ilvl="3" w:tplc="630A0078" w:tentative="1">
      <w:start w:val="1"/>
      <w:numFmt w:val="bullet"/>
      <w:lvlText w:val=""/>
      <w:lvlJc w:val="left"/>
      <w:pPr>
        <w:tabs>
          <w:tab w:val="num" w:pos="2880"/>
        </w:tabs>
        <w:ind w:left="2880" w:hanging="360"/>
      </w:pPr>
      <w:rPr>
        <w:rFonts w:ascii="Wingdings 2" w:hAnsi="Wingdings 2" w:hint="default"/>
      </w:rPr>
    </w:lvl>
    <w:lvl w:ilvl="4" w:tplc="37169218" w:tentative="1">
      <w:start w:val="1"/>
      <w:numFmt w:val="bullet"/>
      <w:lvlText w:val=""/>
      <w:lvlJc w:val="left"/>
      <w:pPr>
        <w:tabs>
          <w:tab w:val="num" w:pos="3600"/>
        </w:tabs>
        <w:ind w:left="3600" w:hanging="360"/>
      </w:pPr>
      <w:rPr>
        <w:rFonts w:ascii="Wingdings 2" w:hAnsi="Wingdings 2" w:hint="default"/>
      </w:rPr>
    </w:lvl>
    <w:lvl w:ilvl="5" w:tplc="186411D4" w:tentative="1">
      <w:start w:val="1"/>
      <w:numFmt w:val="bullet"/>
      <w:lvlText w:val=""/>
      <w:lvlJc w:val="left"/>
      <w:pPr>
        <w:tabs>
          <w:tab w:val="num" w:pos="4320"/>
        </w:tabs>
        <w:ind w:left="4320" w:hanging="360"/>
      </w:pPr>
      <w:rPr>
        <w:rFonts w:ascii="Wingdings 2" w:hAnsi="Wingdings 2" w:hint="default"/>
      </w:rPr>
    </w:lvl>
    <w:lvl w:ilvl="6" w:tplc="5C1AC100" w:tentative="1">
      <w:start w:val="1"/>
      <w:numFmt w:val="bullet"/>
      <w:lvlText w:val=""/>
      <w:lvlJc w:val="left"/>
      <w:pPr>
        <w:tabs>
          <w:tab w:val="num" w:pos="5040"/>
        </w:tabs>
        <w:ind w:left="5040" w:hanging="360"/>
      </w:pPr>
      <w:rPr>
        <w:rFonts w:ascii="Wingdings 2" w:hAnsi="Wingdings 2" w:hint="default"/>
      </w:rPr>
    </w:lvl>
    <w:lvl w:ilvl="7" w:tplc="D368C020" w:tentative="1">
      <w:start w:val="1"/>
      <w:numFmt w:val="bullet"/>
      <w:lvlText w:val=""/>
      <w:lvlJc w:val="left"/>
      <w:pPr>
        <w:tabs>
          <w:tab w:val="num" w:pos="5760"/>
        </w:tabs>
        <w:ind w:left="5760" w:hanging="360"/>
      </w:pPr>
      <w:rPr>
        <w:rFonts w:ascii="Wingdings 2" w:hAnsi="Wingdings 2" w:hint="default"/>
      </w:rPr>
    </w:lvl>
    <w:lvl w:ilvl="8" w:tplc="46603DB0" w:tentative="1">
      <w:start w:val="1"/>
      <w:numFmt w:val="bullet"/>
      <w:lvlText w:val=""/>
      <w:lvlJc w:val="left"/>
      <w:pPr>
        <w:tabs>
          <w:tab w:val="num" w:pos="6480"/>
        </w:tabs>
        <w:ind w:left="6480" w:hanging="360"/>
      </w:pPr>
      <w:rPr>
        <w:rFonts w:ascii="Wingdings 2" w:hAnsi="Wingdings 2" w:hint="default"/>
      </w:rPr>
    </w:lvl>
  </w:abstractNum>
  <w:abstractNum w:abstractNumId="7">
    <w:nsid w:val="394D01C9"/>
    <w:multiLevelType w:val="hybridMultilevel"/>
    <w:tmpl w:val="43A46B4E"/>
    <w:lvl w:ilvl="0" w:tplc="2E88A44A">
      <w:start w:val="1"/>
      <w:numFmt w:val="bullet"/>
      <w:lvlText w:val=""/>
      <w:lvlJc w:val="left"/>
      <w:pPr>
        <w:tabs>
          <w:tab w:val="num" w:pos="720"/>
        </w:tabs>
        <w:ind w:left="720" w:hanging="360"/>
      </w:pPr>
      <w:rPr>
        <w:rFonts w:ascii="Wingdings 2" w:hAnsi="Wingdings 2" w:hint="default"/>
      </w:rPr>
    </w:lvl>
    <w:lvl w:ilvl="1" w:tplc="466021E8" w:tentative="1">
      <w:start w:val="1"/>
      <w:numFmt w:val="bullet"/>
      <w:lvlText w:val=""/>
      <w:lvlJc w:val="left"/>
      <w:pPr>
        <w:tabs>
          <w:tab w:val="num" w:pos="1440"/>
        </w:tabs>
        <w:ind w:left="1440" w:hanging="360"/>
      </w:pPr>
      <w:rPr>
        <w:rFonts w:ascii="Wingdings 2" w:hAnsi="Wingdings 2" w:hint="default"/>
      </w:rPr>
    </w:lvl>
    <w:lvl w:ilvl="2" w:tplc="20CC7F40" w:tentative="1">
      <w:start w:val="1"/>
      <w:numFmt w:val="bullet"/>
      <w:lvlText w:val=""/>
      <w:lvlJc w:val="left"/>
      <w:pPr>
        <w:tabs>
          <w:tab w:val="num" w:pos="2160"/>
        </w:tabs>
        <w:ind w:left="2160" w:hanging="360"/>
      </w:pPr>
      <w:rPr>
        <w:rFonts w:ascii="Wingdings 2" w:hAnsi="Wingdings 2" w:hint="default"/>
      </w:rPr>
    </w:lvl>
    <w:lvl w:ilvl="3" w:tplc="310C21B8" w:tentative="1">
      <w:start w:val="1"/>
      <w:numFmt w:val="bullet"/>
      <w:lvlText w:val=""/>
      <w:lvlJc w:val="left"/>
      <w:pPr>
        <w:tabs>
          <w:tab w:val="num" w:pos="2880"/>
        </w:tabs>
        <w:ind w:left="2880" w:hanging="360"/>
      </w:pPr>
      <w:rPr>
        <w:rFonts w:ascii="Wingdings 2" w:hAnsi="Wingdings 2" w:hint="default"/>
      </w:rPr>
    </w:lvl>
    <w:lvl w:ilvl="4" w:tplc="02F2760E" w:tentative="1">
      <w:start w:val="1"/>
      <w:numFmt w:val="bullet"/>
      <w:lvlText w:val=""/>
      <w:lvlJc w:val="left"/>
      <w:pPr>
        <w:tabs>
          <w:tab w:val="num" w:pos="3600"/>
        </w:tabs>
        <w:ind w:left="3600" w:hanging="360"/>
      </w:pPr>
      <w:rPr>
        <w:rFonts w:ascii="Wingdings 2" w:hAnsi="Wingdings 2" w:hint="default"/>
      </w:rPr>
    </w:lvl>
    <w:lvl w:ilvl="5" w:tplc="915CF140" w:tentative="1">
      <w:start w:val="1"/>
      <w:numFmt w:val="bullet"/>
      <w:lvlText w:val=""/>
      <w:lvlJc w:val="left"/>
      <w:pPr>
        <w:tabs>
          <w:tab w:val="num" w:pos="4320"/>
        </w:tabs>
        <w:ind w:left="4320" w:hanging="360"/>
      </w:pPr>
      <w:rPr>
        <w:rFonts w:ascii="Wingdings 2" w:hAnsi="Wingdings 2" w:hint="default"/>
      </w:rPr>
    </w:lvl>
    <w:lvl w:ilvl="6" w:tplc="EC122B32" w:tentative="1">
      <w:start w:val="1"/>
      <w:numFmt w:val="bullet"/>
      <w:lvlText w:val=""/>
      <w:lvlJc w:val="left"/>
      <w:pPr>
        <w:tabs>
          <w:tab w:val="num" w:pos="5040"/>
        </w:tabs>
        <w:ind w:left="5040" w:hanging="360"/>
      </w:pPr>
      <w:rPr>
        <w:rFonts w:ascii="Wingdings 2" w:hAnsi="Wingdings 2" w:hint="default"/>
      </w:rPr>
    </w:lvl>
    <w:lvl w:ilvl="7" w:tplc="9BDCC30A" w:tentative="1">
      <w:start w:val="1"/>
      <w:numFmt w:val="bullet"/>
      <w:lvlText w:val=""/>
      <w:lvlJc w:val="left"/>
      <w:pPr>
        <w:tabs>
          <w:tab w:val="num" w:pos="5760"/>
        </w:tabs>
        <w:ind w:left="5760" w:hanging="360"/>
      </w:pPr>
      <w:rPr>
        <w:rFonts w:ascii="Wingdings 2" w:hAnsi="Wingdings 2" w:hint="default"/>
      </w:rPr>
    </w:lvl>
    <w:lvl w:ilvl="8" w:tplc="F378034C" w:tentative="1">
      <w:start w:val="1"/>
      <w:numFmt w:val="bullet"/>
      <w:lvlText w:val=""/>
      <w:lvlJc w:val="left"/>
      <w:pPr>
        <w:tabs>
          <w:tab w:val="num" w:pos="6480"/>
        </w:tabs>
        <w:ind w:left="6480" w:hanging="360"/>
      </w:pPr>
      <w:rPr>
        <w:rFonts w:ascii="Wingdings 2" w:hAnsi="Wingdings 2" w:hint="default"/>
      </w:rPr>
    </w:lvl>
  </w:abstractNum>
  <w:abstractNum w:abstractNumId="8">
    <w:nsid w:val="3DA81CE8"/>
    <w:multiLevelType w:val="hybridMultilevel"/>
    <w:tmpl w:val="8B88684E"/>
    <w:lvl w:ilvl="0" w:tplc="F336EE3E">
      <w:start w:val="1"/>
      <w:numFmt w:val="decimal"/>
      <w:lvlText w:val="%1."/>
      <w:lvlJc w:val="left"/>
      <w:pPr>
        <w:ind w:left="780" w:hanging="360"/>
      </w:pPr>
      <w:rPr>
        <w:rFonts w:hint="default"/>
      </w:rPr>
    </w:lvl>
    <w:lvl w:ilvl="1" w:tplc="C24C7282">
      <w:start w:val="1"/>
      <w:numFmt w:val="decimal"/>
      <w:lvlText w:val="%2."/>
      <w:lvlJc w:val="left"/>
      <w:pPr>
        <w:ind w:left="1620" w:hanging="780"/>
      </w:pPr>
      <w:rPr>
        <w:rFonts w:hint="default"/>
      </w:rPr>
    </w:lvl>
    <w:lvl w:ilvl="2" w:tplc="DBB40EF0">
      <w:start w:val="1"/>
      <w:numFmt w:val="decimal"/>
      <w:lvlText w:val="%3."/>
      <w:lvlJc w:val="left"/>
      <w:pPr>
        <w:ind w:left="1620" w:hanging="360"/>
      </w:pPr>
      <w:rPr>
        <w:rFonts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E3D677C"/>
    <w:multiLevelType w:val="hybridMultilevel"/>
    <w:tmpl w:val="B59210E0"/>
    <w:lvl w:ilvl="0" w:tplc="CDDCE730">
      <w:start w:val="1"/>
      <w:numFmt w:val="bullet"/>
      <w:lvlText w:val=""/>
      <w:lvlJc w:val="left"/>
      <w:pPr>
        <w:tabs>
          <w:tab w:val="num" w:pos="720"/>
        </w:tabs>
        <w:ind w:left="720" w:hanging="360"/>
      </w:pPr>
      <w:rPr>
        <w:rFonts w:ascii="Wingdings 2" w:hAnsi="Wingdings 2" w:hint="default"/>
      </w:rPr>
    </w:lvl>
    <w:lvl w:ilvl="1" w:tplc="B3A8C676" w:tentative="1">
      <w:start w:val="1"/>
      <w:numFmt w:val="bullet"/>
      <w:lvlText w:val=""/>
      <w:lvlJc w:val="left"/>
      <w:pPr>
        <w:tabs>
          <w:tab w:val="num" w:pos="1440"/>
        </w:tabs>
        <w:ind w:left="1440" w:hanging="360"/>
      </w:pPr>
      <w:rPr>
        <w:rFonts w:ascii="Wingdings 2" w:hAnsi="Wingdings 2" w:hint="default"/>
      </w:rPr>
    </w:lvl>
    <w:lvl w:ilvl="2" w:tplc="2E223DF2" w:tentative="1">
      <w:start w:val="1"/>
      <w:numFmt w:val="bullet"/>
      <w:lvlText w:val=""/>
      <w:lvlJc w:val="left"/>
      <w:pPr>
        <w:tabs>
          <w:tab w:val="num" w:pos="2160"/>
        </w:tabs>
        <w:ind w:left="2160" w:hanging="360"/>
      </w:pPr>
      <w:rPr>
        <w:rFonts w:ascii="Wingdings 2" w:hAnsi="Wingdings 2" w:hint="default"/>
      </w:rPr>
    </w:lvl>
    <w:lvl w:ilvl="3" w:tplc="BA6C5636" w:tentative="1">
      <w:start w:val="1"/>
      <w:numFmt w:val="bullet"/>
      <w:lvlText w:val=""/>
      <w:lvlJc w:val="left"/>
      <w:pPr>
        <w:tabs>
          <w:tab w:val="num" w:pos="2880"/>
        </w:tabs>
        <w:ind w:left="2880" w:hanging="360"/>
      </w:pPr>
      <w:rPr>
        <w:rFonts w:ascii="Wingdings 2" w:hAnsi="Wingdings 2" w:hint="default"/>
      </w:rPr>
    </w:lvl>
    <w:lvl w:ilvl="4" w:tplc="C6E84BAC" w:tentative="1">
      <w:start w:val="1"/>
      <w:numFmt w:val="bullet"/>
      <w:lvlText w:val=""/>
      <w:lvlJc w:val="left"/>
      <w:pPr>
        <w:tabs>
          <w:tab w:val="num" w:pos="3600"/>
        </w:tabs>
        <w:ind w:left="3600" w:hanging="360"/>
      </w:pPr>
      <w:rPr>
        <w:rFonts w:ascii="Wingdings 2" w:hAnsi="Wingdings 2" w:hint="default"/>
      </w:rPr>
    </w:lvl>
    <w:lvl w:ilvl="5" w:tplc="577EDDE0" w:tentative="1">
      <w:start w:val="1"/>
      <w:numFmt w:val="bullet"/>
      <w:lvlText w:val=""/>
      <w:lvlJc w:val="left"/>
      <w:pPr>
        <w:tabs>
          <w:tab w:val="num" w:pos="4320"/>
        </w:tabs>
        <w:ind w:left="4320" w:hanging="360"/>
      </w:pPr>
      <w:rPr>
        <w:rFonts w:ascii="Wingdings 2" w:hAnsi="Wingdings 2" w:hint="default"/>
      </w:rPr>
    </w:lvl>
    <w:lvl w:ilvl="6" w:tplc="718A1B84" w:tentative="1">
      <w:start w:val="1"/>
      <w:numFmt w:val="bullet"/>
      <w:lvlText w:val=""/>
      <w:lvlJc w:val="left"/>
      <w:pPr>
        <w:tabs>
          <w:tab w:val="num" w:pos="5040"/>
        </w:tabs>
        <w:ind w:left="5040" w:hanging="360"/>
      </w:pPr>
      <w:rPr>
        <w:rFonts w:ascii="Wingdings 2" w:hAnsi="Wingdings 2" w:hint="default"/>
      </w:rPr>
    </w:lvl>
    <w:lvl w:ilvl="7" w:tplc="F502ED7C" w:tentative="1">
      <w:start w:val="1"/>
      <w:numFmt w:val="bullet"/>
      <w:lvlText w:val=""/>
      <w:lvlJc w:val="left"/>
      <w:pPr>
        <w:tabs>
          <w:tab w:val="num" w:pos="5760"/>
        </w:tabs>
        <w:ind w:left="5760" w:hanging="360"/>
      </w:pPr>
      <w:rPr>
        <w:rFonts w:ascii="Wingdings 2" w:hAnsi="Wingdings 2" w:hint="default"/>
      </w:rPr>
    </w:lvl>
    <w:lvl w:ilvl="8" w:tplc="73AE387C" w:tentative="1">
      <w:start w:val="1"/>
      <w:numFmt w:val="bullet"/>
      <w:lvlText w:val=""/>
      <w:lvlJc w:val="left"/>
      <w:pPr>
        <w:tabs>
          <w:tab w:val="num" w:pos="6480"/>
        </w:tabs>
        <w:ind w:left="6480" w:hanging="360"/>
      </w:pPr>
      <w:rPr>
        <w:rFonts w:ascii="Wingdings 2" w:hAnsi="Wingdings 2" w:hint="default"/>
      </w:rPr>
    </w:lvl>
  </w:abstractNum>
  <w:abstractNum w:abstractNumId="10">
    <w:nsid w:val="419E0C0A"/>
    <w:multiLevelType w:val="hybridMultilevel"/>
    <w:tmpl w:val="1DD846F6"/>
    <w:lvl w:ilvl="0" w:tplc="D83622CC">
      <w:start w:val="1"/>
      <w:numFmt w:val="decimal"/>
      <w:lvlText w:val="%1."/>
      <w:lvlJc w:val="left"/>
      <w:pPr>
        <w:tabs>
          <w:tab w:val="num" w:pos="720"/>
        </w:tabs>
        <w:ind w:left="720" w:hanging="360"/>
      </w:pPr>
    </w:lvl>
    <w:lvl w:ilvl="1" w:tplc="5F0AA128" w:tentative="1">
      <w:start w:val="1"/>
      <w:numFmt w:val="decimal"/>
      <w:lvlText w:val="%2."/>
      <w:lvlJc w:val="left"/>
      <w:pPr>
        <w:tabs>
          <w:tab w:val="num" w:pos="1440"/>
        </w:tabs>
        <w:ind w:left="1440" w:hanging="360"/>
      </w:pPr>
    </w:lvl>
    <w:lvl w:ilvl="2" w:tplc="1E202C4C" w:tentative="1">
      <w:start w:val="1"/>
      <w:numFmt w:val="decimal"/>
      <w:lvlText w:val="%3."/>
      <w:lvlJc w:val="left"/>
      <w:pPr>
        <w:tabs>
          <w:tab w:val="num" w:pos="2160"/>
        </w:tabs>
        <w:ind w:left="2160" w:hanging="360"/>
      </w:pPr>
    </w:lvl>
    <w:lvl w:ilvl="3" w:tplc="C95C78C0" w:tentative="1">
      <w:start w:val="1"/>
      <w:numFmt w:val="decimal"/>
      <w:lvlText w:val="%4."/>
      <w:lvlJc w:val="left"/>
      <w:pPr>
        <w:tabs>
          <w:tab w:val="num" w:pos="2880"/>
        </w:tabs>
        <w:ind w:left="2880" w:hanging="360"/>
      </w:pPr>
    </w:lvl>
    <w:lvl w:ilvl="4" w:tplc="C906A092" w:tentative="1">
      <w:start w:val="1"/>
      <w:numFmt w:val="decimal"/>
      <w:lvlText w:val="%5."/>
      <w:lvlJc w:val="left"/>
      <w:pPr>
        <w:tabs>
          <w:tab w:val="num" w:pos="3600"/>
        </w:tabs>
        <w:ind w:left="3600" w:hanging="360"/>
      </w:pPr>
    </w:lvl>
    <w:lvl w:ilvl="5" w:tplc="B3D2F218" w:tentative="1">
      <w:start w:val="1"/>
      <w:numFmt w:val="decimal"/>
      <w:lvlText w:val="%6."/>
      <w:lvlJc w:val="left"/>
      <w:pPr>
        <w:tabs>
          <w:tab w:val="num" w:pos="4320"/>
        </w:tabs>
        <w:ind w:left="4320" w:hanging="360"/>
      </w:pPr>
    </w:lvl>
    <w:lvl w:ilvl="6" w:tplc="45D2FF3C" w:tentative="1">
      <w:start w:val="1"/>
      <w:numFmt w:val="decimal"/>
      <w:lvlText w:val="%7."/>
      <w:lvlJc w:val="left"/>
      <w:pPr>
        <w:tabs>
          <w:tab w:val="num" w:pos="5040"/>
        </w:tabs>
        <w:ind w:left="5040" w:hanging="360"/>
      </w:pPr>
    </w:lvl>
    <w:lvl w:ilvl="7" w:tplc="69B0DFA0" w:tentative="1">
      <w:start w:val="1"/>
      <w:numFmt w:val="decimal"/>
      <w:lvlText w:val="%8."/>
      <w:lvlJc w:val="left"/>
      <w:pPr>
        <w:tabs>
          <w:tab w:val="num" w:pos="5760"/>
        </w:tabs>
        <w:ind w:left="5760" w:hanging="360"/>
      </w:pPr>
    </w:lvl>
    <w:lvl w:ilvl="8" w:tplc="B4C6C1BA" w:tentative="1">
      <w:start w:val="1"/>
      <w:numFmt w:val="decimal"/>
      <w:lvlText w:val="%9."/>
      <w:lvlJc w:val="left"/>
      <w:pPr>
        <w:tabs>
          <w:tab w:val="num" w:pos="6480"/>
        </w:tabs>
        <w:ind w:left="6480" w:hanging="360"/>
      </w:pPr>
    </w:lvl>
  </w:abstractNum>
  <w:abstractNum w:abstractNumId="11">
    <w:nsid w:val="493B2253"/>
    <w:multiLevelType w:val="hybridMultilevel"/>
    <w:tmpl w:val="0AAA8F5C"/>
    <w:lvl w:ilvl="0" w:tplc="25C2F6F4">
      <w:start w:val="1"/>
      <w:numFmt w:val="bullet"/>
      <w:lvlText w:val=""/>
      <w:lvlJc w:val="left"/>
      <w:pPr>
        <w:tabs>
          <w:tab w:val="num" w:pos="720"/>
        </w:tabs>
        <w:ind w:left="720" w:hanging="360"/>
      </w:pPr>
      <w:rPr>
        <w:rFonts w:ascii="Wingdings 2" w:hAnsi="Wingdings 2" w:hint="default"/>
      </w:rPr>
    </w:lvl>
    <w:lvl w:ilvl="1" w:tplc="A3B03D44" w:tentative="1">
      <w:start w:val="1"/>
      <w:numFmt w:val="bullet"/>
      <w:lvlText w:val=""/>
      <w:lvlJc w:val="left"/>
      <w:pPr>
        <w:tabs>
          <w:tab w:val="num" w:pos="1440"/>
        </w:tabs>
        <w:ind w:left="1440" w:hanging="360"/>
      </w:pPr>
      <w:rPr>
        <w:rFonts w:ascii="Wingdings 2" w:hAnsi="Wingdings 2" w:hint="default"/>
      </w:rPr>
    </w:lvl>
    <w:lvl w:ilvl="2" w:tplc="C0F2A066" w:tentative="1">
      <w:start w:val="1"/>
      <w:numFmt w:val="bullet"/>
      <w:lvlText w:val=""/>
      <w:lvlJc w:val="left"/>
      <w:pPr>
        <w:tabs>
          <w:tab w:val="num" w:pos="2160"/>
        </w:tabs>
        <w:ind w:left="2160" w:hanging="360"/>
      </w:pPr>
      <w:rPr>
        <w:rFonts w:ascii="Wingdings 2" w:hAnsi="Wingdings 2" w:hint="default"/>
      </w:rPr>
    </w:lvl>
    <w:lvl w:ilvl="3" w:tplc="F938A298" w:tentative="1">
      <w:start w:val="1"/>
      <w:numFmt w:val="bullet"/>
      <w:lvlText w:val=""/>
      <w:lvlJc w:val="left"/>
      <w:pPr>
        <w:tabs>
          <w:tab w:val="num" w:pos="2880"/>
        </w:tabs>
        <w:ind w:left="2880" w:hanging="360"/>
      </w:pPr>
      <w:rPr>
        <w:rFonts w:ascii="Wingdings 2" w:hAnsi="Wingdings 2" w:hint="default"/>
      </w:rPr>
    </w:lvl>
    <w:lvl w:ilvl="4" w:tplc="2FD2FAF6" w:tentative="1">
      <w:start w:val="1"/>
      <w:numFmt w:val="bullet"/>
      <w:lvlText w:val=""/>
      <w:lvlJc w:val="left"/>
      <w:pPr>
        <w:tabs>
          <w:tab w:val="num" w:pos="3600"/>
        </w:tabs>
        <w:ind w:left="3600" w:hanging="360"/>
      </w:pPr>
      <w:rPr>
        <w:rFonts w:ascii="Wingdings 2" w:hAnsi="Wingdings 2" w:hint="default"/>
      </w:rPr>
    </w:lvl>
    <w:lvl w:ilvl="5" w:tplc="31A269CA" w:tentative="1">
      <w:start w:val="1"/>
      <w:numFmt w:val="bullet"/>
      <w:lvlText w:val=""/>
      <w:lvlJc w:val="left"/>
      <w:pPr>
        <w:tabs>
          <w:tab w:val="num" w:pos="4320"/>
        </w:tabs>
        <w:ind w:left="4320" w:hanging="360"/>
      </w:pPr>
      <w:rPr>
        <w:rFonts w:ascii="Wingdings 2" w:hAnsi="Wingdings 2" w:hint="default"/>
      </w:rPr>
    </w:lvl>
    <w:lvl w:ilvl="6" w:tplc="D3C6D7E6" w:tentative="1">
      <w:start w:val="1"/>
      <w:numFmt w:val="bullet"/>
      <w:lvlText w:val=""/>
      <w:lvlJc w:val="left"/>
      <w:pPr>
        <w:tabs>
          <w:tab w:val="num" w:pos="5040"/>
        </w:tabs>
        <w:ind w:left="5040" w:hanging="360"/>
      </w:pPr>
      <w:rPr>
        <w:rFonts w:ascii="Wingdings 2" w:hAnsi="Wingdings 2" w:hint="default"/>
      </w:rPr>
    </w:lvl>
    <w:lvl w:ilvl="7" w:tplc="2CBA202C" w:tentative="1">
      <w:start w:val="1"/>
      <w:numFmt w:val="bullet"/>
      <w:lvlText w:val=""/>
      <w:lvlJc w:val="left"/>
      <w:pPr>
        <w:tabs>
          <w:tab w:val="num" w:pos="5760"/>
        </w:tabs>
        <w:ind w:left="5760" w:hanging="360"/>
      </w:pPr>
      <w:rPr>
        <w:rFonts w:ascii="Wingdings 2" w:hAnsi="Wingdings 2" w:hint="default"/>
      </w:rPr>
    </w:lvl>
    <w:lvl w:ilvl="8" w:tplc="8BD279D8" w:tentative="1">
      <w:start w:val="1"/>
      <w:numFmt w:val="bullet"/>
      <w:lvlText w:val=""/>
      <w:lvlJc w:val="left"/>
      <w:pPr>
        <w:tabs>
          <w:tab w:val="num" w:pos="6480"/>
        </w:tabs>
        <w:ind w:left="6480" w:hanging="360"/>
      </w:pPr>
      <w:rPr>
        <w:rFonts w:ascii="Wingdings 2" w:hAnsi="Wingdings 2" w:hint="default"/>
      </w:rPr>
    </w:lvl>
  </w:abstractNum>
  <w:abstractNum w:abstractNumId="12">
    <w:nsid w:val="634C3901"/>
    <w:multiLevelType w:val="hybridMultilevel"/>
    <w:tmpl w:val="C9E875BE"/>
    <w:lvl w:ilvl="0" w:tplc="C24C7282">
      <w:start w:val="1"/>
      <w:numFmt w:val="decimal"/>
      <w:lvlText w:val="%1."/>
      <w:lvlJc w:val="left"/>
      <w:pPr>
        <w:ind w:left="1620" w:hanging="7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5385018"/>
    <w:multiLevelType w:val="hybridMultilevel"/>
    <w:tmpl w:val="C9E875BE"/>
    <w:lvl w:ilvl="0" w:tplc="C24C7282">
      <w:start w:val="1"/>
      <w:numFmt w:val="decimal"/>
      <w:lvlText w:val="%1."/>
      <w:lvlJc w:val="left"/>
      <w:pPr>
        <w:ind w:left="1620" w:hanging="7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64C25BA"/>
    <w:multiLevelType w:val="hybridMultilevel"/>
    <w:tmpl w:val="AA3091E6"/>
    <w:lvl w:ilvl="0" w:tplc="F336EE3E">
      <w:start w:val="1"/>
      <w:numFmt w:val="decimal"/>
      <w:lvlText w:val="%1."/>
      <w:lvlJc w:val="left"/>
      <w:pPr>
        <w:ind w:left="780" w:hanging="360"/>
      </w:pPr>
      <w:rPr>
        <w:rFonts w:hint="default"/>
      </w:rPr>
    </w:lvl>
    <w:lvl w:ilvl="1" w:tplc="C24C7282">
      <w:start w:val="1"/>
      <w:numFmt w:val="decimal"/>
      <w:lvlText w:val="%2."/>
      <w:lvlJc w:val="left"/>
      <w:pPr>
        <w:ind w:left="1620" w:hanging="780"/>
      </w:pPr>
      <w:rPr>
        <w:rFonts w:hint="default"/>
      </w:rPr>
    </w:lvl>
    <w:lvl w:ilvl="2" w:tplc="04090011">
      <w:start w:val="1"/>
      <w:numFmt w:val="decimal"/>
      <w:lvlText w:val="%3)"/>
      <w:lvlJc w:val="left"/>
      <w:pPr>
        <w:ind w:left="1620" w:hanging="360"/>
      </w:pPr>
      <w:rPr>
        <w:rFonts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7762403D"/>
    <w:multiLevelType w:val="hybridMultilevel"/>
    <w:tmpl w:val="C9E875BE"/>
    <w:lvl w:ilvl="0" w:tplc="C24C7282">
      <w:start w:val="1"/>
      <w:numFmt w:val="decimal"/>
      <w:lvlText w:val="%1."/>
      <w:lvlJc w:val="left"/>
      <w:pPr>
        <w:ind w:left="1620" w:hanging="7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9120844"/>
    <w:multiLevelType w:val="hybridMultilevel"/>
    <w:tmpl w:val="C9E875BE"/>
    <w:lvl w:ilvl="0" w:tplc="C24C7282">
      <w:start w:val="1"/>
      <w:numFmt w:val="decimal"/>
      <w:lvlText w:val="%1."/>
      <w:lvlJc w:val="left"/>
      <w:pPr>
        <w:ind w:left="1620" w:hanging="7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DCF3FD4"/>
    <w:multiLevelType w:val="hybridMultilevel"/>
    <w:tmpl w:val="C16612EA"/>
    <w:lvl w:ilvl="0" w:tplc="FA983E8A">
      <w:start w:val="1"/>
      <w:numFmt w:val="bullet"/>
      <w:lvlText w:val=""/>
      <w:lvlJc w:val="left"/>
      <w:pPr>
        <w:tabs>
          <w:tab w:val="num" w:pos="720"/>
        </w:tabs>
        <w:ind w:left="720" w:hanging="360"/>
      </w:pPr>
      <w:rPr>
        <w:rFonts w:ascii="Wingdings 2" w:hAnsi="Wingdings 2" w:hint="default"/>
      </w:rPr>
    </w:lvl>
    <w:lvl w:ilvl="1" w:tplc="A9942C1A" w:tentative="1">
      <w:start w:val="1"/>
      <w:numFmt w:val="bullet"/>
      <w:lvlText w:val=""/>
      <w:lvlJc w:val="left"/>
      <w:pPr>
        <w:tabs>
          <w:tab w:val="num" w:pos="1440"/>
        </w:tabs>
        <w:ind w:left="1440" w:hanging="360"/>
      </w:pPr>
      <w:rPr>
        <w:rFonts w:ascii="Wingdings 2" w:hAnsi="Wingdings 2" w:hint="default"/>
      </w:rPr>
    </w:lvl>
    <w:lvl w:ilvl="2" w:tplc="3EB6167E" w:tentative="1">
      <w:start w:val="1"/>
      <w:numFmt w:val="bullet"/>
      <w:lvlText w:val=""/>
      <w:lvlJc w:val="left"/>
      <w:pPr>
        <w:tabs>
          <w:tab w:val="num" w:pos="2160"/>
        </w:tabs>
        <w:ind w:left="2160" w:hanging="360"/>
      </w:pPr>
      <w:rPr>
        <w:rFonts w:ascii="Wingdings 2" w:hAnsi="Wingdings 2" w:hint="default"/>
      </w:rPr>
    </w:lvl>
    <w:lvl w:ilvl="3" w:tplc="61FEC21A" w:tentative="1">
      <w:start w:val="1"/>
      <w:numFmt w:val="bullet"/>
      <w:lvlText w:val=""/>
      <w:lvlJc w:val="left"/>
      <w:pPr>
        <w:tabs>
          <w:tab w:val="num" w:pos="2880"/>
        </w:tabs>
        <w:ind w:left="2880" w:hanging="360"/>
      </w:pPr>
      <w:rPr>
        <w:rFonts w:ascii="Wingdings 2" w:hAnsi="Wingdings 2" w:hint="default"/>
      </w:rPr>
    </w:lvl>
    <w:lvl w:ilvl="4" w:tplc="D52A6BB4" w:tentative="1">
      <w:start w:val="1"/>
      <w:numFmt w:val="bullet"/>
      <w:lvlText w:val=""/>
      <w:lvlJc w:val="left"/>
      <w:pPr>
        <w:tabs>
          <w:tab w:val="num" w:pos="3600"/>
        </w:tabs>
        <w:ind w:left="3600" w:hanging="360"/>
      </w:pPr>
      <w:rPr>
        <w:rFonts w:ascii="Wingdings 2" w:hAnsi="Wingdings 2" w:hint="default"/>
      </w:rPr>
    </w:lvl>
    <w:lvl w:ilvl="5" w:tplc="345654B6" w:tentative="1">
      <w:start w:val="1"/>
      <w:numFmt w:val="bullet"/>
      <w:lvlText w:val=""/>
      <w:lvlJc w:val="left"/>
      <w:pPr>
        <w:tabs>
          <w:tab w:val="num" w:pos="4320"/>
        </w:tabs>
        <w:ind w:left="4320" w:hanging="360"/>
      </w:pPr>
      <w:rPr>
        <w:rFonts w:ascii="Wingdings 2" w:hAnsi="Wingdings 2" w:hint="default"/>
      </w:rPr>
    </w:lvl>
    <w:lvl w:ilvl="6" w:tplc="20EAF632" w:tentative="1">
      <w:start w:val="1"/>
      <w:numFmt w:val="bullet"/>
      <w:lvlText w:val=""/>
      <w:lvlJc w:val="left"/>
      <w:pPr>
        <w:tabs>
          <w:tab w:val="num" w:pos="5040"/>
        </w:tabs>
        <w:ind w:left="5040" w:hanging="360"/>
      </w:pPr>
      <w:rPr>
        <w:rFonts w:ascii="Wingdings 2" w:hAnsi="Wingdings 2" w:hint="default"/>
      </w:rPr>
    </w:lvl>
    <w:lvl w:ilvl="7" w:tplc="70DC018A" w:tentative="1">
      <w:start w:val="1"/>
      <w:numFmt w:val="bullet"/>
      <w:lvlText w:val=""/>
      <w:lvlJc w:val="left"/>
      <w:pPr>
        <w:tabs>
          <w:tab w:val="num" w:pos="5760"/>
        </w:tabs>
        <w:ind w:left="5760" w:hanging="360"/>
      </w:pPr>
      <w:rPr>
        <w:rFonts w:ascii="Wingdings 2" w:hAnsi="Wingdings 2" w:hint="default"/>
      </w:rPr>
    </w:lvl>
    <w:lvl w:ilvl="8" w:tplc="64BE4B30" w:tentative="1">
      <w:start w:val="1"/>
      <w:numFmt w:val="bullet"/>
      <w:lvlText w:val=""/>
      <w:lvlJc w:val="left"/>
      <w:pPr>
        <w:tabs>
          <w:tab w:val="num" w:pos="6480"/>
        </w:tabs>
        <w:ind w:left="6480" w:hanging="360"/>
      </w:pPr>
      <w:rPr>
        <w:rFonts w:ascii="Wingdings 2" w:hAnsi="Wingdings 2" w:hint="default"/>
      </w:rPr>
    </w:lvl>
  </w:abstractNum>
  <w:abstractNum w:abstractNumId="18">
    <w:nsid w:val="7F280853"/>
    <w:multiLevelType w:val="hybridMultilevel"/>
    <w:tmpl w:val="078CE790"/>
    <w:lvl w:ilvl="0" w:tplc="123AA0BE">
      <w:start w:val="1"/>
      <w:numFmt w:val="bullet"/>
      <w:lvlText w:val=""/>
      <w:lvlJc w:val="left"/>
      <w:pPr>
        <w:tabs>
          <w:tab w:val="num" w:pos="720"/>
        </w:tabs>
        <w:ind w:left="720" w:hanging="360"/>
      </w:pPr>
      <w:rPr>
        <w:rFonts w:ascii="Wingdings 2" w:hAnsi="Wingdings 2" w:hint="default"/>
      </w:rPr>
    </w:lvl>
    <w:lvl w:ilvl="1" w:tplc="06425E1A" w:tentative="1">
      <w:start w:val="1"/>
      <w:numFmt w:val="bullet"/>
      <w:lvlText w:val=""/>
      <w:lvlJc w:val="left"/>
      <w:pPr>
        <w:tabs>
          <w:tab w:val="num" w:pos="1440"/>
        </w:tabs>
        <w:ind w:left="1440" w:hanging="360"/>
      </w:pPr>
      <w:rPr>
        <w:rFonts w:ascii="Wingdings 2" w:hAnsi="Wingdings 2" w:hint="default"/>
      </w:rPr>
    </w:lvl>
    <w:lvl w:ilvl="2" w:tplc="861668E0" w:tentative="1">
      <w:start w:val="1"/>
      <w:numFmt w:val="bullet"/>
      <w:lvlText w:val=""/>
      <w:lvlJc w:val="left"/>
      <w:pPr>
        <w:tabs>
          <w:tab w:val="num" w:pos="2160"/>
        </w:tabs>
        <w:ind w:left="2160" w:hanging="360"/>
      </w:pPr>
      <w:rPr>
        <w:rFonts w:ascii="Wingdings 2" w:hAnsi="Wingdings 2" w:hint="default"/>
      </w:rPr>
    </w:lvl>
    <w:lvl w:ilvl="3" w:tplc="E730D74E" w:tentative="1">
      <w:start w:val="1"/>
      <w:numFmt w:val="bullet"/>
      <w:lvlText w:val=""/>
      <w:lvlJc w:val="left"/>
      <w:pPr>
        <w:tabs>
          <w:tab w:val="num" w:pos="2880"/>
        </w:tabs>
        <w:ind w:left="2880" w:hanging="360"/>
      </w:pPr>
      <w:rPr>
        <w:rFonts w:ascii="Wingdings 2" w:hAnsi="Wingdings 2" w:hint="default"/>
      </w:rPr>
    </w:lvl>
    <w:lvl w:ilvl="4" w:tplc="7E3C2928" w:tentative="1">
      <w:start w:val="1"/>
      <w:numFmt w:val="bullet"/>
      <w:lvlText w:val=""/>
      <w:lvlJc w:val="left"/>
      <w:pPr>
        <w:tabs>
          <w:tab w:val="num" w:pos="3600"/>
        </w:tabs>
        <w:ind w:left="3600" w:hanging="360"/>
      </w:pPr>
      <w:rPr>
        <w:rFonts w:ascii="Wingdings 2" w:hAnsi="Wingdings 2" w:hint="default"/>
      </w:rPr>
    </w:lvl>
    <w:lvl w:ilvl="5" w:tplc="666840B0" w:tentative="1">
      <w:start w:val="1"/>
      <w:numFmt w:val="bullet"/>
      <w:lvlText w:val=""/>
      <w:lvlJc w:val="left"/>
      <w:pPr>
        <w:tabs>
          <w:tab w:val="num" w:pos="4320"/>
        </w:tabs>
        <w:ind w:left="4320" w:hanging="360"/>
      </w:pPr>
      <w:rPr>
        <w:rFonts w:ascii="Wingdings 2" w:hAnsi="Wingdings 2" w:hint="default"/>
      </w:rPr>
    </w:lvl>
    <w:lvl w:ilvl="6" w:tplc="01B6D9D4" w:tentative="1">
      <w:start w:val="1"/>
      <w:numFmt w:val="bullet"/>
      <w:lvlText w:val=""/>
      <w:lvlJc w:val="left"/>
      <w:pPr>
        <w:tabs>
          <w:tab w:val="num" w:pos="5040"/>
        </w:tabs>
        <w:ind w:left="5040" w:hanging="360"/>
      </w:pPr>
      <w:rPr>
        <w:rFonts w:ascii="Wingdings 2" w:hAnsi="Wingdings 2" w:hint="default"/>
      </w:rPr>
    </w:lvl>
    <w:lvl w:ilvl="7" w:tplc="4F7CADB6" w:tentative="1">
      <w:start w:val="1"/>
      <w:numFmt w:val="bullet"/>
      <w:lvlText w:val=""/>
      <w:lvlJc w:val="left"/>
      <w:pPr>
        <w:tabs>
          <w:tab w:val="num" w:pos="5760"/>
        </w:tabs>
        <w:ind w:left="5760" w:hanging="360"/>
      </w:pPr>
      <w:rPr>
        <w:rFonts w:ascii="Wingdings 2" w:hAnsi="Wingdings 2" w:hint="default"/>
      </w:rPr>
    </w:lvl>
    <w:lvl w:ilvl="8" w:tplc="93746710" w:tentative="1">
      <w:start w:val="1"/>
      <w:numFmt w:val="bullet"/>
      <w:lvlText w:val=""/>
      <w:lvlJc w:val="left"/>
      <w:pPr>
        <w:tabs>
          <w:tab w:val="num" w:pos="6480"/>
        </w:tabs>
        <w:ind w:left="6480" w:hanging="360"/>
      </w:pPr>
      <w:rPr>
        <w:rFonts w:ascii="Wingdings 2" w:hAnsi="Wingdings 2" w:hint="default"/>
      </w:rPr>
    </w:lvl>
  </w:abstractNum>
  <w:num w:numId="1">
    <w:abstractNumId w:val="3"/>
  </w:num>
  <w:num w:numId="2">
    <w:abstractNumId w:val="8"/>
  </w:num>
  <w:num w:numId="3">
    <w:abstractNumId w:val="7"/>
  </w:num>
  <w:num w:numId="4">
    <w:abstractNumId w:val="1"/>
  </w:num>
  <w:num w:numId="5">
    <w:abstractNumId w:val="17"/>
  </w:num>
  <w:num w:numId="6">
    <w:abstractNumId w:val="2"/>
  </w:num>
  <w:num w:numId="7">
    <w:abstractNumId w:val="0"/>
  </w:num>
  <w:num w:numId="8">
    <w:abstractNumId w:val="11"/>
  </w:num>
  <w:num w:numId="9">
    <w:abstractNumId w:val="4"/>
  </w:num>
  <w:num w:numId="10">
    <w:abstractNumId w:val="13"/>
  </w:num>
  <w:num w:numId="11">
    <w:abstractNumId w:val="15"/>
  </w:num>
  <w:num w:numId="12">
    <w:abstractNumId w:val="14"/>
  </w:num>
  <w:num w:numId="13">
    <w:abstractNumId w:val="16"/>
  </w:num>
  <w:num w:numId="14">
    <w:abstractNumId w:val="5"/>
  </w:num>
  <w:num w:numId="15">
    <w:abstractNumId w:val="18"/>
  </w:num>
  <w:num w:numId="16">
    <w:abstractNumId w:val="6"/>
  </w:num>
  <w:num w:numId="17">
    <w:abstractNumId w:val="9"/>
  </w:num>
  <w:num w:numId="18">
    <w:abstractNumId w:val="1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586"/>
    <w:rsid w:val="00037F6A"/>
    <w:rsid w:val="000E3D6D"/>
    <w:rsid w:val="0012447B"/>
    <w:rsid w:val="002C1B28"/>
    <w:rsid w:val="002D07EB"/>
    <w:rsid w:val="002E7834"/>
    <w:rsid w:val="00424C5B"/>
    <w:rsid w:val="00523E1C"/>
    <w:rsid w:val="005C0EEF"/>
    <w:rsid w:val="00616904"/>
    <w:rsid w:val="00624586"/>
    <w:rsid w:val="00671AB1"/>
    <w:rsid w:val="0069273F"/>
    <w:rsid w:val="00792615"/>
    <w:rsid w:val="0080725B"/>
    <w:rsid w:val="0098615A"/>
    <w:rsid w:val="00AC6372"/>
    <w:rsid w:val="00BF31A1"/>
    <w:rsid w:val="00C11F70"/>
    <w:rsid w:val="00C93D6A"/>
    <w:rsid w:val="00C9479D"/>
    <w:rsid w:val="00D25DE0"/>
    <w:rsid w:val="00D41475"/>
    <w:rsid w:val="00D97EE7"/>
    <w:rsid w:val="00E0492B"/>
    <w:rsid w:val="00E97F4E"/>
    <w:rsid w:val="00EA0F52"/>
    <w:rsid w:val="00F55F89"/>
    <w:rsid w:val="00FF52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F5242"/>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4586"/>
    <w:pPr>
      <w:ind w:firstLineChars="200" w:firstLine="420"/>
    </w:pPr>
  </w:style>
  <w:style w:type="paragraph" w:styleId="a4">
    <w:name w:val="Subtitle"/>
    <w:basedOn w:val="a"/>
    <w:next w:val="a"/>
    <w:link w:val="Char"/>
    <w:uiPriority w:val="11"/>
    <w:qFormat/>
    <w:rsid w:val="00FF5242"/>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4"/>
    <w:uiPriority w:val="11"/>
    <w:rsid w:val="00FF5242"/>
    <w:rPr>
      <w:rFonts w:asciiTheme="majorHAnsi" w:eastAsia="宋体" w:hAnsiTheme="majorHAnsi" w:cstheme="majorBidi"/>
      <w:b/>
      <w:bCs/>
      <w:kern w:val="28"/>
      <w:sz w:val="32"/>
      <w:szCs w:val="32"/>
    </w:rPr>
  </w:style>
  <w:style w:type="character" w:customStyle="1" w:styleId="1Char">
    <w:name w:val="标题 1 Char"/>
    <w:basedOn w:val="a0"/>
    <w:link w:val="1"/>
    <w:uiPriority w:val="9"/>
    <w:rsid w:val="00FF5242"/>
    <w:rPr>
      <w:b/>
      <w:bCs/>
      <w:kern w:val="44"/>
      <w:sz w:val="44"/>
      <w:szCs w:val="44"/>
    </w:rPr>
  </w:style>
  <w:style w:type="paragraph" w:styleId="a5">
    <w:name w:val="Title"/>
    <w:basedOn w:val="a"/>
    <w:next w:val="a"/>
    <w:link w:val="Char0"/>
    <w:uiPriority w:val="10"/>
    <w:qFormat/>
    <w:rsid w:val="00FF5242"/>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5"/>
    <w:uiPriority w:val="10"/>
    <w:rsid w:val="00FF5242"/>
    <w:rPr>
      <w:rFonts w:asciiTheme="majorHAnsi" w:eastAsia="宋体" w:hAnsiTheme="majorHAnsi" w:cstheme="majorBidi"/>
      <w:b/>
      <w:bCs/>
      <w:sz w:val="32"/>
      <w:szCs w:val="32"/>
    </w:rPr>
  </w:style>
  <w:style w:type="table" w:styleId="a6">
    <w:name w:val="Table Grid"/>
    <w:basedOn w:val="a1"/>
    <w:uiPriority w:val="59"/>
    <w:rsid w:val="00523E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0E3D6D"/>
    <w:rPr>
      <w:sz w:val="18"/>
      <w:szCs w:val="18"/>
    </w:rPr>
  </w:style>
  <w:style w:type="character" w:customStyle="1" w:styleId="Char1">
    <w:name w:val="批注框文本 Char"/>
    <w:basedOn w:val="a0"/>
    <w:link w:val="a7"/>
    <w:uiPriority w:val="99"/>
    <w:semiHidden/>
    <w:rsid w:val="000E3D6D"/>
    <w:rPr>
      <w:sz w:val="18"/>
      <w:szCs w:val="18"/>
    </w:rPr>
  </w:style>
  <w:style w:type="paragraph" w:styleId="a8">
    <w:name w:val="Normal (Web)"/>
    <w:basedOn w:val="a"/>
    <w:uiPriority w:val="99"/>
    <w:unhideWhenUsed/>
    <w:rsid w:val="00424C5B"/>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F5242"/>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4586"/>
    <w:pPr>
      <w:ind w:firstLineChars="200" w:firstLine="420"/>
    </w:pPr>
  </w:style>
  <w:style w:type="paragraph" w:styleId="a4">
    <w:name w:val="Subtitle"/>
    <w:basedOn w:val="a"/>
    <w:next w:val="a"/>
    <w:link w:val="Char"/>
    <w:uiPriority w:val="11"/>
    <w:qFormat/>
    <w:rsid w:val="00FF5242"/>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4"/>
    <w:uiPriority w:val="11"/>
    <w:rsid w:val="00FF5242"/>
    <w:rPr>
      <w:rFonts w:asciiTheme="majorHAnsi" w:eastAsia="宋体" w:hAnsiTheme="majorHAnsi" w:cstheme="majorBidi"/>
      <w:b/>
      <w:bCs/>
      <w:kern w:val="28"/>
      <w:sz w:val="32"/>
      <w:szCs w:val="32"/>
    </w:rPr>
  </w:style>
  <w:style w:type="character" w:customStyle="1" w:styleId="1Char">
    <w:name w:val="标题 1 Char"/>
    <w:basedOn w:val="a0"/>
    <w:link w:val="1"/>
    <w:uiPriority w:val="9"/>
    <w:rsid w:val="00FF5242"/>
    <w:rPr>
      <w:b/>
      <w:bCs/>
      <w:kern w:val="44"/>
      <w:sz w:val="44"/>
      <w:szCs w:val="44"/>
    </w:rPr>
  </w:style>
  <w:style w:type="paragraph" w:styleId="a5">
    <w:name w:val="Title"/>
    <w:basedOn w:val="a"/>
    <w:next w:val="a"/>
    <w:link w:val="Char0"/>
    <w:uiPriority w:val="10"/>
    <w:qFormat/>
    <w:rsid w:val="00FF5242"/>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5"/>
    <w:uiPriority w:val="10"/>
    <w:rsid w:val="00FF5242"/>
    <w:rPr>
      <w:rFonts w:asciiTheme="majorHAnsi" w:eastAsia="宋体" w:hAnsiTheme="majorHAnsi" w:cstheme="majorBidi"/>
      <w:b/>
      <w:bCs/>
      <w:sz w:val="32"/>
      <w:szCs w:val="32"/>
    </w:rPr>
  </w:style>
  <w:style w:type="table" w:styleId="a6">
    <w:name w:val="Table Grid"/>
    <w:basedOn w:val="a1"/>
    <w:uiPriority w:val="59"/>
    <w:rsid w:val="00523E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0E3D6D"/>
    <w:rPr>
      <w:sz w:val="18"/>
      <w:szCs w:val="18"/>
    </w:rPr>
  </w:style>
  <w:style w:type="character" w:customStyle="1" w:styleId="Char1">
    <w:name w:val="批注框文本 Char"/>
    <w:basedOn w:val="a0"/>
    <w:link w:val="a7"/>
    <w:uiPriority w:val="99"/>
    <w:semiHidden/>
    <w:rsid w:val="000E3D6D"/>
    <w:rPr>
      <w:sz w:val="18"/>
      <w:szCs w:val="18"/>
    </w:rPr>
  </w:style>
  <w:style w:type="paragraph" w:styleId="a8">
    <w:name w:val="Normal (Web)"/>
    <w:basedOn w:val="a"/>
    <w:uiPriority w:val="99"/>
    <w:unhideWhenUsed/>
    <w:rsid w:val="00424C5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350621">
      <w:bodyDiv w:val="1"/>
      <w:marLeft w:val="0"/>
      <w:marRight w:val="0"/>
      <w:marTop w:val="0"/>
      <w:marBottom w:val="0"/>
      <w:divBdr>
        <w:top w:val="none" w:sz="0" w:space="0" w:color="auto"/>
        <w:left w:val="none" w:sz="0" w:space="0" w:color="auto"/>
        <w:bottom w:val="none" w:sz="0" w:space="0" w:color="auto"/>
        <w:right w:val="none" w:sz="0" w:space="0" w:color="auto"/>
      </w:divBdr>
    </w:div>
    <w:div w:id="294070405">
      <w:bodyDiv w:val="1"/>
      <w:marLeft w:val="0"/>
      <w:marRight w:val="0"/>
      <w:marTop w:val="0"/>
      <w:marBottom w:val="0"/>
      <w:divBdr>
        <w:top w:val="none" w:sz="0" w:space="0" w:color="auto"/>
        <w:left w:val="none" w:sz="0" w:space="0" w:color="auto"/>
        <w:bottom w:val="none" w:sz="0" w:space="0" w:color="auto"/>
        <w:right w:val="none" w:sz="0" w:space="0" w:color="auto"/>
      </w:divBdr>
      <w:divsChild>
        <w:div w:id="300232968">
          <w:marLeft w:val="432"/>
          <w:marRight w:val="0"/>
          <w:marTop w:val="120"/>
          <w:marBottom w:val="0"/>
          <w:divBdr>
            <w:top w:val="none" w:sz="0" w:space="0" w:color="auto"/>
            <w:left w:val="none" w:sz="0" w:space="0" w:color="auto"/>
            <w:bottom w:val="none" w:sz="0" w:space="0" w:color="auto"/>
            <w:right w:val="none" w:sz="0" w:space="0" w:color="auto"/>
          </w:divBdr>
        </w:div>
      </w:divsChild>
    </w:div>
    <w:div w:id="427428472">
      <w:bodyDiv w:val="1"/>
      <w:marLeft w:val="0"/>
      <w:marRight w:val="0"/>
      <w:marTop w:val="0"/>
      <w:marBottom w:val="0"/>
      <w:divBdr>
        <w:top w:val="none" w:sz="0" w:space="0" w:color="auto"/>
        <w:left w:val="none" w:sz="0" w:space="0" w:color="auto"/>
        <w:bottom w:val="none" w:sz="0" w:space="0" w:color="auto"/>
        <w:right w:val="none" w:sz="0" w:space="0" w:color="auto"/>
      </w:divBdr>
    </w:div>
    <w:div w:id="524254858">
      <w:bodyDiv w:val="1"/>
      <w:marLeft w:val="0"/>
      <w:marRight w:val="0"/>
      <w:marTop w:val="0"/>
      <w:marBottom w:val="0"/>
      <w:divBdr>
        <w:top w:val="none" w:sz="0" w:space="0" w:color="auto"/>
        <w:left w:val="none" w:sz="0" w:space="0" w:color="auto"/>
        <w:bottom w:val="none" w:sz="0" w:space="0" w:color="auto"/>
        <w:right w:val="none" w:sz="0" w:space="0" w:color="auto"/>
      </w:divBdr>
      <w:divsChild>
        <w:div w:id="411661788">
          <w:marLeft w:val="432"/>
          <w:marRight w:val="0"/>
          <w:marTop w:val="120"/>
          <w:marBottom w:val="0"/>
          <w:divBdr>
            <w:top w:val="none" w:sz="0" w:space="0" w:color="auto"/>
            <w:left w:val="none" w:sz="0" w:space="0" w:color="auto"/>
            <w:bottom w:val="none" w:sz="0" w:space="0" w:color="auto"/>
            <w:right w:val="none" w:sz="0" w:space="0" w:color="auto"/>
          </w:divBdr>
        </w:div>
        <w:div w:id="275841148">
          <w:marLeft w:val="432"/>
          <w:marRight w:val="0"/>
          <w:marTop w:val="120"/>
          <w:marBottom w:val="0"/>
          <w:divBdr>
            <w:top w:val="none" w:sz="0" w:space="0" w:color="auto"/>
            <w:left w:val="none" w:sz="0" w:space="0" w:color="auto"/>
            <w:bottom w:val="none" w:sz="0" w:space="0" w:color="auto"/>
            <w:right w:val="none" w:sz="0" w:space="0" w:color="auto"/>
          </w:divBdr>
        </w:div>
      </w:divsChild>
    </w:div>
    <w:div w:id="585652444">
      <w:bodyDiv w:val="1"/>
      <w:marLeft w:val="0"/>
      <w:marRight w:val="0"/>
      <w:marTop w:val="0"/>
      <w:marBottom w:val="0"/>
      <w:divBdr>
        <w:top w:val="none" w:sz="0" w:space="0" w:color="auto"/>
        <w:left w:val="none" w:sz="0" w:space="0" w:color="auto"/>
        <w:bottom w:val="none" w:sz="0" w:space="0" w:color="auto"/>
        <w:right w:val="none" w:sz="0" w:space="0" w:color="auto"/>
      </w:divBdr>
      <w:divsChild>
        <w:div w:id="784037207">
          <w:marLeft w:val="432"/>
          <w:marRight w:val="0"/>
          <w:marTop w:val="120"/>
          <w:marBottom w:val="0"/>
          <w:divBdr>
            <w:top w:val="none" w:sz="0" w:space="0" w:color="auto"/>
            <w:left w:val="none" w:sz="0" w:space="0" w:color="auto"/>
            <w:bottom w:val="none" w:sz="0" w:space="0" w:color="auto"/>
            <w:right w:val="none" w:sz="0" w:space="0" w:color="auto"/>
          </w:divBdr>
        </w:div>
      </w:divsChild>
    </w:div>
    <w:div w:id="694159866">
      <w:bodyDiv w:val="1"/>
      <w:marLeft w:val="0"/>
      <w:marRight w:val="0"/>
      <w:marTop w:val="0"/>
      <w:marBottom w:val="0"/>
      <w:divBdr>
        <w:top w:val="none" w:sz="0" w:space="0" w:color="auto"/>
        <w:left w:val="none" w:sz="0" w:space="0" w:color="auto"/>
        <w:bottom w:val="none" w:sz="0" w:space="0" w:color="auto"/>
        <w:right w:val="none" w:sz="0" w:space="0" w:color="auto"/>
      </w:divBdr>
      <w:divsChild>
        <w:div w:id="1881437193">
          <w:marLeft w:val="432"/>
          <w:marRight w:val="0"/>
          <w:marTop w:val="120"/>
          <w:marBottom w:val="0"/>
          <w:divBdr>
            <w:top w:val="none" w:sz="0" w:space="0" w:color="auto"/>
            <w:left w:val="none" w:sz="0" w:space="0" w:color="auto"/>
            <w:bottom w:val="none" w:sz="0" w:space="0" w:color="auto"/>
            <w:right w:val="none" w:sz="0" w:space="0" w:color="auto"/>
          </w:divBdr>
        </w:div>
      </w:divsChild>
    </w:div>
    <w:div w:id="734359712">
      <w:bodyDiv w:val="1"/>
      <w:marLeft w:val="0"/>
      <w:marRight w:val="0"/>
      <w:marTop w:val="0"/>
      <w:marBottom w:val="0"/>
      <w:divBdr>
        <w:top w:val="none" w:sz="0" w:space="0" w:color="auto"/>
        <w:left w:val="none" w:sz="0" w:space="0" w:color="auto"/>
        <w:bottom w:val="none" w:sz="0" w:space="0" w:color="auto"/>
        <w:right w:val="none" w:sz="0" w:space="0" w:color="auto"/>
      </w:divBdr>
      <w:divsChild>
        <w:div w:id="1450006414">
          <w:marLeft w:val="432"/>
          <w:marRight w:val="0"/>
          <w:marTop w:val="120"/>
          <w:marBottom w:val="0"/>
          <w:divBdr>
            <w:top w:val="none" w:sz="0" w:space="0" w:color="auto"/>
            <w:left w:val="none" w:sz="0" w:space="0" w:color="auto"/>
            <w:bottom w:val="none" w:sz="0" w:space="0" w:color="auto"/>
            <w:right w:val="none" w:sz="0" w:space="0" w:color="auto"/>
          </w:divBdr>
        </w:div>
        <w:div w:id="1423648515">
          <w:marLeft w:val="432"/>
          <w:marRight w:val="0"/>
          <w:marTop w:val="120"/>
          <w:marBottom w:val="0"/>
          <w:divBdr>
            <w:top w:val="none" w:sz="0" w:space="0" w:color="auto"/>
            <w:left w:val="none" w:sz="0" w:space="0" w:color="auto"/>
            <w:bottom w:val="none" w:sz="0" w:space="0" w:color="auto"/>
            <w:right w:val="none" w:sz="0" w:space="0" w:color="auto"/>
          </w:divBdr>
        </w:div>
      </w:divsChild>
    </w:div>
    <w:div w:id="746876301">
      <w:bodyDiv w:val="1"/>
      <w:marLeft w:val="0"/>
      <w:marRight w:val="0"/>
      <w:marTop w:val="0"/>
      <w:marBottom w:val="0"/>
      <w:divBdr>
        <w:top w:val="none" w:sz="0" w:space="0" w:color="auto"/>
        <w:left w:val="none" w:sz="0" w:space="0" w:color="auto"/>
        <w:bottom w:val="none" w:sz="0" w:space="0" w:color="auto"/>
        <w:right w:val="none" w:sz="0" w:space="0" w:color="auto"/>
      </w:divBdr>
      <w:divsChild>
        <w:div w:id="2073893392">
          <w:marLeft w:val="432"/>
          <w:marRight w:val="0"/>
          <w:marTop w:val="120"/>
          <w:marBottom w:val="0"/>
          <w:divBdr>
            <w:top w:val="none" w:sz="0" w:space="0" w:color="auto"/>
            <w:left w:val="none" w:sz="0" w:space="0" w:color="auto"/>
            <w:bottom w:val="none" w:sz="0" w:space="0" w:color="auto"/>
            <w:right w:val="none" w:sz="0" w:space="0" w:color="auto"/>
          </w:divBdr>
        </w:div>
        <w:div w:id="127359027">
          <w:marLeft w:val="432"/>
          <w:marRight w:val="0"/>
          <w:marTop w:val="120"/>
          <w:marBottom w:val="0"/>
          <w:divBdr>
            <w:top w:val="none" w:sz="0" w:space="0" w:color="auto"/>
            <w:left w:val="none" w:sz="0" w:space="0" w:color="auto"/>
            <w:bottom w:val="none" w:sz="0" w:space="0" w:color="auto"/>
            <w:right w:val="none" w:sz="0" w:space="0" w:color="auto"/>
          </w:divBdr>
        </w:div>
      </w:divsChild>
    </w:div>
    <w:div w:id="833448858">
      <w:bodyDiv w:val="1"/>
      <w:marLeft w:val="0"/>
      <w:marRight w:val="0"/>
      <w:marTop w:val="0"/>
      <w:marBottom w:val="0"/>
      <w:divBdr>
        <w:top w:val="none" w:sz="0" w:space="0" w:color="auto"/>
        <w:left w:val="none" w:sz="0" w:space="0" w:color="auto"/>
        <w:bottom w:val="none" w:sz="0" w:space="0" w:color="auto"/>
        <w:right w:val="none" w:sz="0" w:space="0" w:color="auto"/>
      </w:divBdr>
      <w:divsChild>
        <w:div w:id="459349586">
          <w:marLeft w:val="432"/>
          <w:marRight w:val="0"/>
          <w:marTop w:val="120"/>
          <w:marBottom w:val="0"/>
          <w:divBdr>
            <w:top w:val="none" w:sz="0" w:space="0" w:color="auto"/>
            <w:left w:val="none" w:sz="0" w:space="0" w:color="auto"/>
            <w:bottom w:val="none" w:sz="0" w:space="0" w:color="auto"/>
            <w:right w:val="none" w:sz="0" w:space="0" w:color="auto"/>
          </w:divBdr>
        </w:div>
        <w:div w:id="455686096">
          <w:marLeft w:val="432"/>
          <w:marRight w:val="0"/>
          <w:marTop w:val="120"/>
          <w:marBottom w:val="0"/>
          <w:divBdr>
            <w:top w:val="none" w:sz="0" w:space="0" w:color="auto"/>
            <w:left w:val="none" w:sz="0" w:space="0" w:color="auto"/>
            <w:bottom w:val="none" w:sz="0" w:space="0" w:color="auto"/>
            <w:right w:val="none" w:sz="0" w:space="0" w:color="auto"/>
          </w:divBdr>
        </w:div>
      </w:divsChild>
    </w:div>
    <w:div w:id="1113132330">
      <w:bodyDiv w:val="1"/>
      <w:marLeft w:val="0"/>
      <w:marRight w:val="0"/>
      <w:marTop w:val="0"/>
      <w:marBottom w:val="0"/>
      <w:divBdr>
        <w:top w:val="none" w:sz="0" w:space="0" w:color="auto"/>
        <w:left w:val="none" w:sz="0" w:space="0" w:color="auto"/>
        <w:bottom w:val="none" w:sz="0" w:space="0" w:color="auto"/>
        <w:right w:val="none" w:sz="0" w:space="0" w:color="auto"/>
      </w:divBdr>
    </w:div>
    <w:div w:id="1143695456">
      <w:bodyDiv w:val="1"/>
      <w:marLeft w:val="0"/>
      <w:marRight w:val="0"/>
      <w:marTop w:val="0"/>
      <w:marBottom w:val="0"/>
      <w:divBdr>
        <w:top w:val="none" w:sz="0" w:space="0" w:color="auto"/>
        <w:left w:val="none" w:sz="0" w:space="0" w:color="auto"/>
        <w:bottom w:val="none" w:sz="0" w:space="0" w:color="auto"/>
        <w:right w:val="none" w:sz="0" w:space="0" w:color="auto"/>
      </w:divBdr>
    </w:div>
    <w:div w:id="1180240485">
      <w:bodyDiv w:val="1"/>
      <w:marLeft w:val="0"/>
      <w:marRight w:val="0"/>
      <w:marTop w:val="0"/>
      <w:marBottom w:val="0"/>
      <w:divBdr>
        <w:top w:val="none" w:sz="0" w:space="0" w:color="auto"/>
        <w:left w:val="none" w:sz="0" w:space="0" w:color="auto"/>
        <w:bottom w:val="none" w:sz="0" w:space="0" w:color="auto"/>
        <w:right w:val="none" w:sz="0" w:space="0" w:color="auto"/>
      </w:divBdr>
    </w:div>
    <w:div w:id="1223057733">
      <w:bodyDiv w:val="1"/>
      <w:marLeft w:val="0"/>
      <w:marRight w:val="0"/>
      <w:marTop w:val="0"/>
      <w:marBottom w:val="0"/>
      <w:divBdr>
        <w:top w:val="none" w:sz="0" w:space="0" w:color="auto"/>
        <w:left w:val="none" w:sz="0" w:space="0" w:color="auto"/>
        <w:bottom w:val="none" w:sz="0" w:space="0" w:color="auto"/>
        <w:right w:val="none" w:sz="0" w:space="0" w:color="auto"/>
      </w:divBdr>
    </w:div>
    <w:div w:id="1329097178">
      <w:bodyDiv w:val="1"/>
      <w:marLeft w:val="0"/>
      <w:marRight w:val="0"/>
      <w:marTop w:val="0"/>
      <w:marBottom w:val="0"/>
      <w:divBdr>
        <w:top w:val="none" w:sz="0" w:space="0" w:color="auto"/>
        <w:left w:val="none" w:sz="0" w:space="0" w:color="auto"/>
        <w:bottom w:val="none" w:sz="0" w:space="0" w:color="auto"/>
        <w:right w:val="none" w:sz="0" w:space="0" w:color="auto"/>
      </w:divBdr>
      <w:divsChild>
        <w:div w:id="1531912400">
          <w:marLeft w:val="432"/>
          <w:marRight w:val="0"/>
          <w:marTop w:val="120"/>
          <w:marBottom w:val="0"/>
          <w:divBdr>
            <w:top w:val="none" w:sz="0" w:space="0" w:color="auto"/>
            <w:left w:val="none" w:sz="0" w:space="0" w:color="auto"/>
            <w:bottom w:val="none" w:sz="0" w:space="0" w:color="auto"/>
            <w:right w:val="none" w:sz="0" w:space="0" w:color="auto"/>
          </w:divBdr>
        </w:div>
      </w:divsChild>
    </w:div>
    <w:div w:id="1376198988">
      <w:bodyDiv w:val="1"/>
      <w:marLeft w:val="0"/>
      <w:marRight w:val="0"/>
      <w:marTop w:val="0"/>
      <w:marBottom w:val="0"/>
      <w:divBdr>
        <w:top w:val="none" w:sz="0" w:space="0" w:color="auto"/>
        <w:left w:val="none" w:sz="0" w:space="0" w:color="auto"/>
        <w:bottom w:val="none" w:sz="0" w:space="0" w:color="auto"/>
        <w:right w:val="none" w:sz="0" w:space="0" w:color="auto"/>
      </w:divBdr>
    </w:div>
    <w:div w:id="1415281264">
      <w:bodyDiv w:val="1"/>
      <w:marLeft w:val="0"/>
      <w:marRight w:val="0"/>
      <w:marTop w:val="0"/>
      <w:marBottom w:val="0"/>
      <w:divBdr>
        <w:top w:val="none" w:sz="0" w:space="0" w:color="auto"/>
        <w:left w:val="none" w:sz="0" w:space="0" w:color="auto"/>
        <w:bottom w:val="none" w:sz="0" w:space="0" w:color="auto"/>
        <w:right w:val="none" w:sz="0" w:space="0" w:color="auto"/>
      </w:divBdr>
    </w:div>
    <w:div w:id="1577206057">
      <w:bodyDiv w:val="1"/>
      <w:marLeft w:val="0"/>
      <w:marRight w:val="0"/>
      <w:marTop w:val="0"/>
      <w:marBottom w:val="0"/>
      <w:divBdr>
        <w:top w:val="none" w:sz="0" w:space="0" w:color="auto"/>
        <w:left w:val="none" w:sz="0" w:space="0" w:color="auto"/>
        <w:bottom w:val="none" w:sz="0" w:space="0" w:color="auto"/>
        <w:right w:val="none" w:sz="0" w:space="0" w:color="auto"/>
      </w:divBdr>
      <w:divsChild>
        <w:div w:id="449595309">
          <w:marLeft w:val="432"/>
          <w:marRight w:val="0"/>
          <w:marTop w:val="120"/>
          <w:marBottom w:val="0"/>
          <w:divBdr>
            <w:top w:val="none" w:sz="0" w:space="0" w:color="auto"/>
            <w:left w:val="none" w:sz="0" w:space="0" w:color="auto"/>
            <w:bottom w:val="none" w:sz="0" w:space="0" w:color="auto"/>
            <w:right w:val="none" w:sz="0" w:space="0" w:color="auto"/>
          </w:divBdr>
        </w:div>
      </w:divsChild>
    </w:div>
    <w:div w:id="1658535025">
      <w:bodyDiv w:val="1"/>
      <w:marLeft w:val="0"/>
      <w:marRight w:val="0"/>
      <w:marTop w:val="0"/>
      <w:marBottom w:val="0"/>
      <w:divBdr>
        <w:top w:val="none" w:sz="0" w:space="0" w:color="auto"/>
        <w:left w:val="none" w:sz="0" w:space="0" w:color="auto"/>
        <w:bottom w:val="none" w:sz="0" w:space="0" w:color="auto"/>
        <w:right w:val="none" w:sz="0" w:space="0" w:color="auto"/>
      </w:divBdr>
    </w:div>
    <w:div w:id="1716418794">
      <w:bodyDiv w:val="1"/>
      <w:marLeft w:val="0"/>
      <w:marRight w:val="0"/>
      <w:marTop w:val="0"/>
      <w:marBottom w:val="0"/>
      <w:divBdr>
        <w:top w:val="none" w:sz="0" w:space="0" w:color="auto"/>
        <w:left w:val="none" w:sz="0" w:space="0" w:color="auto"/>
        <w:bottom w:val="none" w:sz="0" w:space="0" w:color="auto"/>
        <w:right w:val="none" w:sz="0" w:space="0" w:color="auto"/>
      </w:divBdr>
    </w:div>
    <w:div w:id="1816413060">
      <w:bodyDiv w:val="1"/>
      <w:marLeft w:val="0"/>
      <w:marRight w:val="0"/>
      <w:marTop w:val="0"/>
      <w:marBottom w:val="0"/>
      <w:divBdr>
        <w:top w:val="none" w:sz="0" w:space="0" w:color="auto"/>
        <w:left w:val="none" w:sz="0" w:space="0" w:color="auto"/>
        <w:bottom w:val="none" w:sz="0" w:space="0" w:color="auto"/>
        <w:right w:val="none" w:sz="0" w:space="0" w:color="auto"/>
      </w:divBdr>
    </w:div>
    <w:div w:id="2001959844">
      <w:bodyDiv w:val="1"/>
      <w:marLeft w:val="0"/>
      <w:marRight w:val="0"/>
      <w:marTop w:val="0"/>
      <w:marBottom w:val="0"/>
      <w:divBdr>
        <w:top w:val="none" w:sz="0" w:space="0" w:color="auto"/>
        <w:left w:val="none" w:sz="0" w:space="0" w:color="auto"/>
        <w:bottom w:val="none" w:sz="0" w:space="0" w:color="auto"/>
        <w:right w:val="none" w:sz="0" w:space="0" w:color="auto"/>
      </w:divBdr>
      <w:divsChild>
        <w:div w:id="1446383580">
          <w:marLeft w:val="806"/>
          <w:marRight w:val="0"/>
          <w:marTop w:val="120"/>
          <w:marBottom w:val="0"/>
          <w:divBdr>
            <w:top w:val="none" w:sz="0" w:space="0" w:color="auto"/>
            <w:left w:val="none" w:sz="0" w:space="0" w:color="auto"/>
            <w:bottom w:val="none" w:sz="0" w:space="0" w:color="auto"/>
            <w:right w:val="none" w:sz="0" w:space="0" w:color="auto"/>
          </w:divBdr>
        </w:div>
        <w:div w:id="2067607634">
          <w:marLeft w:val="806"/>
          <w:marRight w:val="0"/>
          <w:marTop w:val="120"/>
          <w:marBottom w:val="0"/>
          <w:divBdr>
            <w:top w:val="none" w:sz="0" w:space="0" w:color="auto"/>
            <w:left w:val="none" w:sz="0" w:space="0" w:color="auto"/>
            <w:bottom w:val="none" w:sz="0" w:space="0" w:color="auto"/>
            <w:right w:val="none" w:sz="0" w:space="0" w:color="auto"/>
          </w:divBdr>
        </w:div>
        <w:div w:id="2118022999">
          <w:marLeft w:val="806"/>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708F30-5BC5-40E4-8E99-16E783894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6</Pages>
  <Words>507</Words>
  <Characters>2894</Characters>
  <Application>Microsoft Office Word</Application>
  <DocSecurity>0</DocSecurity>
  <Lines>24</Lines>
  <Paragraphs>6</Paragraphs>
  <ScaleCrop>false</ScaleCrop>
  <Company>hxm</Company>
  <LinksUpToDate>false</LinksUpToDate>
  <CharactersWithSpaces>3395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hxm</dc:creator>
  <cp:keywords/>
  <dc:description/>
  <cp:lastModifiedBy>hxm</cp:lastModifiedBy>
  <cp:revision>16</cp:revision>
  <dcterms:created xsi:type="dcterms:W3CDTF">2017-01-17T13:08:00Z</dcterms:created>
  <dcterms:modified xsi:type="dcterms:W3CDTF">2017-01-19T15:05:00Z</dcterms:modified>
</cp:coreProperties>
</file>