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Drone Training</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FLOSSK launched a Drone Training program to offer participants practical experience with drone technology, covering safe operation, applications like aerial photography, and relevant regulations. The program fostered collaboration among attendees, enhancing their confidence in using drones. Feedback indicated a positive experience, with many expressing interest in future training opportunities.</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provide comprehensive training on drone operation, safety protocols, and relevant regulations.</w:t>
      </w:r>
    </w:p>
    <w:p w:rsidR="00000000" w:rsidDel="00000000" w:rsidP="00000000" w:rsidRDefault="00000000" w:rsidRPr="00000000" w14:paraId="0000000C">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enable participants to acquire practical skills in piloting drones and conducting aerial photography and videography.</w:t>
      </w:r>
    </w:p>
    <w:p w:rsidR="00000000" w:rsidDel="00000000" w:rsidP="00000000" w:rsidRDefault="00000000" w:rsidRPr="00000000" w14:paraId="0000000D">
      <w:pPr>
        <w:numPr>
          <w:ilvl w:val="0"/>
          <w:numId w:val="1"/>
        </w:numPr>
        <w:spacing w:after="240" w:before="0" w:beforeAutospacing="0" w:line="240" w:lineRule="auto"/>
        <w:ind w:left="720" w:hanging="360"/>
      </w:pPr>
      <w:r w:rsidDel="00000000" w:rsidR="00000000" w:rsidRPr="00000000">
        <w:rPr>
          <w:rFonts w:ascii="Times New Roman" w:cs="Times New Roman" w:eastAsia="Times New Roman" w:hAnsi="Times New Roman"/>
          <w:rtl w:val="0"/>
        </w:rPr>
        <w:t xml:space="preserve">To grow interest in the field of drone technology among participants, encouraging future career paths in this area.</w:t>
      </w:r>
    </w:p>
    <w:p w:rsidR="00000000" w:rsidDel="00000000" w:rsidP="00000000" w:rsidRDefault="00000000" w:rsidRPr="00000000" w14:paraId="000000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Photos:</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19788" cy="3943197"/>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19788" cy="394319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943600" cy="39624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Drone Training program benefited students, hobbyists, and aspiring professionals by providing hands-on experience with drone operation and aerial photography. Participants gained confidence in using drone technology, and many showed interest in pursuing further training.</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Fonts w:ascii="Times New Roman" w:cs="Times New Roman" w:eastAsia="Times New Roman" w:hAnsi="Times New Roman"/>
          <w:b w:val="1"/>
          <w:rtl w:val="0"/>
        </w:rPr>
        <w:br w:type="textWrapping"/>
      </w:r>
      <w:commentRangeStart w:id="0"/>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1820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completed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end Selimaj" w:id="0" w:date="2024-11-05T12:46:21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Donations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half Payments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