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Shablloni për dorëzim të projektit në lëndën “Lëndë Laboratorike 1 (Projekt Grupor)”  ‘Qershor 2026’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Nr. i projektit:</w:t>
      </w:r>
      <w:r w:rsidDel="00000000" w:rsidR="00000000" w:rsidRPr="00000000">
        <w:rPr>
          <w:rtl w:val="0"/>
        </w:rPr>
        <w:t xml:space="preserve"> 136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Titulli i projektit:</w:t>
      </w:r>
      <w:r w:rsidDel="00000000" w:rsidR="00000000" w:rsidRPr="00000000">
        <w:rPr>
          <w:rtl w:val="0"/>
        </w:rPr>
        <w:t xml:space="preserve"> Online Hosting Service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Teknologjitë e përdorura: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Laravel v13.2.0 ( Backend)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Laravel Sanctum v4.0 ( Authentikimi)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React js v19.2.4</w:t>
      </w:r>
      <w:r w:rsidDel="00000000" w:rsidR="00000000" w:rsidRPr="00000000">
        <w:rPr>
          <w:rtl w:val="0"/>
        </w:rPr>
        <w:t xml:space="preserve"> ( Frontend)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React-Router-Dom v7.13.2 ( Routing) // spo di shqip qysh me perkthy routing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react-redux v.9.2.0 ( Menaxhimi i state-it)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Bootstrap v5.3.8( Stilizimi)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MySQL( Databaza)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Postman( Testimin e API Endpoint-ave)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GitHub( Menaxhimi dhe Bashkpunimi i kodit)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Përshkrimi i punës në projekt (1 apo 2 paragrafe – për funksionalitet e realizuara):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Një platformë shërbimi hosting plotësisht funksionale e ndërtuar duke përdorur Laravel për backend dhe React për frontend. Platforma u lejon klientëve të regjistrohen dhe të authentikohen në mënyrë të sigurt duke përdorur authentikimin e bazuar me token “Laravel Sanctum”. Klientët mund të shfletojnë dhe të abonohen në paketa hosting, dhe të menaxhojnë abonimet e tyre duke aktivizuar, anuluar ose çaktivizuar rinovimin automatik, dhe të monitorojnë llogaritë e tyre të hostingut. Aplikacioni ndjek praktikat moderne të zhvillimit të “web-it”, duke përfshirë menaxhimin e gjendjes Redux për gjendjen globale të aplikacionit, validimin e formularëve dhe një ndërfaqe të bazuar në Bootstrap që përshtatet në të gjitha pajisjet desktop dhe mobile.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Platforma gjithashtu përmban një panel administrimi gjithëpërfshirës me një sistem të veçantë vërtetimi, duke u lejuar administratorëve të menaxhojnë të gjitha aspektet e platformës( CRUD), duke përfshirë klientët, abonimet, paketat e hostimit, etj.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Përbërja e grupit:</w:t>
      </w:r>
    </w:p>
    <w:tbl>
      <w:tblPr>
        <w:tblStyle w:val="Table1"/>
        <w:tblW w:w="1032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360"/>
        <w:gridCol w:w="1620"/>
        <w:gridCol w:w="1843"/>
        <w:gridCol w:w="2551"/>
        <w:gridCol w:w="3946"/>
        <w:tblGridChange w:id="0">
          <w:tblGrid>
            <w:gridCol w:w="360"/>
            <w:gridCol w:w="1620"/>
            <w:gridCol w:w="1843"/>
            <w:gridCol w:w="2551"/>
            <w:gridCol w:w="3946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Emri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Mbiemri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color w:val="fff9f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9f9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242573278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Shend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Tytynxhiu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st73278@ubt-uni.net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fff9f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9f9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242573584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Ekloan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Kalludra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ek73584@ubt-uni.net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fff9f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9f9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242573800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Andre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ar73800@ubt-uni.net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Link-u I GitHub-it ( ende nuk eshte perfunduar):</w:t>
      </w:r>
    </w:p>
    <w:p w:rsidR="00000000" w:rsidDel="00000000" w:rsidP="00000000" w:rsidRDefault="00000000" w:rsidRPr="00000000" w14:paraId="0000002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https://github.com/Shend-T/Hosting-Service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2606675</wp:posOffset>
          </wp:positionH>
          <wp:positionV relativeFrom="paragraph">
            <wp:posOffset>-302259</wp:posOffset>
          </wp:positionV>
          <wp:extent cx="621792" cy="621792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1792" cy="62179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Lëndë Laboratorike 1 (Projekt Grupor)</w:t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5d5" w:val="clear"/>
    </w:tcPr>
    <w:tblStylePr w:type="band1Horz">
      <w:tcPr>
        <w:shd w:fill="f7cbac" w:val="clear"/>
      </w:tcPr>
    </w:tblStylePr>
    <w:tblStylePr w:type="band1Vert">
      <w:tcPr>
        <w:shd w:fill="f7cbac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ed7d31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ed7d31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ed7d31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ed7d31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hend-T/Hosting-Service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