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85FA5"/>
          <w:sz w:val="56"/>
          <w:szCs w:val="56"/>
        </w:rPr>
        <w:t xml:space="preserve">O.R.B.I.T.A.</w:t>
      </w:r>
    </w:p>
    <w:p>
      <w:pPr>
        <w:spacing w:after="40"/>
        <w:jc w:val="center"/>
      </w:pPr>
      <w:r>
        <w:rPr>
          <w:i/>
          <w:iCs/>
          <w:color w:val="5F5E5A"/>
          <w:sz w:val="18"/>
          <w:szCs w:val="18"/>
        </w:rPr>
        <w:t xml:space="preserve">Operational Risk &amp; Balance Intelligence via Technique Analysis</w:t>
      </w:r>
    </w:p>
    <w:p>
      <w:pPr>
        <w:pBdr>
          <w:bottom w:val="single" w:color="185FA5" w:sz="6" w:space="6"/>
        </w:pBdr>
        <w:spacing w:after="80" w:before="200"/>
        <w:jc w:val="center"/>
      </w:pPr>
      <w:r>
        <w:rPr>
          <w:b/>
          <w:bCs/>
          <w:color w:val="000000"/>
          <w:sz w:val="32"/>
          <w:szCs w:val="32"/>
        </w:rPr>
        <w:t xml:space="preserve">Modelagem Linear para Aprendizado de Máquina</w:t>
      </w:r>
    </w:p>
    <w:p>
      <w:pPr>
        <w:spacing w:after="120"/>
        <w:jc w:val="center"/>
      </w:pPr>
      <w:r>
        <w:rPr>
          <w:color w:val="5F5E5A"/>
          <w:sz w:val="22"/>
          <w:szCs w:val="22"/>
        </w:rPr>
        <w:t xml:space="preserve">Relatório Técnico — Análise Estatística da Economia Espacial</w:t>
      </w:r>
    </w:p>
    <w:p>
      <w:pPr>
        <w:spacing w:after="360"/>
        <w:jc w:val="center"/>
      </w:pPr>
      <w:r>
        <w:rPr>
          <w:color w:val="5F5E5A"/>
          <w:sz w:val="20"/>
          <w:szCs w:val="20"/>
        </w:rPr>
        <w:t xml:space="preserve">Equipe Aldebaran  •  Global Solution FIAP 2026.1</w:t>
      </w:r>
    </w:p>
    <w:p>
      <w:pPr>
        <w:pStyle w:val="Heading1"/>
      </w:pPr>
      <w:r>
        <w:t xml:space="preserve">1. Objetivo da Disciplina no Projeto</w:t>
      </w:r>
    </w:p>
    <w:p>
      <w:pPr>
        <w:spacing w:after="160" w:line="300"/>
        <w:jc w:val="both"/>
      </w:pPr>
      <w:r>
        <w:t xml:space="preserve">A disciplina de </w:t>
      </w:r>
      <w:r>
        <w:rPr>
          <w:b/>
          <w:bCs/>
        </w:rPr>
        <w:t xml:space="preserve">Modelagem Linear para Aprendizado de Máquina</w:t>
      </w:r>
      <w:r>
        <w:t xml:space="preserve"> pede a coleta, organização e análise estatística de dados reais da economia espacial, com tabelas de frequência, medidas descritivas, gráficos e uma transformação linear matricial — a base do pré-processamento de dados em aprendizado de máquina.</w:t>
      </w:r>
    </w:p>
    <w:p>
      <w:pPr>
        <w:spacing w:after="160" w:line="300"/>
        <w:jc w:val="both"/>
      </w:pPr>
      <w:r>
        <w:t xml:space="preserve">No O.R.B.I.T.A., isso é o arquivo </w:t>
      </w:r>
      <w:r>
        <w:rPr>
          <w:rFonts w:ascii="Consolas" w:cs="Consolas" w:eastAsia="Consolas" w:hAnsi="Consolas"/>
          <w:color w:val="A32D2D"/>
          <w:sz w:val="20"/>
          <w:szCs w:val="20"/>
        </w:rPr>
        <w:t xml:space="preserve">stats_analysis.py</w:t>
      </w:r>
      <w:r>
        <w:t xml:space="preserve">, que trabalha sobre a </w:t>
      </w:r>
      <w:r>
        <w:rPr>
          <w:b/>
          <w:bCs/>
        </w:rPr>
        <w:t xml:space="preserve">UCS Satellite Database</w:t>
      </w:r>
      <w:r>
        <w:t xml:space="preserve">, base pública com 1.305 satélites operacionais em órbita terrestre, mantida pela Union of Concerned Scientists.</w:t>
      </w:r>
    </w:p>
    <w:p>
      <w:pPr>
        <w:pStyle w:val="Heading1"/>
      </w:pPr>
      <w:r>
        <w:t xml:space="preserve">2. Coleta e Organização dos Dados</w:t>
      </w:r>
    </w:p>
    <w:p>
      <w:pPr>
        <w:spacing w:after="160" w:line="300"/>
        <w:jc w:val="both"/>
      </w:pPr>
      <w:r>
        <w:t xml:space="preserve">O sistema baixa e carrega o dataset real, seleciona as colunas relevantes (classe de órbita, massa de lançamento, perigeu, apogeu, inclinação) e trata valores ausentes. Usar dados reais — e não fictícios — dá legitimidade estatística à análise e aproxima o trabalho do que se faz em projetos de aprendizado de máquina.</w:t>
      </w:r>
    </w:p>
    <w:p>
      <w:pPr>
        <w:pStyle w:val="Heading1"/>
      </w:pPr>
      <w:r>
        <w:t xml:space="preserve">3. Tabelas de Frequência</w:t>
      </w:r>
    </w:p>
    <w:p>
      <w:pPr>
        <w:spacing w:after="160" w:line="300"/>
        <w:jc w:val="both"/>
      </w:pPr>
      <w:r>
        <w:t xml:space="preserve">Foram construídas duas tabelas de frequência, uma para variável </w:t>
      </w:r>
      <w:r>
        <w:rPr>
          <w:b/>
          <w:bCs/>
        </w:rPr>
        <w:t xml:space="preserve">discreta</w:t>
      </w:r>
      <w:r>
        <w:t xml:space="preserve"> (classe de órbita) e outra para variável </w:t>
      </w:r>
      <w:r>
        <w:rPr>
          <w:b/>
          <w:bCs/>
        </w:rPr>
        <w:t xml:space="preserve">contínua</w:t>
      </w:r>
      <w:r>
        <w:t xml:space="preserve"> (massa de lançamento, agrupada em classes). A distribuição por órbita revela a concentração esmagadora em órbita baixa: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Classe de Órbita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Percentual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LEO (baixa)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53,3%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 (geoestacionária)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36,9%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MEO (média)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6,7%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Elliptical (elíptica)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3,1%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Análise Gráfica</w:t>
      </w:r>
    </w:p>
    <w:p>
      <w:pPr>
        <w:spacing w:after="160" w:line="300"/>
        <w:jc w:val="both"/>
      </w:pPr>
      <w:r>
        <w:t xml:space="preserve">Quatro gráficos foram gerados para comunicar diferentes aspectos dos dados.</w:t>
      </w:r>
    </w:p>
    <w:p>
      <w:pPr>
        <w:spacing w:after="160" w:line="300"/>
        <w:jc w:val="both"/>
      </w:pPr>
      <w:r>
        <w:rPr>
          <w:b/>
          <w:bCs/>
        </w:rPr>
        <w:t xml:space="preserve">Figura 1 — Distribuição por classe de órbita.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8"/>
          <w:szCs w:val="18"/>
        </w:rPr>
        <w:t xml:space="preserve">Gráfico de barras com percentuais e legenda das siglas orbitais.</w:t>
      </w:r>
    </w:p>
    <w:p>
      <w:pPr>
        <w:spacing w:after="160" w:line="300"/>
        <w:jc w:val="both"/>
      </w:pPr>
      <w:r>
        <w:t xml:space="preserve">Mostra que mais da metade dos satélites operacionais está em órbita baixa (LEO), refletindo a era das megaconstelações de comunicação.</w:t>
      </w:r>
    </w:p>
    <w:p>
      <w:pPr>
        <w:spacing w:after="160" w:line="300"/>
        <w:jc w:val="both"/>
      </w:pPr>
      <w:r>
        <w:rPr>
          <w:b/>
          <w:bCs/>
        </w:rPr>
        <w:t xml:space="preserve">Figura 2 — Distribuição da massa de lançamento.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8"/>
          <w:szCs w:val="18"/>
        </w:rPr>
        <w:t xml:space="preserve">Histograma com curva de densidade (KDE), média e mediana.</w:t>
      </w:r>
    </w:p>
    <w:p>
      <w:pPr>
        <w:spacing w:after="160" w:line="300"/>
        <w:jc w:val="both"/>
      </w:pPr>
      <w:r>
        <w:t xml:space="preserve">A distribuição é fortemente </w:t>
      </w:r>
      <w:r>
        <w:rPr>
          <w:b/>
          <w:bCs/>
        </w:rPr>
        <w:t xml:space="preserve">assimétrica à direita</w:t>
      </w:r>
      <w:r>
        <w:t xml:space="preserve">: a maioria dos satélites é leve, mas alguns muito pesados puxam a média (2.087 kg) para bem acima da mediana (1.415 kg). Essa diferença entre média e mediana é uma medida descritiva central da análise.</w:t>
      </w:r>
    </w:p>
    <w:p>
      <w:pPr>
        <w:spacing w:after="160" w:line="300"/>
        <w:jc w:val="both"/>
      </w:pPr>
      <w:r>
        <w:rPr>
          <w:b/>
          <w:bCs/>
        </w:rPr>
        <w:t xml:space="preserve">Figura 3 — Transformação linear matricial.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8"/>
          <w:szCs w:val="18"/>
        </w:rPr>
        <w:t xml:space="preserve">Perigeu vs. apogeu antes (escala log) e depois da normalização Min-Max.</w:t>
      </w:r>
    </w:p>
    <w:p>
      <w:pPr>
        <w:spacing w:after="160" w:line="300"/>
        <w:jc w:val="both"/>
      </w:pPr>
      <w:r>
        <w:t xml:space="preserve">É o gráfico mais importante para a disciplina. À esquerda, em escala logarítmica, vê-se a estrutura real dos dados: satélites de órbita circular formam uma diagonal, e os de órbita elíptica ficam acima dela. À direita, o mesmo conjunto após a transformação para o intervalo [0, 1].</w:t>
      </w:r>
    </w:p>
    <w:p>
      <w:pPr>
        <w:spacing w:after="160" w:line="300"/>
        <w:jc w:val="both"/>
      </w:pPr>
      <w:r>
        <w:rPr>
          <w:b/>
          <w:bCs/>
        </w:rPr>
        <w:t xml:space="preserve">Figura 4 — Massa por classe de órbita.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5E5A"/>
          <w:sz w:val="18"/>
          <w:szCs w:val="18"/>
        </w:rPr>
        <w:t xml:space="preserve">Boxplot comparando a massa entre as classes de órbita (análise bivariada).</w:t>
      </w:r>
    </w:p>
    <w:p>
      <w:pPr>
        <w:spacing w:after="160" w:line="300"/>
        <w:jc w:val="both"/>
      </w:pPr>
      <w:r>
        <w:t xml:space="preserve">Evidencia que satélites GEO são tipicamente mais pesados que os LEO, com medianas e quartis distintos — uma relação entre duas variáveis que enriquece a análise descritiva.</w:t>
      </w:r>
    </w:p>
    <w:p>
      <w:pPr>
        <w:pStyle w:val="Heading1"/>
      </w:pPr>
      <w:r>
        <w:t xml:space="preserve">5. A Transformação Linear Matricial</w:t>
      </w:r>
    </w:p>
    <w:p>
      <w:pPr>
        <w:spacing w:after="160" w:line="300"/>
        <w:jc w:val="both"/>
      </w:pPr>
      <w:r>
        <w:t xml:space="preserve">O coração da disciplina é a </w:t>
      </w:r>
      <w:r>
        <w:rPr>
          <w:b/>
          <w:bCs/>
        </w:rPr>
        <w:t xml:space="preserve">transformação linear via álgebra matricial</w:t>
      </w:r>
      <w:r>
        <w:t xml:space="preserve">. O sistema normaliza os parâmetros orbitais pela técnica Min-Max, expressa como uma operação matricial: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85FA5" w:sz="4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X_norm = (X − X_min) @ 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onde T = diag( 1 / (X_max − X_min)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     : matriz original (satélites × parâmetros)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      : matriz diagonal dos fatores de escala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X_norm : matriz normalizada no intervalo [0, 1]</w:t>
            </w:r>
          </w:p>
        </w:tc>
      </w:tr>
    </w:tbl>
    <w:p>
      <w:pPr>
        <w:spacing w:after="160" w:line="300"/>
        <w:jc w:val="both"/>
      </w:pPr>
      <w:r>
        <w:t xml:space="preserve">A matriz </w:t>
      </w:r>
      <w:r>
        <w:rPr>
          <w:rFonts w:ascii="Consolas" w:cs="Consolas" w:eastAsia="Consolas" w:hAnsi="Consolas"/>
          <w:color w:val="A32D2D"/>
          <w:sz w:val="20"/>
          <w:szCs w:val="20"/>
        </w:rPr>
        <w:t xml:space="preserve">T</w:t>
      </w:r>
      <w:r>
        <w:t xml:space="preserve"> é diagonal porque cada parâmetro é escalado independentemente. Essa transformação é exatamente o passo de </w:t>
      </w:r>
      <w:r>
        <w:rPr>
          <w:b/>
          <w:bCs/>
        </w:rPr>
        <w:t xml:space="preserve">normalização de features</w:t>
      </w:r>
      <w:r>
        <w:t xml:space="preserve"> que precede o treino de quase todo modelo de aprendizado de máquina — sem ela, variáveis em escalas muito diferentes (perigeu em centenas vs. apogeu em dezenas de milhares de km) distorceriam o aprendizado.</w:t>
      </w:r>
    </w:p>
    <w:p>
      <w:pPr>
        <w:pStyle w:val="Heading1"/>
      </w:pPr>
      <w:r>
        <w:t xml:space="preserve">6. Por que Essas Decisões</w:t>
      </w:r>
    </w:p>
    <w:p>
      <w:pPr>
        <w:spacing w:after="160" w:line="300"/>
        <w:jc w:val="both"/>
      </w:pPr>
      <w:r>
        <w:t xml:space="preserve">Usar uma base real de 1.305 satélites dá peso estatístico ao trabalho. As tabelas de frequência e as medidas descritivas (média, mediana, desvio) caracterizam os dados antes de qualquer modelagem. A escolha da escala logarítmica no gráfico da transformação foi deliberada: dados orbitais variam em ordens de magnitude, e só a escala log revela sua estrutura. E expressar a normalização como multiplicação matricial — em vez de uma simples divisão — conecta o trabalho diretamente ao ferramental de álgebra linear que sustenta o aprendizado de máquina, que é o objetivo final da disciplina.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Modelagem Linear para Aprendizado de Máquina  |  Página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85FA5" w:sz="4" w:space="4"/>
      </w:pBdr>
      <w:jc w:val="right"/>
    </w:pPr>
    <w:r>
      <w:rPr>
        <w:color w:val="5F5E5A"/>
        <w:sz w:val="16"/>
        <w:szCs w:val="16"/>
      </w:rPr>
      <w:t xml:space="preserve">O.R.B.I.T.A. — Equipe Aldebaran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85FA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85FA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d5bcdb6b0b7e7b4cf4a865dabcd260a160a32d.png"/><Relationship Id="rId10" Type="http://schemas.openxmlformats.org/officeDocument/2006/relationships/image" Target="media/4aa26c0f9e71767bd9e37bfa107a8b7ebc528898.png"/><Relationship Id="rId11" Type="http://schemas.openxmlformats.org/officeDocument/2006/relationships/image" Target="media/41a1d5e46afc1a9dfeb1a870543b3b36479c4dfb.png"/><Relationship Id="rId12" Type="http://schemas.openxmlformats.org/officeDocument/2006/relationships/image" Target="media/6ec377d4827d382a0bcaee2346f67cf686e574e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Linear para Aprendizado de Máquina</dc:title>
  <dc:creator>Equipe Aldebaran</dc:creator>
  <cp:lastModifiedBy>Un-named</cp:lastModifiedBy>
  <cp:revision>1</cp:revision>
  <dcterms:created xsi:type="dcterms:W3CDTF">2026-06-09T11:47:40.777Z</dcterms:created>
  <dcterms:modified xsi:type="dcterms:W3CDTF">2026-06-09T11:47:40.777Z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