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14="http://schemas.microsoft.com/office/word/2010/wordml" mc:Ignorable="w14">
  <w:body>
    <w:p>
      <w:pPr>
        <w:jc w:val="center"/>
        <w:spacing w:before="0" w:after="0" w:line="480" w:lineRule="auto"/>
      </w:pPr>
      <w:r>
        <w:rPr>
          <w:b/>
          <w:rFonts w:ascii="Times New Roman" w:hAnsi="Times New Roman" w:eastAsia="標楷體" w:cs="Times New Roman"/>
          <w:sz w:val="32"/>
          <w:szCs w:val="32"/>
        </w:rPr>
        <w:t xml:space="preserve">生成式 AI 合作論證鷹架對大學生英文議論文寫作品質與寫作自我效能之影響</w:t>
      </w:r>
    </w:p>
    <w:p>
      <w:pPr>
        <w:jc w:val="center"/>
        <w:spacing w:before="0" w:after="0" w:line="480" w:lineRule="auto"/>
      </w:pPr>
      <w:r>
        <w:rPr>
          <w:b/>
          <w:rFonts w:ascii="Times New Roman" w:hAnsi="Times New Roman" w:eastAsia="Times New Roman" w:cs="Times New Roman"/>
          <w:sz w:val="32"/>
          <w:szCs w:val="32"/>
        </w:rPr>
        <w:t xml:space="preserve">Effects of Generative AI-Supported Collaborative Argumentation Scaffolds on University Students’ English Argumentative Writing Quality and Writing Self-Efficacy</w:t>
      </w:r>
    </w:p>
    <w:p>
      <w:pPr>
        <w:spacing w:before="0" w:after="0" w:line="240" w:lineRule="auto"/>
      </w:pPr>
      <w:r>
        <w:rPr>
          <w:rFonts w:ascii="Times New Roman" w:hAnsi="Times New Roman" w:eastAsia="標楷體" w:cs="Times New Roman"/>
          <w:sz w:val="24"/>
          <w:szCs w:val="24"/>
        </w:rPr>
        <w:t xml:space="preserve"/>
      </w:r>
    </w:p>
    <w:p>
      <w:pPr>
        <w:jc w:val="center"/>
        <w:spacing w:before="0" w:after="0" w:line="240" w:lineRule="auto"/>
      </w:pPr>
      <w:r>
        <w:rPr>
          <w:rFonts w:ascii="Times New Roman" w:hAnsi="Times New Roman" w:eastAsia="標楷體" w:cs="Times New Roman"/>
          <w:sz w:val="24"/>
          <w:szCs w:val="24"/>
        </w:rPr>
        <w:t xml:space="preserve">𣛮孟辰</w:t>
      </w:r>
    </w:p>
    <w:p>
      <w:pPr>
        <w:jc w:val="center"/>
        <w:spacing w:before="0" w:after="0" w:line="240" w:lineRule="auto"/>
      </w:pPr>
      <w:r>
        <w:rPr>
          <w:rFonts w:ascii="Times New Roman" w:hAnsi="Times New Roman" w:eastAsia="標楷體" w:cs="Times New Roman"/>
          <w:sz w:val="24"/>
          <w:szCs w:val="24"/>
        </w:rPr>
        <w:t xml:space="preserve">國立中央大學網路學習科技研究所</w:t>
      </w:r>
    </w:p>
    <w:p>
      <w:pPr>
        <w:jc w:val="center"/>
        <w:spacing w:before="0" w:after="0" w:line="240" w:lineRule="auto"/>
      </w:pPr>
      <w:r>
        <w:rPr>
          <w:rFonts w:ascii="Times New Roman" w:hAnsi="Times New Roman" w:eastAsia="標楷體" w:cs="Times New Roman"/>
          <w:sz w:val="24"/>
          <w:szCs w:val="24"/>
        </w:rPr>
        <w:t xml:space="preserve">113524003</w:t>
      </w:r>
    </w:p>
    <w:p>
      <w:pPr>
        <w:spacing w:before="0" w:after="0" w:line="240" w:lineRule="auto"/>
      </w:pPr>
      <w:r>
        <w:rPr>
          <w:rFonts w:ascii="Times New Roman" w:hAnsi="Times New Roman" w:eastAsia="標楷體" w:cs="Times New Roman"/>
          <w:sz w:val="24"/>
          <w:szCs w:val="24"/>
        </w:rPr>
        <w:t xml:space="preserve"/>
      </w:r>
    </w:p>
    <w:p>
      <w:pPr>
        <w:spacing w:before="0" w:after="0" w:line="300" w:lineRule="auto"/>
      </w:pPr>
      <w:r>
        <w:rPr>
          <w:b/>
          <w:rFonts w:ascii="Times New Roman" w:hAnsi="Times New Roman" w:eastAsia="標楷體" w:cs="Times New Roman"/>
          <w:sz w:val="24"/>
          <w:szCs w:val="24"/>
        </w:rPr>
        <w:t xml:space="preserve">【摘要】</w:t>
      </w:r>
      <w:r>
        <w:rPr>
          <w:rFonts w:ascii="Times New Roman" w:hAnsi="Times New Roman" w:eastAsia="標楷體" w:cs="Times New Roman"/>
          <w:sz w:val="24"/>
          <w:szCs w:val="24"/>
        </w:rPr>
        <w:t xml:space="preserve"> 本研究設計一項準實驗量化研究，探討結合 Knowledge Forum 合作論證與生成式 AI 寫作鷹架之平台，是否能提升大學生英文議論文寫作品質與寫作自我效能。研究採前後測不等組設計，比較平台組與一般 AI 寫作輔助組，蒐集議論文評分、問卷與系統歷程資料，並以 ANCOVA 與線性混合模型進行分析。預期本研究可說明引導式 AI 相較於一般生成式 AI 在英文寫作教學中的價值。</w:t>
      </w:r>
    </w:p>
    <w:p>
      <w:pPr>
        <w:spacing w:before="0" w:after="0" w:line="300" w:lineRule="auto"/>
      </w:pPr>
      <w:r>
        <w:rPr>
          <w:b/>
          <w:rFonts w:ascii="Times New Roman" w:hAnsi="Times New Roman" w:eastAsia="標楷體" w:cs="Times New Roman"/>
          <w:sz w:val="24"/>
          <w:szCs w:val="24"/>
        </w:rPr>
        <w:t xml:space="preserve">【關鍵詞】</w:t>
      </w:r>
      <w:r>
        <w:rPr>
          <w:rFonts w:ascii="Times New Roman" w:hAnsi="Times New Roman" w:eastAsia="標楷體" w:cs="Times New Roman"/>
          <w:sz w:val="24"/>
          <w:szCs w:val="24"/>
        </w:rPr>
        <w:t xml:space="preserve"> 生成式人工智慧、合作論證、英文議論文、寫作自我效能、準實驗設計</w:t>
      </w:r>
    </w:p>
    <w:p>
      <w:pPr>
        <w:spacing w:before="0" w:after="0" w:line="240" w:lineRule="auto"/>
      </w:pPr>
      <w:r>
        <w:rPr>
          <w:rFonts w:ascii="Times New Roman" w:hAnsi="Times New Roman" w:eastAsia="標楷體" w:cs="Times New Roman"/>
          <w:sz w:val="24"/>
          <w:szCs w:val="24"/>
        </w:rPr>
        <w:t xml:space="preserve"/>
      </w:r>
    </w:p>
    <w:p>
      <w:pPr>
        <w:spacing w:before="0" w:after="0" w:line="300" w:lineRule="auto"/>
      </w:pPr>
      <w:r>
        <w:rPr>
          <w:b/>
          <w:i/>
          <w:rFonts w:ascii="Times New Roman" w:hAnsi="Times New Roman" w:eastAsia="Times New Roman" w:cs="Times New Roman"/>
          <w:sz w:val="24"/>
          <w:szCs w:val="24"/>
        </w:rPr>
        <w:t xml:space="preserve">Abstract:</w:t>
      </w:r>
      <w:r>
        <w:rPr>
          <w:i/>
          <w:rFonts w:ascii="Times New Roman" w:hAnsi="Times New Roman" w:eastAsia="Times New Roman" w:cs="Times New Roman"/>
          <w:sz w:val="24"/>
          <w:szCs w:val="24"/>
        </w:rPr>
        <w:t xml:space="preserve"> This proposal presents a quantitative quasi-experimental study examining whether a generative AI-supported collaborative argumentation writing platform improves university students’ English argumentative writing quality and writing self-efficacy. A pretest-posttest nonequivalent group design will compare a platform group using Knowledge Forum, AI argument summarization, guided outlining, and writing analysis with a comparison group using general AI writing support. Data will include argumentative essay scores, writing self-efficacy questionnaires, cognitive-load ratings, and system logs. ANCOVA and linear mixed models will be used to test group differences while controlling for pretest writing ability. Expected findings will clarify the instructional value of guided AI scaffolding rather than direct AI text generation.</w:t>
      </w:r>
    </w:p>
    <w:p>
      <w:pPr>
        <w:spacing w:before="0" w:after="0" w:line="300" w:lineRule="auto"/>
      </w:pPr>
      <w:r>
        <w:rPr>
          <w:b/>
          <w:i/>
          <w:rFonts w:ascii="Times New Roman" w:hAnsi="Times New Roman" w:eastAsia="Times New Roman" w:cs="Times New Roman"/>
          <w:sz w:val="24"/>
          <w:szCs w:val="24"/>
        </w:rPr>
        <w:t xml:space="preserve">Keywords:</w:t>
      </w:r>
      <w:r>
        <w:rPr>
          <w:rFonts w:ascii="Times New Roman" w:hAnsi="Times New Roman" w:eastAsia="Times New Roman" w:cs="Times New Roman"/>
          <w:sz w:val="24"/>
          <w:szCs w:val="24"/>
        </w:rPr>
        <w:t xml:space="preserve"> generative AI, collaborative argumentation, English argumentative writing, writing self-efficacy, quasi-experimental design</w:t>
      </w:r>
    </w:p>
    <w:p>
      <w:pPr>
        <w:spacing w:before="160" w:after="80" w:line="480" w:lineRule="auto"/>
        <w:keepNext/>
      </w:pPr>
      <w:r>
        <w:rPr>
          <w:b/>
          <w:rFonts w:ascii="Times New Roman" w:hAnsi="Times New Roman" w:eastAsia="標楷體" w:cs="Times New Roman"/>
          <w:sz w:val="28"/>
          <w:szCs w:val="28"/>
        </w:rPr>
        <w:t xml:space="preserve">1. 前言</w:t>
      </w:r>
    </w:p>
    <w:p>
      <w:pPr>
        <w:ind w:firstLine="360"/>
        <w:spacing w:before="0" w:after="0" w:line="300" w:lineRule="auto"/>
      </w:pPr>
      <w:r>
        <w:rPr>
          <w:rFonts w:ascii="Times New Roman" w:hAnsi="Times New Roman" w:eastAsia="標楷體" w:cs="Times New Roman"/>
          <w:sz w:val="24"/>
          <w:szCs w:val="24"/>
        </w:rPr>
        <w:t xml:space="preserve">英文議論文寫作要求學生同時處理立場建立、論點發展、證據選擇、反方觀點回應與語言表達，因此對 EFL 大學生而言具有高度認知負荷。寫作歷程理論指出，寫作並非一次性產出，而是由規劃、轉譯與修訂等歷程交互構成（Flower &amp; Hayes, 1981）。然而，初入大學的學生常未充分理解「argument」在學術寫作中的意義，導致文章容易停留於意見陳述，缺乏可檢驗的理由、證據與反駁（Wingate, 2012）。寫作教學研究亦顯示，明確策略教學、計畫與回饋能有效提升寫作表現（Graham &amp; Perin, 2007）。因此，如何在正式寫作前提供結構化鷹架，是教育科技支援英文議論文寫作的重要問題。</w:t>
      </w:r>
    </w:p>
    <w:p>
      <w:pPr>
        <w:ind w:firstLine="360"/>
        <w:spacing w:before="0" w:after="0" w:line="300" w:lineRule="auto"/>
      </w:pPr>
      <w:r>
        <w:rPr>
          <w:rFonts w:ascii="Times New Roman" w:hAnsi="Times New Roman" w:eastAsia="標楷體" w:cs="Times New Roman"/>
          <w:sz w:val="24"/>
          <w:szCs w:val="24"/>
        </w:rPr>
        <w:t xml:space="preserve">合作論證可使學生在小組互動中提出主張、分享證據並回應不同觀點。電腦支援合作論證研究指出，線上環境能保存討論歷程並支援論證建構，但若缺乏後續整理機制，學生仍可能難以把小組討論轉化為個人文章（Noroozi et al., 2012）。知識建構觀點也強調，學習者需要透過持續改進想法，將個人與社群知識連結起來（Scardamalia &amp; Bereiter, 2014）。因此，若系統能自動摘要小組論證內容，並將其轉換為個人化寫作大綱，將可能降低學生在寫作前規劃階段的認知負擔。</w:t>
      </w:r>
    </w:p>
    <w:p>
      <w:pPr>
        <w:ind w:firstLine="360"/>
        <w:spacing w:before="0" w:after="0" w:line="300" w:lineRule="auto"/>
      </w:pPr>
      <w:r>
        <w:rPr>
          <w:rFonts w:ascii="Times New Roman" w:hAnsi="Times New Roman" w:eastAsia="標楷體" w:cs="Times New Roman"/>
          <w:sz w:val="24"/>
          <w:szCs w:val="24"/>
        </w:rPr>
        <w:t xml:space="preserve">近年大型語言模型被廣泛應用於教育場域，可提供即時回饋、個別化解釋與文本生成支援；但研究也提醒，生成式 AI 可能造成過度依賴、錯誤資訊與學術誠信風險（Kasneci et al., 2023）。因此，本研究不將 AI 定位為代寫工具，而是將其設計為引導學生思考的鷹架：先整理 Knowledge Forum 合作論證內容，再以蘇格拉底式提問協助學生完成立場、理由、證據、反方觀點與反駁安排。此設計亦可搭配科技接受模式觀察學生對平台的知覺有用性與知覺易用性，因為這些因素會影響學習科技的使用意願（Davis, 1989; Venkatesh &amp; Davis, 2000）。</w:t>
      </w:r>
    </w:p>
    <w:p>
      <w:pPr>
        <w:ind w:firstLine="360"/>
        <w:spacing w:before="0" w:after="0" w:line="300" w:lineRule="auto"/>
      </w:pPr>
      <w:r>
        <w:rPr>
          <w:rFonts w:ascii="Times New Roman" w:hAnsi="Times New Roman" w:eastAsia="標楷體" w:cs="Times New Roman"/>
          <w:sz w:val="24"/>
          <w:szCs w:val="24"/>
        </w:rPr>
        <w:t xml:space="preserve">本研究目的在於規劃一項量化研究，檢驗「生成式 AI 合作論證鷹架平台」相較於一般生成式 AI 寫作輔助，是否能更有效提升大學生英文議論文寫作品質與寫作自我效能，並降低寫作過程中的外在認知負荷。</w:t>
      </w:r>
    </w:p>
    <w:p>
      <w:pPr>
        <w:spacing w:before="160" w:after="80" w:line="480" w:lineRule="auto"/>
        <w:keepNext/>
      </w:pPr>
      <w:r>
        <w:rPr>
          <w:b/>
          <w:rFonts w:ascii="Times New Roman" w:hAnsi="Times New Roman" w:eastAsia="標楷體" w:cs="Times New Roman"/>
          <w:sz w:val="28"/>
          <w:szCs w:val="28"/>
        </w:rPr>
        <w:t xml:space="preserve">2. 研究問題與假設</w:t>
      </w:r>
    </w:p>
    <w:p>
      <w:pPr>
        <w:spacing w:before="0" w:after="0" w:line="300" w:lineRule="auto"/>
      </w:pPr>
      <w:r>
        <w:rPr>
          <w:rFonts w:ascii="Times New Roman" w:hAnsi="Times New Roman" w:eastAsia="標楷體" w:cs="Times New Roman"/>
          <w:sz w:val="24"/>
          <w:szCs w:val="24"/>
        </w:rPr>
        <w:t xml:space="preserve">RQ1：控制前測英文議論文能力後，使用生成式 AI 合作論證鷹架平台之學生，其後測英文議論文寫作品質是否顯著高於一般生成式 AI 寫作輔助組？</w:t>
      </w:r>
    </w:p>
    <w:p>
      <w:pPr>
        <w:spacing w:before="0" w:after="0" w:line="300" w:lineRule="auto"/>
      </w:pPr>
      <w:r>
        <w:rPr>
          <w:rFonts w:ascii="Times New Roman" w:hAnsi="Times New Roman" w:eastAsia="標楷體" w:cs="Times New Roman"/>
          <w:sz w:val="24"/>
          <w:szCs w:val="24"/>
        </w:rPr>
        <w:t xml:space="preserve">H1：控制前測分數後，平台組學生在後測英文議論文總分與論證相關向度（主張、證據、反駁）將顯著高於一般 AI 組。</w:t>
      </w:r>
    </w:p>
    <w:p>
      <w:pPr>
        <w:spacing w:before="0" w:after="0" w:line="300" w:lineRule="auto"/>
      </w:pPr>
      <w:r>
        <w:rPr>
          <w:rFonts w:ascii="Times New Roman" w:hAnsi="Times New Roman" w:eastAsia="標楷體" w:cs="Times New Roman"/>
          <w:sz w:val="24"/>
          <w:szCs w:val="24"/>
        </w:rPr>
        <w:t xml:space="preserve">RQ2：使用生成式 AI 合作論證鷹架平台是否能提升學生寫作自我效能，並降低英文議論文寫作過程中的外在認知負荷？</w:t>
      </w:r>
    </w:p>
    <w:p>
      <w:pPr>
        <w:spacing w:before="0" w:after="0" w:line="300" w:lineRule="auto"/>
      </w:pPr>
      <w:r>
        <w:rPr>
          <w:rFonts w:ascii="Times New Roman" w:hAnsi="Times New Roman" w:eastAsia="標楷體" w:cs="Times New Roman"/>
          <w:sz w:val="24"/>
          <w:szCs w:val="24"/>
        </w:rPr>
        <w:t xml:space="preserve">H2a：控制前測自我效能後，平台組學生之後測寫作自我效能將顯著高於一般 AI 組。</w:t>
      </w:r>
    </w:p>
    <w:p>
      <w:pPr>
        <w:spacing w:before="0" w:after="0" w:line="300" w:lineRule="auto"/>
      </w:pPr>
      <w:r>
        <w:rPr>
          <w:rFonts w:ascii="Times New Roman" w:hAnsi="Times New Roman" w:eastAsia="標楷體" w:cs="Times New Roman"/>
          <w:sz w:val="24"/>
          <w:szCs w:val="24"/>
        </w:rPr>
        <w:t xml:space="preserve">H2b：平台組學生在寫作任務後回報之外在認知負荷將顯著低於一般 AI 組。</w:t>
      </w:r>
    </w:p>
    <w:p>
      <w:pPr>
        <w:spacing w:before="160" w:after="80" w:line="480" w:lineRule="auto"/>
        <w:keepNext/>
      </w:pPr>
      <w:r>
        <w:rPr>
          <w:b/>
          <w:rFonts w:ascii="Times New Roman" w:hAnsi="Times New Roman" w:eastAsia="標楷體" w:cs="Times New Roman"/>
          <w:sz w:val="28"/>
          <w:szCs w:val="28"/>
        </w:rPr>
        <w:t xml:space="preserve">3. 研究設計</w:t>
      </w:r>
    </w:p>
    <w:p>
      <w:pPr>
        <w:ind w:firstLine="360"/>
        <w:spacing w:before="0" w:after="0" w:line="300" w:lineRule="auto"/>
      </w:pPr>
      <w:r>
        <w:rPr>
          <w:rFonts w:ascii="Times New Roman" w:hAnsi="Times New Roman" w:eastAsia="標楷體" w:cs="Times New Roman"/>
          <w:sz w:val="24"/>
          <w:szCs w:val="24"/>
        </w:rPr>
        <w:t xml:space="preserve">本研究採前後測不等組準實驗設計。因研究場域為大一英文課程，學生已依原班級修課，故以班級為單位分派為實驗組與比較組；若課務允許，將以班級為單位進行隨機分派。兩組皆接受相同英文議論文基本教學、相同寫作主題範圍與相同作業時間，以控制教師教學與任務時間差異。實驗組使用生成式 AI 合作論證鷹架平台，包含 Knowledge Forum 小組論證、AI 論點摘要、AI 寫作大綱引導與 AI 寫作分析。比較組使用一般生成式 AI 寫作輔助，可詢問 AI 產生大綱或回饋，但不提供小組論證摘要、階段式提問與平台筆記串接。此設計可檢驗「有結構的 AI 鷹架」是否優於「一般 AI 工具使用」。</w:t>
      </w:r>
    </w:p>
    <w:p>
      <w:pPr>
        <w:ind w:firstLine="360"/>
        <w:spacing w:before="0" w:after="0" w:line="300" w:lineRule="auto"/>
      </w:pPr>
      <w:r>
        <w:rPr>
          <w:rFonts w:ascii="Times New Roman" w:hAnsi="Times New Roman" w:eastAsia="標楷體" w:cs="Times New Roman"/>
          <w:sz w:val="24"/>
          <w:szCs w:val="24"/>
        </w:rPr>
        <w:t xml:space="preserve">研究期程預計為 5 週。第 1 週進行前測議論文與問卷；第 2 週進行英文議論文架構教學與合作論證活動；第 3 週進行 AI 寫作前規劃；第 4 週完成初稿與 AI 回饋修正；第 5 週進行後測議論文、問卷與認知負荷量表。前後測採用難度相近但題目不同之英文議論文任務，以降低練習效果。</w:t>
      </w:r>
    </w:p>
    <w:p>
      <w:pPr>
        <w:spacing w:before="120" w:after="60" w:line="360" w:lineRule="auto"/>
        <w:keepNext/>
      </w:pPr>
      <w:r>
        <w:rPr>
          <w:b/>
          <w:i/>
          <w:rFonts w:ascii="Times New Roman" w:hAnsi="Times New Roman" w:eastAsia="標楷體" w:cs="Times New Roman"/>
          <w:sz w:val="24"/>
          <w:szCs w:val="24"/>
        </w:rPr>
        <w:t xml:space="preserve">3.1. 研究變項說明</w:t>
      </w:r>
    </w:p>
    <w:p>
      <w:pPr>
        <w:spacing w:before="80" w:after="20" w:line="240" w:lineRule="auto"/>
        <w:keepNext/>
      </w:pPr>
      <w:r>
        <w:rPr>
          <w:rFonts w:ascii="Times New Roman" w:hAnsi="Times New Roman" w:eastAsia="標楷體" w:cs="Times New Roman"/>
          <w:sz w:val="24"/>
          <w:szCs w:val="24"/>
        </w:rPr>
        <w:t xml:space="preserve">表 1、研究變項與操作型定義</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Pr>
      <w:tr>
        <w:tc>
          <w:tcPr>
            <w:tcW w:w="1500" w:type="dxa"/>
          </w:tcPr>
          <w:p>
            <w:pPr>
              <w:spacing w:before="0" w:after="0" w:line="260" w:lineRule="auto"/>
            </w:pPr>
            <w:r>
              <w:rPr>
                <w:b/>
                <w:rFonts w:ascii="Times New Roman" w:hAnsi="Times New Roman" w:eastAsia="標楷體" w:cs="Times New Roman"/>
                <w:sz w:val="20"/>
                <w:szCs w:val="20"/>
              </w:rPr>
              <w:t xml:space="preserve">類型</w:t>
            </w:r>
          </w:p>
        </w:tc>
        <w:tc>
          <w:tcPr>
            <w:tcW w:w="2200" w:type="dxa"/>
          </w:tcPr>
          <w:p>
            <w:pPr>
              <w:spacing w:before="0" w:after="0" w:line="260" w:lineRule="auto"/>
            </w:pPr>
            <w:r>
              <w:rPr>
                <w:b/>
                <w:rFonts w:ascii="Times New Roman" w:hAnsi="Times New Roman" w:eastAsia="標楷體" w:cs="Times New Roman"/>
                <w:sz w:val="20"/>
                <w:szCs w:val="20"/>
              </w:rPr>
              <w:t xml:space="preserve">變項</w:t>
            </w:r>
          </w:p>
        </w:tc>
        <w:tc>
          <w:tcPr>
            <w:tcW w:w="4700" w:type="dxa"/>
          </w:tcPr>
          <w:p>
            <w:pPr>
              <w:spacing w:before="0" w:after="0" w:line="260" w:lineRule="auto"/>
            </w:pPr>
            <w:r>
              <w:rPr>
                <w:b/>
                <w:rFonts w:ascii="Times New Roman" w:hAnsi="Times New Roman" w:eastAsia="標楷體" w:cs="Times New Roman"/>
                <w:sz w:val="20"/>
                <w:szCs w:val="20"/>
              </w:rPr>
              <w:t xml:space="preserve">操作型定義</w:t>
            </w:r>
          </w:p>
        </w:tc>
        <w:tc>
          <w:tcPr>
            <w:tcW w:w="2600" w:type="dxa"/>
          </w:tcPr>
          <w:p>
            <w:pPr>
              <w:spacing w:before="0" w:after="0" w:line="260" w:lineRule="auto"/>
            </w:pPr>
            <w:r>
              <w:rPr>
                <w:b/>
                <w:rFonts w:ascii="Times New Roman" w:hAnsi="Times New Roman" w:eastAsia="標楷體" w:cs="Times New Roman"/>
                <w:sz w:val="20"/>
                <w:szCs w:val="20"/>
              </w:rPr>
              <w:t xml:space="preserve">測量方式</w:t>
            </w:r>
          </w:p>
        </w:tc>
      </w:tr>
      <w:tr>
        <w:tc>
          <w:tcPr>
            <w:tcW w:w="1500" w:type="dxa"/>
          </w:tcPr>
          <w:p>
            <w:pPr>
              <w:spacing w:before="0" w:after="0" w:line="260" w:lineRule="auto"/>
            </w:pPr>
            <w:r>
              <w:rPr>
                <w:rFonts w:ascii="Times New Roman" w:hAnsi="Times New Roman" w:eastAsia="標楷體" w:cs="Times New Roman"/>
                <w:sz w:val="20"/>
                <w:szCs w:val="20"/>
              </w:rPr>
              <w:t xml:space="preserve">自變項</w:t>
            </w:r>
          </w:p>
        </w:tc>
        <w:tc>
          <w:tcPr>
            <w:tcW w:w="2200" w:type="dxa"/>
          </w:tcPr>
          <w:p>
            <w:pPr>
              <w:spacing w:before="0" w:after="0" w:line="260" w:lineRule="auto"/>
            </w:pPr>
            <w:r>
              <w:rPr>
                <w:rFonts w:ascii="Times New Roman" w:hAnsi="Times New Roman" w:eastAsia="標楷體" w:cs="Times New Roman"/>
                <w:sz w:val="20"/>
                <w:szCs w:val="20"/>
              </w:rPr>
              <w:t xml:space="preserve">教學條件</w:t>
            </w:r>
          </w:p>
        </w:tc>
        <w:tc>
          <w:tcPr>
            <w:tcW w:w="4700" w:type="dxa"/>
          </w:tcPr>
          <w:p>
            <w:pPr>
              <w:spacing w:before="0" w:after="0" w:line="260" w:lineRule="auto"/>
            </w:pPr>
            <w:r>
              <w:rPr>
                <w:rFonts w:ascii="Times New Roman" w:hAnsi="Times New Roman" w:eastAsia="標楷體" w:cs="Times New Roman"/>
                <w:sz w:val="20"/>
                <w:szCs w:val="20"/>
              </w:rPr>
              <w:t xml:space="preserve">平台組：合作論證＋AI 摘要＋階段式寫作鷹架；一般 AI 組：可使用一般生成式 AI，但無平台流程。</w:t>
            </w:r>
          </w:p>
        </w:tc>
        <w:tc>
          <w:tcPr>
            <w:tcW w:w="2600" w:type="dxa"/>
          </w:tcPr>
          <w:p>
            <w:pPr>
              <w:spacing w:before="0" w:after="0" w:line="260" w:lineRule="auto"/>
            </w:pPr>
            <w:r>
              <w:rPr>
                <w:rFonts w:ascii="Times New Roman" w:hAnsi="Times New Roman" w:eastAsia="標楷體" w:cs="Times New Roman"/>
                <w:sz w:val="20"/>
                <w:szCs w:val="20"/>
              </w:rPr>
              <w:t xml:space="preserve">班級層級分派，二元變項。</w:t>
            </w:r>
          </w:p>
        </w:tc>
      </w:tr>
      <w:tr>
        <w:tc>
          <w:tcPr>
            <w:tcW w:w="1500" w:type="dxa"/>
          </w:tcPr>
          <w:p>
            <w:pPr>
              <w:spacing w:before="0" w:after="0" w:line="260" w:lineRule="auto"/>
            </w:pPr>
            <w:r>
              <w:rPr>
                <w:rFonts w:ascii="Times New Roman" w:hAnsi="Times New Roman" w:eastAsia="標楷體" w:cs="Times New Roman"/>
                <w:sz w:val="20"/>
                <w:szCs w:val="20"/>
              </w:rPr>
              <w:t xml:space="preserve">依變項一</w:t>
            </w:r>
          </w:p>
        </w:tc>
        <w:tc>
          <w:tcPr>
            <w:tcW w:w="2200" w:type="dxa"/>
          </w:tcPr>
          <w:p>
            <w:pPr>
              <w:spacing w:before="0" w:after="0" w:line="260" w:lineRule="auto"/>
            </w:pPr>
            <w:r>
              <w:rPr>
                <w:rFonts w:ascii="Times New Roman" w:hAnsi="Times New Roman" w:eastAsia="標楷體" w:cs="Times New Roman"/>
                <w:sz w:val="20"/>
                <w:szCs w:val="20"/>
              </w:rPr>
              <w:t xml:space="preserve">英文議論文寫作品質</w:t>
            </w:r>
          </w:p>
        </w:tc>
        <w:tc>
          <w:tcPr>
            <w:tcW w:w="4700" w:type="dxa"/>
          </w:tcPr>
          <w:p>
            <w:pPr>
              <w:spacing w:before="0" w:after="0" w:line="260" w:lineRule="auto"/>
            </w:pPr>
            <w:r>
              <w:rPr>
                <w:rFonts w:ascii="Times New Roman" w:hAnsi="Times New Roman" w:eastAsia="標楷體" w:cs="Times New Roman"/>
                <w:sz w:val="20"/>
                <w:szCs w:val="20"/>
              </w:rPr>
              <w:t xml:space="preserve">學生文章在主張、理由與證據、反方觀點與反駁、組織連貫、語言表達上的表現。</w:t>
            </w:r>
          </w:p>
        </w:tc>
        <w:tc>
          <w:tcPr>
            <w:tcW w:w="2600" w:type="dxa"/>
          </w:tcPr>
          <w:p>
            <w:pPr>
              <w:spacing w:before="0" w:after="0" w:line="260" w:lineRule="auto"/>
            </w:pPr>
            <w:r>
              <w:rPr>
                <w:rFonts w:ascii="Times New Roman" w:hAnsi="Times New Roman" w:eastAsia="標楷體" w:cs="Times New Roman"/>
                <w:sz w:val="20"/>
                <w:szCs w:val="20"/>
              </w:rPr>
              <w:t xml:space="preserve">雙評分者依 5 向度 rubric 評分，每向度 0–5 分，計算總分。</w:t>
            </w:r>
          </w:p>
        </w:tc>
      </w:tr>
      <w:tr>
        <w:tc>
          <w:tcPr>
            <w:tcW w:w="1500" w:type="dxa"/>
          </w:tcPr>
          <w:p>
            <w:pPr>
              <w:spacing w:before="0" w:after="0" w:line="260" w:lineRule="auto"/>
            </w:pPr>
            <w:r>
              <w:rPr>
                <w:rFonts w:ascii="Times New Roman" w:hAnsi="Times New Roman" w:eastAsia="標楷體" w:cs="Times New Roman"/>
                <w:sz w:val="20"/>
                <w:szCs w:val="20"/>
              </w:rPr>
              <w:t xml:space="preserve">依變項二</w:t>
            </w:r>
          </w:p>
        </w:tc>
        <w:tc>
          <w:tcPr>
            <w:tcW w:w="2200" w:type="dxa"/>
          </w:tcPr>
          <w:p>
            <w:pPr>
              <w:spacing w:before="0" w:after="0" w:line="260" w:lineRule="auto"/>
            </w:pPr>
            <w:r>
              <w:rPr>
                <w:rFonts w:ascii="Times New Roman" w:hAnsi="Times New Roman" w:eastAsia="標楷體" w:cs="Times New Roman"/>
                <w:sz w:val="20"/>
                <w:szCs w:val="20"/>
              </w:rPr>
              <w:t xml:space="preserve">寫作自我效能</w:t>
            </w:r>
          </w:p>
        </w:tc>
        <w:tc>
          <w:tcPr>
            <w:tcW w:w="4700" w:type="dxa"/>
          </w:tcPr>
          <w:p>
            <w:pPr>
              <w:spacing w:before="0" w:after="0" w:line="260" w:lineRule="auto"/>
            </w:pPr>
            <w:r>
              <w:rPr>
                <w:rFonts w:ascii="Times New Roman" w:hAnsi="Times New Roman" w:eastAsia="標楷體" w:cs="Times New Roman"/>
                <w:sz w:val="20"/>
                <w:szCs w:val="20"/>
              </w:rPr>
              <w:t xml:space="preserve">學生對自己完成英文議論文構思、語言表達與自我調整能力的信心。</w:t>
            </w:r>
          </w:p>
        </w:tc>
        <w:tc>
          <w:tcPr>
            <w:tcW w:w="2600" w:type="dxa"/>
          </w:tcPr>
          <w:p>
            <w:pPr>
              <w:spacing w:before="0" w:after="0" w:line="260" w:lineRule="auto"/>
            </w:pPr>
            <w:r>
              <w:rPr>
                <w:rFonts w:ascii="Times New Roman" w:hAnsi="Times New Roman" w:eastAsia="標楷體" w:cs="Times New Roman"/>
                <w:sz w:val="20"/>
                <w:szCs w:val="20"/>
              </w:rPr>
              <w:t xml:space="preserve">改編 Self-Efficacy for Writing Scale（Bruning et al., 2013），五點量表。</w:t>
            </w:r>
          </w:p>
        </w:tc>
      </w:tr>
      <w:tr>
        <w:tc>
          <w:tcPr>
            <w:tcW w:w="1500" w:type="dxa"/>
          </w:tcPr>
          <w:p>
            <w:pPr>
              <w:spacing w:before="0" w:after="0" w:line="260" w:lineRule="auto"/>
            </w:pPr>
            <w:r>
              <w:rPr>
                <w:rFonts w:ascii="Times New Roman" w:hAnsi="Times New Roman" w:eastAsia="標楷體" w:cs="Times New Roman"/>
                <w:sz w:val="20"/>
                <w:szCs w:val="20"/>
              </w:rPr>
              <w:t xml:space="preserve">依變項三</w:t>
            </w:r>
          </w:p>
        </w:tc>
        <w:tc>
          <w:tcPr>
            <w:tcW w:w="2200" w:type="dxa"/>
          </w:tcPr>
          <w:p>
            <w:pPr>
              <w:spacing w:before="0" w:after="0" w:line="260" w:lineRule="auto"/>
            </w:pPr>
            <w:r>
              <w:rPr>
                <w:rFonts w:ascii="Times New Roman" w:hAnsi="Times New Roman" w:eastAsia="標楷體" w:cs="Times New Roman"/>
                <w:sz w:val="20"/>
                <w:szCs w:val="20"/>
              </w:rPr>
              <w:t xml:space="preserve">外在認知負荷</w:t>
            </w:r>
          </w:p>
        </w:tc>
        <w:tc>
          <w:tcPr>
            <w:tcW w:w="4700" w:type="dxa"/>
          </w:tcPr>
          <w:p>
            <w:pPr>
              <w:spacing w:before="0" w:after="0" w:line="260" w:lineRule="auto"/>
            </w:pPr>
            <w:r>
              <w:rPr>
                <w:rFonts w:ascii="Times New Roman" w:hAnsi="Times New Roman" w:eastAsia="標楷體" w:cs="Times New Roman"/>
                <w:sz w:val="20"/>
                <w:szCs w:val="20"/>
              </w:rPr>
              <w:t xml:space="preserve">學生因操作流程、資訊切換或任務呈現方式所感受到的不必要負荷。</w:t>
            </w:r>
          </w:p>
        </w:tc>
        <w:tc>
          <w:tcPr>
            <w:tcW w:w="2600" w:type="dxa"/>
          </w:tcPr>
          <w:p>
            <w:pPr>
              <w:spacing w:before="0" w:after="0" w:line="260" w:lineRule="auto"/>
            </w:pPr>
            <w:r>
              <w:rPr>
                <w:rFonts w:ascii="Times New Roman" w:hAnsi="Times New Roman" w:eastAsia="標楷體" w:cs="Times New Roman"/>
                <w:sz w:val="20"/>
                <w:szCs w:val="20"/>
              </w:rPr>
              <w:t xml:space="preserve">改編 Leppink et al.（2013）認知負荷量表，任務後填答。</w:t>
            </w:r>
          </w:p>
        </w:tc>
      </w:tr>
      <w:tr>
        <w:tc>
          <w:tcPr>
            <w:tcW w:w="1500" w:type="dxa"/>
          </w:tcPr>
          <w:p>
            <w:pPr>
              <w:spacing w:before="0" w:after="0" w:line="260" w:lineRule="auto"/>
            </w:pPr>
            <w:r>
              <w:rPr>
                <w:rFonts w:ascii="Times New Roman" w:hAnsi="Times New Roman" w:eastAsia="標楷體" w:cs="Times New Roman"/>
                <w:sz w:val="20"/>
                <w:szCs w:val="20"/>
              </w:rPr>
              <w:t xml:space="preserve">控制變項</w:t>
            </w:r>
          </w:p>
        </w:tc>
        <w:tc>
          <w:tcPr>
            <w:tcW w:w="2200" w:type="dxa"/>
          </w:tcPr>
          <w:p>
            <w:pPr>
              <w:spacing w:before="0" w:after="0" w:line="260" w:lineRule="auto"/>
            </w:pPr>
            <w:r>
              <w:rPr>
                <w:rFonts w:ascii="Times New Roman" w:hAnsi="Times New Roman" w:eastAsia="標楷體" w:cs="Times New Roman"/>
                <w:sz w:val="20"/>
                <w:szCs w:val="20"/>
              </w:rPr>
              <w:t xml:space="preserve">前測寫作能力、英文程度、AI 使用經驗</w:t>
            </w:r>
          </w:p>
        </w:tc>
        <w:tc>
          <w:tcPr>
            <w:tcW w:w="4700" w:type="dxa"/>
          </w:tcPr>
          <w:p>
            <w:pPr>
              <w:spacing w:before="0" w:after="0" w:line="260" w:lineRule="auto"/>
            </w:pPr>
            <w:r>
              <w:rPr>
                <w:rFonts w:ascii="Times New Roman" w:hAnsi="Times New Roman" w:eastAsia="標楷體" w:cs="Times New Roman"/>
                <w:sz w:val="20"/>
                <w:szCs w:val="20"/>
              </w:rPr>
              <w:t xml:space="preserve">可能影響後測表現之先備能力與經驗。</w:t>
            </w:r>
          </w:p>
        </w:tc>
        <w:tc>
          <w:tcPr>
            <w:tcW w:w="2600" w:type="dxa"/>
          </w:tcPr>
          <w:p>
            <w:pPr>
              <w:spacing w:before="0" w:after="0" w:line="260" w:lineRule="auto"/>
            </w:pPr>
            <w:r>
              <w:rPr>
                <w:rFonts w:ascii="Times New Roman" w:hAnsi="Times New Roman" w:eastAsia="標楷體" w:cs="Times New Roman"/>
                <w:sz w:val="20"/>
                <w:szCs w:val="20"/>
              </w:rPr>
              <w:t xml:space="preserve">前測文章分數、課程英文程度資料、AI 使用經驗問卷。</w:t>
            </w:r>
          </w:p>
        </w:tc>
      </w:tr>
    </w:tbl>
    <w:p>
      <w:pPr>
        <w:spacing w:before="120" w:after="60" w:line="360" w:lineRule="auto"/>
        <w:keepNext/>
      </w:pPr>
      <w:r>
        <w:rPr>
          <w:b/>
          <w:i/>
          <w:rFonts w:ascii="Times New Roman" w:hAnsi="Times New Roman" w:eastAsia="標楷體" w:cs="Times New Roman"/>
          <w:sz w:val="24"/>
          <w:szCs w:val="24"/>
        </w:rPr>
        <w:t xml:space="preserve">3.2. 研究對象與分組方式</w:t>
      </w:r>
    </w:p>
    <w:p>
      <w:pPr>
        <w:ind w:firstLine="360"/>
        <w:spacing w:before="0" w:after="0" w:line="300" w:lineRule="auto"/>
      </w:pPr>
      <w:r>
        <w:rPr>
          <w:rFonts w:ascii="Times New Roman" w:hAnsi="Times New Roman" w:eastAsia="標楷體" w:cs="Times New Roman"/>
          <w:sz w:val="24"/>
          <w:szCs w:val="24"/>
        </w:rPr>
        <w:t xml:space="preserve">研究對象預計為北部某國立大學修習大一英文課程之學生。目標樣本數為 120 至 140 人，考量中等效果量、課堂流失與無效資料後，期望每組至少保留 50 人以上。若實際修課人數不足，將在結果中回報效果量與 95% 信賴區間，避免僅以顯著性解釋研究結果。分組方式以班級為單位，避免同一班學生在課堂活動中互相污染；若前測顯示兩組能力差異明顯，資料分析將以 ANCOVA 或線性混合模型控制前測能力與英文程度。</w:t>
      </w:r>
    </w:p>
    <w:p>
      <w:pPr>
        <w:spacing w:before="120" w:after="60" w:line="360" w:lineRule="auto"/>
        <w:keepNext/>
      </w:pPr>
      <w:r>
        <w:rPr>
          <w:b/>
          <w:i/>
          <w:rFonts w:ascii="Times New Roman" w:hAnsi="Times New Roman" w:eastAsia="標楷體" w:cs="Times New Roman"/>
          <w:sz w:val="24"/>
          <w:szCs w:val="24"/>
        </w:rPr>
        <w:t xml:space="preserve">3.3. 實驗流程與資料蒐集工具</w:t>
      </w:r>
    </w:p>
    <w:p>
      <w:pPr>
        <w:spacing w:before="80" w:after="20" w:line="240" w:lineRule="auto"/>
        <w:keepNext/>
      </w:pPr>
      <w:r>
        <w:rPr>
          <w:rFonts w:ascii="Times New Roman" w:hAnsi="Times New Roman" w:eastAsia="標楷體" w:cs="Times New Roman"/>
          <w:sz w:val="24"/>
          <w:szCs w:val="24"/>
        </w:rPr>
        <w:t xml:space="preserve">表 2、實驗流程與資料蒐集</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Pr>
      <w:tr>
        <w:tc>
          <w:tcPr>
            <w:tcW w:w="1100" w:type="dxa"/>
          </w:tcPr>
          <w:p>
            <w:pPr>
              <w:spacing w:before="0" w:after="0" w:line="260" w:lineRule="auto"/>
            </w:pPr>
            <w:r>
              <w:rPr>
                <w:b/>
                <w:rFonts w:ascii="Times New Roman" w:hAnsi="Times New Roman" w:eastAsia="標楷體" w:cs="Times New Roman"/>
                <w:sz w:val="20"/>
                <w:szCs w:val="20"/>
              </w:rPr>
              <w:t xml:space="preserve">週次</w:t>
            </w:r>
          </w:p>
        </w:tc>
        <w:tc>
          <w:tcPr>
            <w:tcW w:w="4100" w:type="dxa"/>
          </w:tcPr>
          <w:p>
            <w:pPr>
              <w:spacing w:before="0" w:after="0" w:line="260" w:lineRule="auto"/>
            </w:pPr>
            <w:r>
              <w:rPr>
                <w:b/>
                <w:rFonts w:ascii="Times New Roman" w:hAnsi="Times New Roman" w:eastAsia="標楷體" w:cs="Times New Roman"/>
                <w:sz w:val="20"/>
                <w:szCs w:val="20"/>
              </w:rPr>
              <w:t xml:space="preserve">平台組活動</w:t>
            </w:r>
          </w:p>
        </w:tc>
        <w:tc>
          <w:tcPr>
            <w:tcW w:w="4100" w:type="dxa"/>
          </w:tcPr>
          <w:p>
            <w:pPr>
              <w:spacing w:before="0" w:after="0" w:line="260" w:lineRule="auto"/>
            </w:pPr>
            <w:r>
              <w:rPr>
                <w:b/>
                <w:rFonts w:ascii="Times New Roman" w:hAnsi="Times New Roman" w:eastAsia="標楷體" w:cs="Times New Roman"/>
                <w:sz w:val="20"/>
                <w:szCs w:val="20"/>
              </w:rPr>
              <w:t xml:space="preserve">一般 AI 組活動</w:t>
            </w:r>
          </w:p>
        </w:tc>
        <w:tc>
          <w:tcPr>
            <w:tcW w:w="2600" w:type="dxa"/>
          </w:tcPr>
          <w:p>
            <w:pPr>
              <w:spacing w:before="0" w:after="0" w:line="260" w:lineRule="auto"/>
            </w:pPr>
            <w:r>
              <w:rPr>
                <w:b/>
                <w:rFonts w:ascii="Times New Roman" w:hAnsi="Times New Roman" w:eastAsia="標楷體" w:cs="Times New Roman"/>
                <w:sz w:val="20"/>
                <w:szCs w:val="20"/>
              </w:rPr>
              <w:t xml:space="preserve">蒐集資料</w:t>
            </w:r>
          </w:p>
        </w:tc>
      </w:tr>
      <w:tr>
        <w:tc>
          <w:tcPr>
            <w:tcW w:w="1100" w:type="dxa"/>
          </w:tcPr>
          <w:p>
            <w:pPr>
              <w:spacing w:before="0" w:after="0" w:line="260" w:lineRule="auto"/>
            </w:pPr>
            <w:r>
              <w:rPr>
                <w:rFonts w:ascii="Times New Roman" w:hAnsi="Times New Roman" w:eastAsia="標楷體" w:cs="Times New Roman"/>
                <w:sz w:val="20"/>
                <w:szCs w:val="20"/>
              </w:rPr>
              <w:t xml:space="preserve">第 1 週</w:t>
            </w:r>
          </w:p>
        </w:tc>
        <w:tc>
          <w:tcPr>
            <w:tcW w:w="4100" w:type="dxa"/>
          </w:tcPr>
          <w:p>
            <w:pPr>
              <w:spacing w:before="0" w:after="0" w:line="260" w:lineRule="auto"/>
            </w:pPr>
            <w:r>
              <w:rPr>
                <w:rFonts w:ascii="Times New Roman" w:hAnsi="Times New Roman" w:eastAsia="標楷體" w:cs="Times New Roman"/>
                <w:sz w:val="20"/>
                <w:szCs w:val="20"/>
              </w:rPr>
              <w:t xml:space="preserve">英文議論文前測、寫作自我效能前測、AI 使用經驗問卷。</w:t>
            </w:r>
          </w:p>
        </w:tc>
        <w:tc>
          <w:tcPr>
            <w:tcW w:w="4100" w:type="dxa"/>
          </w:tcPr>
          <w:p>
            <w:pPr>
              <w:spacing w:before="0" w:after="0" w:line="260" w:lineRule="auto"/>
            </w:pPr>
            <w:r>
              <w:rPr>
                <w:rFonts w:ascii="Times New Roman" w:hAnsi="Times New Roman" w:eastAsia="標楷體" w:cs="Times New Roman"/>
                <w:sz w:val="20"/>
                <w:szCs w:val="20"/>
              </w:rPr>
              <w:t xml:space="preserve">同平台組。</w:t>
            </w:r>
          </w:p>
        </w:tc>
        <w:tc>
          <w:tcPr>
            <w:tcW w:w="2600" w:type="dxa"/>
          </w:tcPr>
          <w:p>
            <w:pPr>
              <w:spacing w:before="0" w:after="0" w:line="260" w:lineRule="auto"/>
            </w:pPr>
            <w:r>
              <w:rPr>
                <w:rFonts w:ascii="Times New Roman" w:hAnsi="Times New Roman" w:eastAsia="標楷體" w:cs="Times New Roman"/>
                <w:sz w:val="20"/>
                <w:szCs w:val="20"/>
              </w:rPr>
              <w:t xml:space="preserve">前測文章、前測問卷、背景資料。</w:t>
            </w:r>
          </w:p>
        </w:tc>
      </w:tr>
      <w:tr>
        <w:tc>
          <w:tcPr>
            <w:tcW w:w="1100" w:type="dxa"/>
          </w:tcPr>
          <w:p>
            <w:pPr>
              <w:spacing w:before="0" w:after="0" w:line="260" w:lineRule="auto"/>
            </w:pPr>
            <w:r>
              <w:rPr>
                <w:rFonts w:ascii="Times New Roman" w:hAnsi="Times New Roman" w:eastAsia="標楷體" w:cs="Times New Roman"/>
                <w:sz w:val="20"/>
                <w:szCs w:val="20"/>
              </w:rPr>
              <w:t xml:space="preserve">第 2 週</w:t>
            </w:r>
          </w:p>
        </w:tc>
        <w:tc>
          <w:tcPr>
            <w:tcW w:w="4100" w:type="dxa"/>
          </w:tcPr>
          <w:p>
            <w:pPr>
              <w:spacing w:before="0" w:after="0" w:line="260" w:lineRule="auto"/>
            </w:pPr>
            <w:r>
              <w:rPr>
                <w:rFonts w:ascii="Times New Roman" w:hAnsi="Times New Roman" w:eastAsia="標楷體" w:cs="Times New Roman"/>
                <w:sz w:val="20"/>
                <w:szCs w:val="20"/>
              </w:rPr>
              <w:t xml:space="preserve">議論文架構教學；進入 Knowledge Forum 進行 3–4 人小組合作論證。</w:t>
            </w:r>
          </w:p>
        </w:tc>
        <w:tc>
          <w:tcPr>
            <w:tcW w:w="4100" w:type="dxa"/>
          </w:tcPr>
          <w:p>
            <w:pPr>
              <w:spacing w:before="0" w:after="0" w:line="260" w:lineRule="auto"/>
            </w:pPr>
            <w:r>
              <w:rPr>
                <w:rFonts w:ascii="Times New Roman" w:hAnsi="Times New Roman" w:eastAsia="標楷體" w:cs="Times New Roman"/>
                <w:sz w:val="20"/>
                <w:szCs w:val="20"/>
              </w:rPr>
              <w:t xml:space="preserve">議論文架構教學；進行一般小組討論，可自行整理重點。</w:t>
            </w:r>
          </w:p>
        </w:tc>
        <w:tc>
          <w:tcPr>
            <w:tcW w:w="2600" w:type="dxa"/>
          </w:tcPr>
          <w:p>
            <w:pPr>
              <w:spacing w:before="0" w:after="0" w:line="260" w:lineRule="auto"/>
            </w:pPr>
            <w:r>
              <w:rPr>
                <w:rFonts w:ascii="Times New Roman" w:hAnsi="Times New Roman" w:eastAsia="標楷體" w:cs="Times New Roman"/>
                <w:sz w:val="20"/>
                <w:szCs w:val="20"/>
              </w:rPr>
              <w:t xml:space="preserve">小組討論紀錄、出席與任務完成紀錄。</w:t>
            </w:r>
          </w:p>
        </w:tc>
      </w:tr>
      <w:tr>
        <w:tc>
          <w:tcPr>
            <w:tcW w:w="1100" w:type="dxa"/>
          </w:tcPr>
          <w:p>
            <w:pPr>
              <w:spacing w:before="0" w:after="0" w:line="260" w:lineRule="auto"/>
            </w:pPr>
            <w:r>
              <w:rPr>
                <w:rFonts w:ascii="Times New Roman" w:hAnsi="Times New Roman" w:eastAsia="標楷體" w:cs="Times New Roman"/>
                <w:sz w:val="20"/>
                <w:szCs w:val="20"/>
              </w:rPr>
              <w:t xml:space="preserve">第 3 週</w:t>
            </w:r>
          </w:p>
        </w:tc>
        <w:tc>
          <w:tcPr>
            <w:tcW w:w="4100" w:type="dxa"/>
          </w:tcPr>
          <w:p>
            <w:pPr>
              <w:spacing w:before="0" w:after="0" w:line="260" w:lineRule="auto"/>
            </w:pPr>
            <w:r>
              <w:rPr>
                <w:rFonts w:ascii="Times New Roman" w:hAnsi="Times New Roman" w:eastAsia="標楷體" w:cs="Times New Roman"/>
                <w:sz w:val="20"/>
                <w:szCs w:val="20"/>
              </w:rPr>
              <w:t xml:space="preserve">AI 自動摘要小組正反論點與證據；AI 寫作精靈以階段式問題引導產生 writing outline。</w:t>
            </w:r>
          </w:p>
        </w:tc>
        <w:tc>
          <w:tcPr>
            <w:tcW w:w="4100" w:type="dxa"/>
          </w:tcPr>
          <w:p>
            <w:pPr>
              <w:spacing w:before="0" w:after="0" w:line="260" w:lineRule="auto"/>
            </w:pPr>
            <w:r>
              <w:rPr>
                <w:rFonts w:ascii="Times New Roman" w:hAnsi="Times New Roman" w:eastAsia="標楷體" w:cs="Times New Roman"/>
                <w:sz w:val="20"/>
                <w:szCs w:val="20"/>
              </w:rPr>
              <w:t xml:space="preserve">可使用一般生成式 AI 詢問大綱建議，但無系統化論點摘要與固定提問流程。</w:t>
            </w:r>
          </w:p>
        </w:tc>
        <w:tc>
          <w:tcPr>
            <w:tcW w:w="2600" w:type="dxa"/>
          </w:tcPr>
          <w:p>
            <w:pPr>
              <w:spacing w:before="0" w:after="0" w:line="260" w:lineRule="auto"/>
            </w:pPr>
            <w:r>
              <w:rPr>
                <w:rFonts w:ascii="Times New Roman" w:hAnsi="Times New Roman" w:eastAsia="標楷體" w:cs="Times New Roman"/>
                <w:sz w:val="20"/>
                <w:szCs w:val="20"/>
              </w:rPr>
              <w:t xml:space="preserve">大綱品質、AI 對話紀錄、平台歷程。</w:t>
            </w:r>
          </w:p>
        </w:tc>
      </w:tr>
      <w:tr>
        <w:tc>
          <w:tcPr>
            <w:tcW w:w="1100" w:type="dxa"/>
          </w:tcPr>
          <w:p>
            <w:pPr>
              <w:spacing w:before="0" w:after="0" w:line="260" w:lineRule="auto"/>
            </w:pPr>
            <w:r>
              <w:rPr>
                <w:rFonts w:ascii="Times New Roman" w:hAnsi="Times New Roman" w:eastAsia="標楷體" w:cs="Times New Roman"/>
                <w:sz w:val="20"/>
                <w:szCs w:val="20"/>
              </w:rPr>
              <w:t xml:space="preserve">第 4 週</w:t>
            </w:r>
          </w:p>
        </w:tc>
        <w:tc>
          <w:tcPr>
            <w:tcW w:w="4100" w:type="dxa"/>
          </w:tcPr>
          <w:p>
            <w:pPr>
              <w:spacing w:before="0" w:after="0" w:line="260" w:lineRule="auto"/>
            </w:pPr>
            <w:r>
              <w:rPr>
                <w:rFonts w:ascii="Times New Roman" w:hAnsi="Times New Roman" w:eastAsia="標楷體" w:cs="Times New Roman"/>
                <w:sz w:val="20"/>
                <w:szCs w:val="20"/>
              </w:rPr>
              <w:t xml:space="preserve">完成英文議論文初稿，使用 Writing Analysis 取得回饋並修正。</w:t>
            </w:r>
          </w:p>
        </w:tc>
        <w:tc>
          <w:tcPr>
            <w:tcW w:w="4100" w:type="dxa"/>
          </w:tcPr>
          <w:p>
            <w:pPr>
              <w:spacing w:before="0" w:after="0" w:line="260" w:lineRule="auto"/>
            </w:pPr>
            <w:r>
              <w:rPr>
                <w:rFonts w:ascii="Times New Roman" w:hAnsi="Times New Roman" w:eastAsia="標楷體" w:cs="Times New Roman"/>
                <w:sz w:val="20"/>
                <w:szCs w:val="20"/>
              </w:rPr>
              <w:t xml:space="preserve">完成英文議論文初稿，使用一般 AI 取得回饋並修正。</w:t>
            </w:r>
          </w:p>
        </w:tc>
        <w:tc>
          <w:tcPr>
            <w:tcW w:w="2600" w:type="dxa"/>
          </w:tcPr>
          <w:p>
            <w:pPr>
              <w:spacing w:before="0" w:after="0" w:line="260" w:lineRule="auto"/>
            </w:pPr>
            <w:r>
              <w:rPr>
                <w:rFonts w:ascii="Times New Roman" w:hAnsi="Times New Roman" w:eastAsia="標楷體" w:cs="Times New Roman"/>
                <w:sz w:val="20"/>
                <w:szCs w:val="20"/>
              </w:rPr>
              <w:t xml:space="preserve">初稿、修訂稿、AI 使用紀錄。</w:t>
            </w:r>
          </w:p>
        </w:tc>
      </w:tr>
      <w:tr>
        <w:tc>
          <w:tcPr>
            <w:tcW w:w="1100" w:type="dxa"/>
          </w:tcPr>
          <w:p>
            <w:pPr>
              <w:spacing w:before="0" w:after="0" w:line="260" w:lineRule="auto"/>
            </w:pPr>
            <w:r>
              <w:rPr>
                <w:rFonts w:ascii="Times New Roman" w:hAnsi="Times New Roman" w:eastAsia="標楷體" w:cs="Times New Roman"/>
                <w:sz w:val="20"/>
                <w:szCs w:val="20"/>
              </w:rPr>
              <w:t xml:space="preserve">第 5 週</w:t>
            </w:r>
          </w:p>
        </w:tc>
        <w:tc>
          <w:tcPr>
            <w:tcW w:w="4100" w:type="dxa"/>
          </w:tcPr>
          <w:p>
            <w:pPr>
              <w:spacing w:before="0" w:after="0" w:line="260" w:lineRule="auto"/>
            </w:pPr>
            <w:r>
              <w:rPr>
                <w:rFonts w:ascii="Times New Roman" w:hAnsi="Times New Roman" w:eastAsia="標楷體" w:cs="Times New Roman"/>
                <w:sz w:val="20"/>
                <w:szCs w:val="20"/>
              </w:rPr>
              <w:t xml:space="preserve">完成後測議論文、寫作自我效能後測、認知負荷量表與 TAM 使用感受問卷。</w:t>
            </w:r>
          </w:p>
        </w:tc>
        <w:tc>
          <w:tcPr>
            <w:tcW w:w="4100" w:type="dxa"/>
          </w:tcPr>
          <w:p>
            <w:pPr>
              <w:spacing w:before="0" w:after="0" w:line="260" w:lineRule="auto"/>
            </w:pPr>
            <w:r>
              <w:rPr>
                <w:rFonts w:ascii="Times New Roman" w:hAnsi="Times New Roman" w:eastAsia="標楷體" w:cs="Times New Roman"/>
                <w:sz w:val="20"/>
                <w:szCs w:val="20"/>
              </w:rPr>
              <w:t xml:space="preserve">同平台組。</w:t>
            </w:r>
          </w:p>
        </w:tc>
        <w:tc>
          <w:tcPr>
            <w:tcW w:w="2600" w:type="dxa"/>
          </w:tcPr>
          <w:p>
            <w:pPr>
              <w:spacing w:before="0" w:after="0" w:line="260" w:lineRule="auto"/>
            </w:pPr>
            <w:r>
              <w:rPr>
                <w:rFonts w:ascii="Times New Roman" w:hAnsi="Times New Roman" w:eastAsia="標楷體" w:cs="Times New Roman"/>
                <w:sz w:val="20"/>
                <w:szCs w:val="20"/>
              </w:rPr>
              <w:t xml:space="preserve">後測文章、後測問卷、認知負荷與接受度資料。</w:t>
            </w:r>
          </w:p>
        </w:tc>
      </w:tr>
    </w:tbl>
    <w:p>
      <w:pPr>
        <w:ind w:firstLine="360"/>
        <w:spacing w:before="0" w:after="0" w:line="300" w:lineRule="auto"/>
      </w:pPr>
      <w:r>
        <w:rPr>
          <w:rFonts w:ascii="Times New Roman" w:hAnsi="Times New Roman" w:eastAsia="標楷體" w:cs="Times New Roman"/>
          <w:sz w:val="24"/>
          <w:szCs w:val="24"/>
        </w:rPr>
        <w:t xml:space="preserve">寫作品質評分將由兩位具英文寫作教學經驗之評分者進行，評分前先以 10 篇非正式樣本進行規準校準。評分者不知學生組別，以降低評分偏誤。若評分者一致性不足，將重新討論 rubric 並進行第三位評分者仲裁。問卷工具包含寫作自我效能量表、認知負荷量表及科技接受度量表。量表翻譯採雙向翻譯與專家審查，以確保語意符合大一英文課程情境。</w:t>
      </w:r>
    </w:p>
    <w:p>
      <w:pPr>
        <w:spacing w:before="160" w:after="80" w:line="480" w:lineRule="auto"/>
        <w:keepNext/>
      </w:pPr>
      <w:r>
        <w:rPr>
          <w:b/>
          <w:rFonts w:ascii="Times New Roman" w:hAnsi="Times New Roman" w:eastAsia="標楷體" w:cs="Times New Roman"/>
          <w:sz w:val="28"/>
          <w:szCs w:val="28"/>
        </w:rPr>
        <w:t xml:space="preserve">4. 資料分析方法</w:t>
      </w:r>
    </w:p>
    <w:p>
      <w:pPr>
        <w:ind w:firstLine="360"/>
        <w:spacing w:before="0" w:after="0" w:line="300" w:lineRule="auto"/>
      </w:pPr>
      <w:r>
        <w:rPr>
          <w:rFonts w:ascii="Times New Roman" w:hAnsi="Times New Roman" w:eastAsia="標楷體" w:cs="Times New Roman"/>
          <w:sz w:val="24"/>
          <w:szCs w:val="24"/>
        </w:rPr>
        <w:t xml:space="preserve">資料分析將先進行描述性統計，呈現各組前後測平均數、標準差與樣本分布。問卷信度以 Cronbach’s alpha 與 McDonald’s omega 檢驗；寫作品質雙評分者一致性以組內相關係數（intraclass correlation coefficient, ICC）檢驗。若 ICC 達可接受水準，將取兩位評分者平均分數作為分析依據。</w:t>
      </w:r>
    </w:p>
    <w:p>
      <w:pPr>
        <w:ind w:firstLine="360"/>
        <w:spacing w:before="0" w:after="0" w:line="300" w:lineRule="auto"/>
      </w:pPr>
      <w:r>
        <w:rPr>
          <w:rFonts w:ascii="Times New Roman" w:hAnsi="Times New Roman" w:eastAsia="標楷體" w:cs="Times New Roman"/>
          <w:sz w:val="24"/>
          <w:szCs w:val="24"/>
        </w:rPr>
        <w:t xml:space="preserve">RQ1 將以 ANCOVA 為主要分析方法，以後測英文議論文品質為依變項、組別為自變項、前測寫作品質與英文程度為共變項。ANCOVA 適合本研究，因為研究目的在於比較兩組後測表現，同時控制前測能力差異。若同時分析多個寫作向度，將先使用 MANCOVA 檢驗整體組別效果，再針對各向度進行後續分析，並以 Holm 方法控制多重比較的第一類錯誤率。</w:t>
      </w:r>
    </w:p>
    <w:p>
      <w:pPr>
        <w:ind w:firstLine="360"/>
        <w:spacing w:before="0" w:after="0" w:line="300" w:lineRule="auto"/>
      </w:pPr>
      <w:r>
        <w:rPr>
          <w:rFonts w:ascii="Times New Roman" w:hAnsi="Times New Roman" w:eastAsia="標楷體" w:cs="Times New Roman"/>
          <w:sz w:val="24"/>
          <w:szCs w:val="24"/>
        </w:rPr>
        <w:t xml:space="preserve">RQ2 將分別以 ANCOVA 分析後測寫作自我效能與外在認知負荷。寫作自我效能以其前測分數為共變項；外在認知負荷若僅於任務後測量，則以英文程度、前測寫作品質及 AI 使用經驗作為共變項。所有主要分析將回報 p 值、偏 eta 平方、Cohen’s d 與 95% 信賴區間，使結果能同時呈現統計顯著性與實質效果。若資料具有班級巢套結構，將進一步以線性混合模型將班級設為隨機效果，以避免低估標準誤。</w:t>
      </w:r>
    </w:p>
    <w:p>
      <w:pPr>
        <w:spacing w:before="120" w:after="60" w:line="360" w:lineRule="auto"/>
        <w:keepNext/>
      </w:pPr>
      <w:r>
        <w:rPr>
          <w:b/>
          <w:i/>
          <w:rFonts w:ascii="Times New Roman" w:hAnsi="Times New Roman" w:eastAsia="標楷體" w:cs="Times New Roman"/>
          <w:sz w:val="24"/>
          <w:szCs w:val="24"/>
        </w:rPr>
        <w:t xml:space="preserve">4.1. 統計假設檢查與替代策略</w:t>
      </w:r>
    </w:p>
    <w:p>
      <w:pPr>
        <w:ind w:firstLine="360"/>
        <w:spacing w:before="0" w:after="0" w:line="300" w:lineRule="auto"/>
      </w:pPr>
      <w:r>
        <w:rPr>
          <w:rFonts w:ascii="Times New Roman" w:hAnsi="Times New Roman" w:eastAsia="標楷體" w:cs="Times New Roman"/>
          <w:sz w:val="24"/>
          <w:szCs w:val="24"/>
        </w:rPr>
        <w:t xml:space="preserve">進行 ANCOVA 前將檢查下列假設：（一）殘差常態性，以 Q-Q plot 與 Shapiro-Wilk 檢查；（二）變異數同質性，以 Levene test 檢查；（三）共變項與依變項之線性關係；（四）組別與共變項之迴歸斜率同質性；（五）觀察值獨立性；（六）缺失值機制與極端值。若迴歸斜率同質性不成立，將改用線性混合模型加入組別與前測交互作用。若常態或變異數同質性嚴重違反，將採用穩健標準誤、bootstrap 信賴區間或 robust ANCOVA。若缺失值非完全隨機，將以多重插補處理，並進行完整案例分析作為敏感度檢查。若兩組前測差異過大，將加入傾向分數配對或加權作為替代策略。</w:t>
      </w:r>
    </w:p>
    <w:p>
      <w:pPr>
        <w:spacing w:before="160" w:after="80" w:line="480" w:lineRule="auto"/>
        <w:keepNext/>
      </w:pPr>
      <w:r>
        <w:rPr>
          <w:b/>
          <w:rFonts w:ascii="Times New Roman" w:hAnsi="Times New Roman" w:eastAsia="標楷體" w:cs="Times New Roman"/>
          <w:sz w:val="28"/>
          <w:szCs w:val="28"/>
        </w:rPr>
        <w:t xml:space="preserve">5. 預期結果與研究貢獻</w:t>
      </w:r>
    </w:p>
    <w:p>
      <w:pPr>
        <w:ind w:firstLine="360"/>
        <w:spacing w:before="0" w:after="0" w:line="300" w:lineRule="auto"/>
      </w:pPr>
      <w:r>
        <w:rPr>
          <w:rFonts w:ascii="Times New Roman" w:hAnsi="Times New Roman" w:eastAsia="標楷體" w:cs="Times New Roman"/>
          <w:sz w:val="24"/>
          <w:szCs w:val="24"/>
        </w:rPr>
        <w:t xml:space="preserve">預期平台組在後測英文議論文總分上高於一般 AI 組，尤其在主張明確性、證據使用與反駁品質等論證向度會有較大差異。原因是平台組並非直接要求 AI 產生文章，而是透過合作論證、AI 摘要與階段式提問，使學生能先取得多元觀點，再把觀點轉化為個人化寫作大綱。預期平台組亦會呈現較高寫作自我效能，因為系統將寫作任務拆解為可完成的小步驟，降低學生對英文議論文的模糊感。外在認知負荷方面，若平台資料串接與筆記區設計有效，學生應會感受到較少的資訊切換與操作負擔。</w:t>
      </w:r>
    </w:p>
    <w:p>
      <w:pPr>
        <w:ind w:firstLine="360"/>
        <w:spacing w:before="0" w:after="0" w:line="300" w:lineRule="auto"/>
      </w:pPr>
      <w:r>
        <w:rPr>
          <w:rFonts w:ascii="Times New Roman" w:hAnsi="Times New Roman" w:eastAsia="標楷體" w:cs="Times New Roman"/>
          <w:sz w:val="24"/>
          <w:szCs w:val="24"/>
        </w:rPr>
        <w:t xml:space="preserve">本研究之理論貢獻在於連結合作論證、知識建構與生成式 AI 寫作鷹架，進一步檢驗引導式 AI 是否能避免一般生成式 AI 的代寫傾向。方法貢獻在於提出可量化檢驗的準實驗設計，將寫作品質、寫作自我效能、認知負荷與平台歷程資料整合。實務貢獻則在於提供大一英文與 EAP/EMI 寫作課程可操作的 AI 導入模式，協助教師設計從小組論證到個人寫作的完整學習流程。</w:t>
      </w:r>
    </w:p>
    <w:p>
      <w:pPr>
        <w:spacing w:before="160" w:after="80" w:line="480" w:lineRule="auto"/>
        <w:keepNext/>
      </w:pPr>
      <w:r>
        <w:rPr>
          <w:b/>
          <w:rFonts w:ascii="Times New Roman" w:hAnsi="Times New Roman" w:eastAsia="標楷體" w:cs="Times New Roman"/>
          <w:sz w:val="28"/>
          <w:szCs w:val="28"/>
        </w:rPr>
        <w:t xml:space="preserve">6. 研究限制與倫理考量</w:t>
      </w:r>
    </w:p>
    <w:p>
      <w:pPr>
        <w:ind w:firstLine="360"/>
        <w:spacing w:before="0" w:after="0" w:line="300" w:lineRule="auto"/>
      </w:pPr>
      <w:r>
        <w:rPr>
          <w:rFonts w:ascii="Times New Roman" w:hAnsi="Times New Roman" w:eastAsia="標楷體" w:cs="Times New Roman"/>
          <w:sz w:val="24"/>
          <w:szCs w:val="24"/>
        </w:rPr>
        <w:t xml:space="preserve">本研究可能有四項限制。第一，若以既有班級分組，無法完全達成個人層級隨機分派，因而可能存在班級差異。第二，研究期程僅 5 週，較適合檢驗初步成效，尚不足以推論長期英文寫作能力發展。第三，研究場域集中於單一大學與大一英文課程，結果不宜直接推論至其他年級、學科或高階學術寫作課程。第四，生成式 AI 回應具有不完全一致性，即使使用相同提示，也可能因模型版本與回應波動影響學生經驗。</w:t>
      </w:r>
    </w:p>
    <w:p>
      <w:pPr>
        <w:ind w:firstLine="360"/>
        <w:spacing w:before="0" w:after="0" w:line="300" w:lineRule="auto"/>
      </w:pPr>
      <w:r>
        <w:rPr>
          <w:rFonts w:ascii="Times New Roman" w:hAnsi="Times New Roman" w:eastAsia="標楷體" w:cs="Times New Roman"/>
          <w:sz w:val="24"/>
          <w:szCs w:val="24"/>
        </w:rPr>
        <w:t xml:space="preserve">倫理方面，研究將於課程開始前取得學生知情同意，說明研究目的、資料用途、退出權利與不影響課程成績之原則。所有問卷、文章與平台歷程資料將去識別化處理，研究報告只呈現群體統計結果。AI 使用規範將明確告知學生：AI 可用於整理想法、提出問題與給予回饋，但不得直接提交 AI 代寫文章。比較組學生於研究結束後可取得平台操作示範與學習資源，以維持教學公平性。所有資料將儲存於加密硬碟或校方核可之雲端空間，僅研究團隊可存取。</w:t>
      </w:r>
    </w:p>
    <w:p>
      <w:pPr>
        <w:spacing w:before="160" w:after="80" w:line="480" w:lineRule="auto"/>
        <w:keepNext/>
      </w:pPr>
      <w:r>
        <w:rPr>
          <w:b/>
          <w:rFonts w:ascii="Times New Roman" w:hAnsi="Times New Roman" w:eastAsia="標楷體" w:cs="Times New Roman"/>
          <w:sz w:val="28"/>
          <w:szCs w:val="28"/>
        </w:rPr>
        <w:t xml:space="preserve">參考文獻</w:t>
      </w:r>
    </w:p>
    <w:p>
      <w:pPr>
        <w:spacing w:before="0" w:after="80" w:line="300" w:lineRule="auto"/>
        <w:ind w:left="360" w:hanging="360"/>
      </w:pPr>
      <w:r>
        <w:rPr>
          <w:rFonts w:ascii="Times New Roman" w:hAnsi="Times New Roman" w:eastAsia="Times New Roman" w:cs="Times New Roman"/>
          <w:sz w:val="22"/>
          <w:szCs w:val="22"/>
        </w:rPr>
        <w:t xml:space="preserve">Bruning, R., Dempsey, M., Kauffman, D. F., McKim, C., &amp; Zumbrunn, S. (2013). Examining dimensions of self-efficacy for writing. Journal of Educational Psychology, 105(1), 25–38. https://doi.org/10.1037/a0029692</w:t>
      </w:r>
    </w:p>
    <w:p>
      <w:pPr>
        <w:spacing w:before="0" w:after="80" w:line="300" w:lineRule="auto"/>
        <w:ind w:left="360" w:hanging="360"/>
      </w:pPr>
      <w:r>
        <w:rPr>
          <w:rFonts w:ascii="Times New Roman" w:hAnsi="Times New Roman" w:eastAsia="Times New Roman" w:cs="Times New Roman"/>
          <w:sz w:val="22"/>
          <w:szCs w:val="22"/>
        </w:rPr>
        <w:t xml:space="preserve">Davis, F. D. (1989). Perceived usefulness, perceived ease of use, and user acceptance of information technology. MIS Quarterly, 13(3), 319–340. https://doi.org/10.2307/249008</w:t>
      </w:r>
    </w:p>
    <w:p>
      <w:pPr>
        <w:spacing w:before="0" w:after="80" w:line="300" w:lineRule="auto"/>
        <w:ind w:left="360" w:hanging="360"/>
      </w:pPr>
      <w:r>
        <w:rPr>
          <w:rFonts w:ascii="Times New Roman" w:hAnsi="Times New Roman" w:eastAsia="Times New Roman" w:cs="Times New Roman"/>
          <w:sz w:val="22"/>
          <w:szCs w:val="22"/>
        </w:rPr>
        <w:t xml:space="preserve">Flower, L., &amp; Hayes, J. R. (1981). A cognitive process theory of writing. College Composition and Communication, 32(4), 365–387. https://doi.org/10.2307/356600</w:t>
      </w:r>
    </w:p>
    <w:p>
      <w:pPr>
        <w:spacing w:before="0" w:after="80" w:line="300" w:lineRule="auto"/>
        <w:ind w:left="360" w:hanging="360"/>
      </w:pPr>
      <w:r>
        <w:rPr>
          <w:rFonts w:ascii="Times New Roman" w:hAnsi="Times New Roman" w:eastAsia="Times New Roman" w:cs="Times New Roman"/>
          <w:sz w:val="22"/>
          <w:szCs w:val="22"/>
        </w:rPr>
        <w:t xml:space="preserve">Graham, S., &amp; Perin, D. (2007). A meta-analysis of writing instruction for adolescent students. Journal of Educational Psychology, 99(3), 445–476. https://doi.org/10.1037/0022-0663.99.3.445</w:t>
      </w:r>
    </w:p>
    <w:p>
      <w:pPr>
        <w:spacing w:before="0" w:after="80" w:line="300" w:lineRule="auto"/>
        <w:ind w:left="360" w:hanging="360"/>
      </w:pPr>
      <w:r>
        <w:rPr>
          <w:rFonts w:ascii="Times New Roman" w:hAnsi="Times New Roman" w:eastAsia="Times New Roman" w:cs="Times New Roman"/>
          <w:sz w:val="22"/>
          <w:szCs w:val="22"/>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Learning and Individual Differences, 103, Article 102274. https://doi.org/10.1016/j.lindif.2023.102274</w:t>
      </w:r>
    </w:p>
    <w:p>
      <w:pPr>
        <w:spacing w:before="0" w:after="80" w:line="300" w:lineRule="auto"/>
        <w:ind w:left="360" w:hanging="360"/>
      </w:pPr>
      <w:r>
        <w:rPr>
          <w:rFonts w:ascii="Times New Roman" w:hAnsi="Times New Roman" w:eastAsia="Times New Roman" w:cs="Times New Roman"/>
          <w:sz w:val="22"/>
          <w:szCs w:val="22"/>
        </w:rPr>
        <w:t xml:space="preserve">Leppink, J., Paas, F., Van der Vleuten, C. P. M., Van Gog, T., &amp; Van Merriënboer, J. J. G. (2013). Development of an instrument for measuring different types of cognitive load. Behavior Research Methods, 45(4), 1058–1072. https://doi.org/10.3758/s13428-013-0334-1</w:t>
      </w:r>
    </w:p>
    <w:p>
      <w:pPr>
        <w:spacing w:before="0" w:after="80" w:line="300" w:lineRule="auto"/>
        <w:ind w:left="360" w:hanging="360"/>
      </w:pPr>
      <w:r>
        <w:rPr>
          <w:rFonts w:ascii="Times New Roman" w:hAnsi="Times New Roman" w:eastAsia="Times New Roman" w:cs="Times New Roman"/>
          <w:sz w:val="22"/>
          <w:szCs w:val="22"/>
        </w:rPr>
        <w:t xml:space="preserve">Noroozi, O., Weinberger, A., Biemans, H. J. A., Mulder, M., &amp; Chizari, M. (2012). Argumentation-based computer supported collaborative learning (ABCSCL): A synthesis of fifteen years of research. Educational Research Review, 7(2), 79–106. https://doi.org/10.1016/j.edurev.2011.11.006</w:t>
      </w:r>
    </w:p>
    <w:p>
      <w:pPr>
        <w:spacing w:before="0" w:after="80" w:line="300" w:lineRule="auto"/>
        <w:ind w:left="360" w:hanging="360"/>
      </w:pPr>
      <w:r>
        <w:rPr>
          <w:rFonts w:ascii="Times New Roman" w:hAnsi="Times New Roman" w:eastAsia="Times New Roman" w:cs="Times New Roman"/>
          <w:sz w:val="22"/>
          <w:szCs w:val="22"/>
        </w:rPr>
        <w:t xml:space="preserve">Scardamalia, M., &amp; Bereiter, C. (2014). Knowledge building and knowledge creation: Theory, pedagogy, and technology. In R. K. Sawyer (Ed.), The Cambridge handbook of the learning sciences (2nd ed., pp. 397–417). Cambridge University Press. https://doi.org/10.1017/CBO9781139519526.025</w:t>
      </w:r>
    </w:p>
    <w:p>
      <w:pPr>
        <w:spacing w:before="0" w:after="80" w:line="300" w:lineRule="auto"/>
        <w:ind w:left="360" w:hanging="360"/>
      </w:pPr>
      <w:r>
        <w:rPr>
          <w:rFonts w:ascii="Times New Roman" w:hAnsi="Times New Roman" w:eastAsia="Times New Roman" w:cs="Times New Roman"/>
          <w:sz w:val="22"/>
          <w:szCs w:val="22"/>
        </w:rPr>
        <w:t xml:space="preserve">Toulmin, S. E. (1958). The uses of argument. Cambridge University Press.</w:t>
      </w:r>
    </w:p>
    <w:p>
      <w:pPr>
        <w:spacing w:before="0" w:after="80" w:line="300" w:lineRule="auto"/>
        <w:ind w:left="360" w:hanging="360"/>
      </w:pPr>
      <w:r>
        <w:rPr>
          <w:rFonts w:ascii="Times New Roman" w:hAnsi="Times New Roman" w:eastAsia="Times New Roman" w:cs="Times New Roman"/>
          <w:sz w:val="22"/>
          <w:szCs w:val="22"/>
        </w:rPr>
        <w:t xml:space="preserve">Venkatesh, V., &amp; Davis, F. D. (2000). A theoretical extension of the technology acceptance model: Four longitudinal field studies. Management Science, 46(2), 186–204. https://doi.org/10.1287/mnsc.46.2.186.11926</w:t>
      </w:r>
    </w:p>
    <w:p>
      <w:pPr>
        <w:spacing w:before="0" w:after="80" w:line="300" w:lineRule="auto"/>
        <w:ind w:left="360" w:hanging="360"/>
      </w:pPr>
      <w:r>
        <w:rPr>
          <w:rFonts w:ascii="Times New Roman" w:hAnsi="Times New Roman" w:eastAsia="Times New Roman" w:cs="Times New Roman"/>
          <w:sz w:val="22"/>
          <w:szCs w:val="22"/>
        </w:rPr>
        <w:t xml:space="preserve">Wingate, U. (2012). “Argument!” Helping students understand what essay writing is about. Journal of English for Academic Purposes, 11(2), 145–154. https://doi.org/10.1016/j.jeap.2011.11.001</w:t>
      </w:r>
    </w:p>
    <w:sectPr>
      <w:headerReference w:type="default" r:id="rIdHeader1"/>
      <w:pgSz w:w="11906" w:h="16838"/>
      <w:pgMar w:top="1440" w:right="1440" w:bottom="1440" w:left="1440" w:header="720" w:footer="720" w:gutter="0"/>
      <w:cols w:space="720"/>
      <w:docGrid w:linePitch="360"/>
    </w:sectPr>
  </w:body>
</w:document>
</file>

<file path=word/fontTable.xml><?xml version="1.0" encoding="utf-8"?>
<w:fonts xmlns:w="http://schemas.openxmlformats.org/wordprocessingml/2006/main">
  <w:font w:name="Times New Roman"/>
  <w:font w:name="標楷體"/>
</w:fonts>
</file>

<file path=word/header1.xml><?xml version="1.0" encoding="utf-8"?>
<w:hdr xmlns:w="http://schemas.openxmlformats.org/wordprocessingml/2006/main">
  <w:p>
    <w:pPr>
      <w:jc w:val="left"/>
    </w:pPr>
    <w:r>
      <w:rPr>
        <w:rFonts w:ascii="Times New Roman" w:hAnsi="Times New Roman" w:eastAsia="標楷體"/>
        <w:sz w:val="22"/>
      </w:rPr>
      <w:t>TWELF2026</w:t>
    </w:r>
  </w:p>
</w:hdr>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標楷體" w:cs="Times New Roman"/>
        <w:sz w:val="24"/>
        <w:szCs w:val="24"/>
      </w:rPr>
    </w:rPrDefault>
    <w:pPrDefault>
      <w:pPr>
        <w:spacing w:line="300" w:lineRule="auto"/>
      </w:pPr>
    </w:pPrDefault>
  </w:docDefaults>
  <w:style w:type="paragraph" w:default="1" w:styleId="Normal">
    <w:name w:val="Normal"/>
    <w:qFormat/>
    <w:rPr>
      <w:rFonts w:ascii="Times New Roman" w:hAnsi="Times New Roman" w:eastAsia="標楷體" w:cs="Times New Roman"/>
      <w:sz w:val="24"/>
    </w:rPr>
  </w:style>
</w:styles>
</file>

<file path=word/_rels/document.xml.rels><?xml version="1.0" encoding="UTF-8" standalone="yes"?>
<Relationships xmlns="http://schemas.openxmlformats.org/package/2006/relationships"><Relationship Id="rIdHeader1" Type="http://schemas.openxmlformats.org/officeDocument/2006/relationships/header" Target="header1.xml"/><Relationship Id="rIdStyles" Type="http://schemas.openxmlformats.org/officeDocument/2006/relationships/styles" Target="styles.xml"/><Relationship Id="rIdSettings" Type="http://schemas.openxmlformats.org/officeDocument/2006/relationships/settings" Target="settings.xml"/><Relationship Id="rIdFontTable" Type="http://schemas.openxmlformats.org/officeDocument/2006/relationships/fontTable" Target="fontTable.xml"/></Relationships>
</file>