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CDA2" w14:textId="15A443A7" w:rsidR="007D4AAA" w:rsidRDefault="0061373B">
      <w:r>
        <w:rPr>
          <w:rFonts w:hint="eastAsia"/>
        </w:rPr>
        <w:t>A</w:t>
      </w:r>
      <w:r>
        <w:t>dish provides only 10 scenarios data. Therefore, I assume the demand distribution follows the Normal Distribution (using sample avg and sample std as parameters). For each month, we treat the number of hurricanes happening in a month as a Poisson distribution, and the mean parameter as number of tract go through SC from 1851.</w:t>
      </w:r>
    </w:p>
    <w:sectPr w:rsidR="007D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B8"/>
    <w:rsid w:val="0043578C"/>
    <w:rsid w:val="0061373B"/>
    <w:rsid w:val="007A4DB8"/>
    <w:rsid w:val="007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DCA0"/>
  <w15:chartTrackingRefBased/>
  <w15:docId w15:val="{EB55EBFA-0FB7-43E8-872E-9DDBE9FB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Yin Chen</dc:creator>
  <cp:keywords/>
  <dc:description/>
  <cp:lastModifiedBy>Sheng Yin Chen</cp:lastModifiedBy>
  <cp:revision>2</cp:revision>
  <dcterms:created xsi:type="dcterms:W3CDTF">2024-04-09T20:49:00Z</dcterms:created>
  <dcterms:modified xsi:type="dcterms:W3CDTF">2024-04-09T20:51:00Z</dcterms:modified>
</cp:coreProperties>
</file>