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T., Angelovici, R., Hale, C.,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C., Hua, J., La, T., Lepak, N., Fu, Q., Buckler, E., &amp; Romay, C. (2025).</w:t>
      </w:r>
      <w:r>
        <w:t xml:space="preserve"> </w:t>
      </w:r>
      <w:r>
        <w:rPr>
          <w:bCs/>
          <w:b/>
        </w:rPr>
        <w:t xml:space="preserve">Grass Rhizome Proteomics Reveals Convergent Freezing-Tolerance Strategies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2026-02-01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2026-02-01T02:27:38Z</dcterms:created>
  <dcterms:modified xsi:type="dcterms:W3CDTF">2026-02-01T02:27:38Z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