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 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Hsu, S-K.</w:t>
      </w:r>
      <w:r>
        <w:t xml:space="preserve">, Schulz, A.J., Hale, C.O., Costa-Neto, G., Miller, Z.R., Stitzer, M.C., Wrightsman, T., Zhai, J., Lai, W-Y., Dawson, H.D.,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(2026).</w:t>
      </w:r>
      <w:r>
        <w:t xml:space="preserve"> </w:t>
      </w:r>
      <w:r>
        <w:rPr>
          <w:bCs/>
          <w:b/>
        </w:rPr>
        <w:t xml:space="preserve">Convergent genome- and gene-level constraints shape repeated environmental adaptation in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https://doi.org/10.64898/2026.06.01.729361</w:t>
      </w:r>
    </w:p>
    <w:p>
      <w:pPr>
        <w:numPr>
          <w:ilvl w:val="0"/>
          <w:numId w:val="1002"/>
        </w:numPr>
      </w:pPr>
      <w:r>
        <w:t xml:space="preserve">Ojeda-Rivera, J.O., Oren, E.,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Lepak, N., La, T., Zhai, J., Stitzer, M.C., Yobi, A., Angelovici, R., Buckler, E.S., &amp; Romay, M.C. (2026).</w:t>
      </w:r>
      <w:r>
        <w:t xml:space="preserve"> </w:t>
      </w:r>
      <w:r>
        <w:rPr>
          <w:bCs/>
          <w:b/>
        </w:rPr>
        <w:t xml:space="preserve">A transcriptomic atlas of grass senescence reveals divergent underground sink networks limit nitrogen recycling in annuals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https://doi.org/10.64898/2026.05.05.723041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Marroquin,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DNA foundation model for interpreting genomes across flowering plants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T.E., Angelovici, R., Hale, C.O.,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C.M., Hua, J., La, T., Lepak, N., Fu, Q., Buckler, E.S., &amp; Romay, M.C. (2025).</w:t>
      </w:r>
      <w:r>
        <w:t xml:space="preserve"> </w:t>
      </w:r>
      <w:r>
        <w:rPr>
          <w:bCs/>
          <w:b/>
        </w:rPr>
        <w:t xml:space="preserve">Constrained evolution of a core winter proteome across independently cold-adapted PACMAD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https://doi.org/10.7554/eLife.102321.2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(2024).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https://doi.org/10.7554/eLife.102321.1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2026-08-01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2026-08-01T02:46:36Z</dcterms:created>
  <dcterms:modified xsi:type="dcterms:W3CDTF">2026-08-01T02:46:36Z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