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heng-kai-hsu"/>
    <w:p>
      <w:pPr>
        <w:pStyle w:val="Heading1"/>
      </w:pPr>
      <w:r>
        <w:t xml:space="preserve">Sheng-Kai Hsu</w:t>
      </w:r>
    </w:p>
    <w:p>
      <w:pPr>
        <w:pStyle w:val="FirstParagraph"/>
      </w:pPr>
      <w:r>
        <w:rPr>
          <w:bCs/>
          <w:b/>
        </w:rPr>
        <w:t xml:space="preserve">Affiliation:</w:t>
      </w:r>
      <w:r>
        <w:t xml:space="preserve"> </w:t>
      </w:r>
      <w:r>
        <w:t xml:space="preserve">Institute for Genomic Diversity, Cornell University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sh2246@cornell.edu</w:t>
      </w:r>
      <w:r>
        <w:br/>
      </w:r>
      <w:r>
        <w:rPr>
          <w:bCs/>
          <w:b/>
        </w:rP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0000-0002-6942-7163</w:t>
        </w:r>
      </w:hyperlink>
      <w:r>
        <w:br/>
      </w:r>
      <w:r>
        <w:rPr>
          <w:bCs/>
          <w:b/>
        </w:rPr>
        <w:t xml:space="preserve">Google Scholar:</w:t>
      </w:r>
      <w:r>
        <w:t xml:space="preserve"> </w:t>
      </w:r>
      <w:hyperlink r:id="rId21">
        <w:r>
          <w:rPr>
            <w:rStyle w:val="Hyperlink"/>
          </w:rPr>
          <w:t xml:space="preserve">Sheng-Kai Hsu</w:t>
        </w:r>
      </w:hyperlink>
    </w:p>
    <w:bookmarkEnd w:id="22"/>
    <w:bookmarkStart w:id="23" w:name="positions-education"/>
    <w:p>
      <w:pPr>
        <w:pStyle w:val="Heading1"/>
      </w:pPr>
      <w:r>
        <w:t xml:space="preserve">Positions &amp; Education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6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/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2022–present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Postdoctoral research fellow, Institute for Genomic Diversity, Cornell University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Edward Buckler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Ph.D., Vienna Graduate School of Population Genetics, Univ. of Veterinary Medicine Vienna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Christian Schlötterer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2014–2015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M.Sc., Department of Agronomy, National Taiwan University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Advisor: Chih-Wei 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B.Sc., Department of Agronomy, National Taiwan University</w:t>
            </w:r>
          </w:p>
        </w:tc>
      </w:tr>
    </w:tbl>
    <w:bookmarkEnd w:id="23"/>
    <w:bookmarkStart w:id="26" w:name="publications"/>
    <w:p>
      <w:pPr>
        <w:pStyle w:val="Heading1"/>
      </w:pPr>
      <w:r>
        <w:t xml:space="preserve">Publications</w:t>
      </w:r>
    </w:p>
    <w:bookmarkStart w:id="24" w:name="peer-reviewed-publications"/>
    <w:p>
      <w:pPr>
        <w:pStyle w:val="Heading2"/>
      </w:pPr>
      <w:r>
        <w:t xml:space="preserve">Peer-reviewed Publications</w:t>
      </w:r>
    </w:p>
    <w:p>
      <w:pPr>
        <w:numPr>
          <w:ilvl w:val="0"/>
          <w:numId w:val="1001"/>
        </w:numPr>
      </w:pPr>
      <w:r>
        <w:t xml:space="preserve">Hale, C.O.,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Zhai, J., Schulz, A., Aubuchon-Elder, T., Costa-Neto, G., Gelfond, A., El-Walid, M.Z., Hufford, M., Kellogg, E.A., La, T., Marand, A.P., Seetharam, A.S., Scheben, A., Stitzer, M.C., Wrightsman, T., Romay, M.C., &amp; Buckler, E.S. (2025).</w:t>
      </w:r>
      <w:r>
        <w:t xml:space="preserve"> </w:t>
      </w:r>
      <w:r>
        <w:rPr>
          <w:bCs/>
          <w:b/>
        </w:rPr>
        <w:t xml:space="preserve">Widespread turnover of a conserved cis-regulatory code across 589 grass species</w:t>
      </w:r>
      <w:r>
        <w:t xml:space="preserve">.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,</w:t>
      </w:r>
      <w:r>
        <w:t xml:space="preserve"> </w:t>
      </w:r>
      <w:r>
        <w:rPr>
          <w:iCs/>
          <w:i/>
        </w:rPr>
        <w:t xml:space="preserve">43</w:t>
      </w:r>
      <w:r>
        <w:t xml:space="preserve">(1). https://doi.org/10.1093/molbev/msaf324</w:t>
      </w:r>
    </w:p>
    <w:p>
      <w:pPr>
        <w:numPr>
          <w:ilvl w:val="0"/>
          <w:numId w:val="1001"/>
        </w:numPr>
      </w:pPr>
      <w:r>
        <w:t xml:space="preserve">Schulz, A.J., Zhai, J., AuBuchon‐Elder, T., Andorf, C.M., El‐Walid, M.Z., Ferebee, T.H., Gilmore, E.H., Hufford, M.B., Johnson, L.C., Kellogg, E.A., …, &amp;</w:t>
      </w:r>
      <w:r>
        <w:t xml:space="preserve"> </w:t>
      </w:r>
      <w:r>
        <w:rPr>
          <w:bCs/>
          <w:b/>
        </w:rPr>
        <w:t xml:space="preserve">Hsu, S.-K.</w:t>
      </w:r>
      <w:r>
        <w:t xml:space="preserve"> </w:t>
      </w:r>
      <w:r>
        <w:t xml:space="preserve">(2025).</w:t>
      </w:r>
      <w:r>
        <w:t xml:space="preserve"> </w:t>
      </w:r>
      <w:r>
        <w:rPr>
          <w:bCs/>
          <w:b/>
        </w:rPr>
        <w:t xml:space="preserve">Fishing for a reelGene: evaluating gene models with evolution and machine learning</w:t>
      </w:r>
      <w:r>
        <w:t xml:space="preserve">.</w:t>
      </w:r>
      <w:r>
        <w:t xml:space="preserve"> </w:t>
      </w:r>
      <w:r>
        <w:rPr>
          <w:iCs/>
          <w:i/>
        </w:rPr>
        <w:t xml:space="preserve">The Plant Journal</w:t>
      </w:r>
      <w:r>
        <w:t xml:space="preserve">,</w:t>
      </w:r>
      <w:r>
        <w:t xml:space="preserve"> </w:t>
      </w:r>
      <w:r>
        <w:rPr>
          <w:iCs/>
          <w:i/>
        </w:rPr>
        <w:t xml:space="preserve">123</w:t>
      </w:r>
      <w:r>
        <w:t xml:space="preserve">(6). https://doi.org/10.1111/tpj.70483</w:t>
      </w:r>
    </w:p>
    <w:p>
      <w:pPr>
        <w:numPr>
          <w:ilvl w:val="0"/>
          <w:numId w:val="1001"/>
        </w:numPr>
      </w:pPr>
      <w:r>
        <w:t xml:space="preserve">Ojeda-Rivera, J.O., Barnes, A.C., Ainsworth, E.A., Angelovici, R., Basso, B., Brindisi, L.J., Brooks, M.D., Busch, W., Buttelmann, G.L., Castellano, M.J., …,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…, &amp; Buckler, E.S. (2025).</w:t>
      </w:r>
      <w:r>
        <w:t xml:space="preserve"> </w:t>
      </w:r>
      <w:r>
        <w:rPr>
          <w:bCs/>
          <w:b/>
        </w:rPr>
        <w:t xml:space="preserve">Designing a nitrogen-efficient cold-tolerant maize for modern agricultural systems</w:t>
      </w:r>
      <w:r>
        <w:t xml:space="preserve">.</w:t>
      </w:r>
      <w:r>
        <w:t xml:space="preserve"> </w:t>
      </w:r>
      <w:r>
        <w:rPr>
          <w:iCs/>
          <w:i/>
        </w:rPr>
        <w:t xml:space="preserve">The Plant Cell</w:t>
      </w:r>
      <w:r>
        <w:t xml:space="preserve">,</w:t>
      </w:r>
      <w:r>
        <w:t xml:space="preserve"> </w:t>
      </w:r>
      <w:r>
        <w:rPr>
          <w:iCs/>
          <w:i/>
        </w:rPr>
        <w:t xml:space="preserve">37</w:t>
      </w:r>
      <w:r>
        <w:t xml:space="preserve">(7). https://doi.org/10.1093/plcell/koaf139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Emmett, B.D., Haafke, A., Costa‐Neto, G., Schulz, A.J., Lepak, N., La, T., AuBuchon‐Elder, T.M., Hale, C.O., Raglin, S.S., Ojeda‐Rivera, J.O., Kent, A.D., Kellogg, E.A., Romay, M.C., &amp; Buckler, E.S. (2025).</w:t>
      </w:r>
      <w:r>
        <w:t xml:space="preserve"> </w:t>
      </w:r>
      <w:r>
        <w:rPr>
          <w:bCs/>
          <w:b/>
        </w:rPr>
        <w:t xml:space="preserve">Contrasting rhizosphere nitrogen dynamics in Andropogoneae grasses</w:t>
      </w:r>
      <w:r>
        <w:t xml:space="preserve">.</w:t>
      </w:r>
      <w:r>
        <w:t xml:space="preserve"> </w:t>
      </w:r>
      <w:r>
        <w:rPr>
          <w:iCs/>
          <w:i/>
        </w:rPr>
        <w:t xml:space="preserve">The Plant Journal</w:t>
      </w:r>
      <w:r>
        <w:t xml:space="preserve">,</w:t>
      </w:r>
      <w:r>
        <w:t xml:space="preserve"> </w:t>
      </w:r>
      <w:r>
        <w:rPr>
          <w:iCs/>
          <w:i/>
        </w:rPr>
        <w:t xml:space="preserve">123</w:t>
      </w:r>
      <w:r>
        <w:t xml:space="preserve">(1). https://doi.org/10.1111/tpj.70319</w:t>
      </w:r>
    </w:p>
    <w:p>
      <w:pPr>
        <w:numPr>
          <w:ilvl w:val="0"/>
          <w:numId w:val="1001"/>
        </w:numPr>
      </w:pPr>
      <w:r>
        <w:t xml:space="preserve">Thorhölludottir, D.A.V.,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Barghi, N., Mallard, F., Nolte, V., &amp; Schlötterer, C. (2025).</w:t>
      </w:r>
      <w:r>
        <w:t xml:space="preserve"> </w:t>
      </w:r>
      <w:r>
        <w:rPr>
          <w:bCs/>
          <w:b/>
        </w:rPr>
        <w:t xml:space="preserve">Reduced Parallel Gene Expression Evolution With Increasing Genetic Divergence—A Hallmark of Polygenic Adaptation</w:t>
      </w:r>
      <w:r>
        <w:t xml:space="preserve">.</w:t>
      </w:r>
      <w:r>
        <w:t xml:space="preserve"> </w:t>
      </w:r>
      <w:r>
        <w:rPr>
          <w:iCs/>
          <w:i/>
        </w:rPr>
        <w:t xml:space="preserve">Molecular Ecology</w:t>
      </w:r>
      <w:r>
        <w:t xml:space="preserve">,</w:t>
      </w:r>
      <w:r>
        <w:t xml:space="preserve"> </w:t>
      </w:r>
      <w:r>
        <w:rPr>
          <w:iCs/>
          <w:i/>
        </w:rPr>
        <w:t xml:space="preserve">34</w:t>
      </w:r>
      <w:r>
        <w:t xml:space="preserve">(12). https://doi.org/10.1111/mec.17803</w:t>
      </w:r>
    </w:p>
    <w:p>
      <w:pPr>
        <w:numPr>
          <w:ilvl w:val="0"/>
          <w:numId w:val="1001"/>
        </w:numPr>
      </w:pPr>
      <w:r>
        <w:t xml:space="preserve">Lai, W.-Y.,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Futschik, A., &amp; Schlötterer, C. (2025).</w:t>
      </w:r>
      <w:r>
        <w:t xml:space="preserve"> </w:t>
      </w:r>
      <w:r>
        <w:rPr>
          <w:bCs/>
          <w:b/>
        </w:rPr>
        <w:t xml:space="preserve">Pleiotropy increases parallel selection signatures during adaptation from standing genetic variation</w:t>
      </w:r>
      <w:r>
        <w:t xml:space="preserve">.</w:t>
      </w:r>
      <w:r>
        <w:t xml:space="preserve"> </w:t>
      </w:r>
      <w:r>
        <w:rPr>
          <w:iCs/>
          <w:i/>
        </w:rPr>
        <w:t xml:space="preserve">eLife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. https://doi.org/10.7554/eLife.102321.3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Lai, W.-Y., Novak, J., Lehner, F., Jakšić, A.M., Versace, E., &amp; Schlötterer, C. (2024).</w:t>
      </w:r>
      <w:r>
        <w:t xml:space="preserve"> </w:t>
      </w:r>
      <w:r>
        <w:rPr>
          <w:bCs/>
          <w:b/>
        </w:rPr>
        <w:t xml:space="preserve">Reproductive isolation arises during laboratory adaptation to a novel hot environment</w:t>
      </w:r>
      <w:r>
        <w:t xml:space="preserve">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(1). https://doi.org/10.1186/s13059-024-03285-9</w:t>
      </w:r>
    </w:p>
    <w:p>
      <w:pPr>
        <w:numPr>
          <w:ilvl w:val="0"/>
          <w:numId w:val="1001"/>
        </w:numPr>
      </w:pPr>
      <w:r>
        <w:t xml:space="preserve">Buchner, S.,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Nolte, V., Otte, K.A., &amp; Schlötterer, C. (2023).</w:t>
      </w:r>
      <w:r>
        <w:t xml:space="preserve"> </w:t>
      </w:r>
      <w:r>
        <w:rPr>
          <w:bCs/>
          <w:b/>
        </w:rPr>
        <w:t xml:space="preserve">Effects of larval crowding on the transcriptome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Drosophila simulans</w:t>
      </w:r>
      <w:r>
        <w:t xml:space="preserve">.</w:t>
      </w:r>
      <w:r>
        <w:t xml:space="preserve"> </w:t>
      </w:r>
      <w:r>
        <w:rPr>
          <w:iCs/>
          <w:i/>
        </w:rPr>
        <w:t xml:space="preserve">Evolutionary Applications</w:t>
      </w:r>
      <w:r>
        <w:t xml:space="preserve">,</w:t>
      </w:r>
      <w:r>
        <w:t xml:space="preserve"> </w:t>
      </w:r>
      <w:r>
        <w:rPr>
          <w:iCs/>
          <w:i/>
        </w:rPr>
        <w:t xml:space="preserve">16</w:t>
      </w:r>
      <w:r>
        <w:t xml:space="preserve">(10), 1671-1679. https://doi.org/10.1111/eva.13592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Belmouaden, C., Nolte, V., &amp; Schlötterer, C. (2020).</w:t>
      </w:r>
      <w:r>
        <w:t xml:space="preserve"> </w:t>
      </w:r>
      <w:r>
        <w:rPr>
          <w:bCs/>
          <w:b/>
        </w:rPr>
        <w:t xml:space="preserve">Parallel gene expression evolution in natural and laboratory evolved populations</w:t>
      </w:r>
      <w:r>
        <w:t xml:space="preserve">.</w:t>
      </w:r>
      <w:r>
        <w:t xml:space="preserve"> </w:t>
      </w:r>
      <w:r>
        <w:rPr>
          <w:iCs/>
          <w:i/>
        </w:rPr>
        <w:t xml:space="preserve">Molecular Ecology</w:t>
      </w:r>
      <w:r>
        <w:t xml:space="preserve">,</w:t>
      </w:r>
      <w:r>
        <w:t xml:space="preserve"> </w:t>
      </w:r>
      <w:r>
        <w:rPr>
          <w:iCs/>
          <w:i/>
        </w:rPr>
        <w:t xml:space="preserve">30</w:t>
      </w:r>
      <w:r>
        <w:t xml:space="preserve">(4), 884-894. https://doi.org/10.1111/mec.15649</w:t>
      </w:r>
    </w:p>
    <w:p>
      <w:pPr>
        <w:numPr>
          <w:ilvl w:val="0"/>
          <w:numId w:val="1001"/>
        </w:numPr>
      </w:pPr>
      <w:r>
        <w:t xml:space="preserve">Jakšić, A.M., Karner, J., Nolte, V.,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Barghi, N., Mallard, F., Otte, K.A., Svečnjak, L., Senti, K.-A., &amp; Schlötterer, C. (2020).</w:t>
      </w:r>
      <w:r>
        <w:t xml:space="preserve"> </w:t>
      </w:r>
      <w:r>
        <w:rPr>
          <w:bCs/>
          <w:b/>
        </w:rPr>
        <w:t xml:space="preserve">Neuronal Function and Dopamine Signaling Evolve at High Temperature in Drosophila</w:t>
      </w:r>
      <w:r>
        <w:t xml:space="preserve">.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,</w:t>
      </w:r>
      <w:r>
        <w:t xml:space="preserve"> </w:t>
      </w:r>
      <w:r>
        <w:rPr>
          <w:iCs/>
          <w:i/>
        </w:rPr>
        <w:t xml:space="preserve">37</w:t>
      </w:r>
      <w:r>
        <w:t xml:space="preserve">(9), 2630-2640. https://doi.org/10.1093/molbev/msaa116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Jakšić, A.M., Nolte, V., Lirakis, M., Kofler, R., Barghi, N., Versace, E., &amp; Schlötterer, C. (2020).</w:t>
      </w:r>
      <w:r>
        <w:t xml:space="preserve"> </w:t>
      </w:r>
      <w:r>
        <w:rPr>
          <w:bCs/>
          <w:b/>
        </w:rPr>
        <w:t xml:space="preserve">Rapid sex-specific adaptation to high temperature in Drosophila</w:t>
      </w:r>
      <w:r>
        <w:t xml:space="preserve">.</w:t>
      </w:r>
      <w:r>
        <w:t xml:space="preserve"> </w:t>
      </w:r>
      <w:r>
        <w:rPr>
          <w:iCs/>
          <w:i/>
        </w:rPr>
        <w:t xml:space="preserve">eLife</w:t>
      </w:r>
      <w:r>
        <w:t xml:space="preserve">,</w:t>
      </w:r>
      <w:r>
        <w:t xml:space="preserve"> </w:t>
      </w:r>
      <w:r>
        <w:rPr>
          <w:iCs/>
          <w:i/>
        </w:rPr>
        <w:t xml:space="preserve">9</w:t>
      </w:r>
      <w:r>
        <w:t xml:space="preserve">. https://doi.org/10.7554/eLife.53237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Jakšić, A.M., Nolte, V., Barghi, N., Mallard, F., Otte, K.A., &amp; Schlötterer, C. (2019).</w:t>
      </w:r>
      <w:r>
        <w:t xml:space="preserve"> </w:t>
      </w:r>
      <w:r>
        <w:rPr>
          <w:bCs/>
          <w:b/>
        </w:rPr>
        <w:t xml:space="preserve">A 24 h Age Difference Causes Twice as Much Gene Expression Divergence as 100 Generations of Adaptation to a Novel Environment</w:t>
      </w:r>
      <w:r>
        <w:t xml:space="preserve">.</w:t>
      </w:r>
      <w:r>
        <w:t xml:space="preserve"> </w:t>
      </w:r>
      <w:r>
        <w:rPr>
          <w:iCs/>
          <w:i/>
        </w:rPr>
        <w:t xml:space="preserve">Genes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(2), 89. https://doi.org/10.3390/genes10020089</w:t>
      </w:r>
    </w:p>
    <w:p>
      <w:pPr>
        <w:numPr>
          <w:ilvl w:val="0"/>
          <w:numId w:val="1001"/>
        </w:numPr>
      </w:pPr>
      <w:r>
        <w:t xml:space="preserve">Lin, P.-C., Tsai, Y.-C.,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Ou, J.-H., Liao, C.-T., &amp; Tung, C.-W. (2018).</w:t>
      </w:r>
      <w:r>
        <w:t xml:space="preserve"> </w:t>
      </w:r>
      <w:r>
        <w:rPr>
          <w:bCs/>
          <w:b/>
        </w:rPr>
        <w:t xml:space="preserve">Identification of natural variants affecting chlorophyll content dynamics during rice seedling development</w:t>
      </w:r>
      <w:r>
        <w:t xml:space="preserve">.</w:t>
      </w:r>
      <w:r>
        <w:t xml:space="preserve"> </w:t>
      </w:r>
      <w:r>
        <w:rPr>
          <w:iCs/>
          <w:i/>
        </w:rPr>
        <w:t xml:space="preserve">Plant Breeding</w:t>
      </w:r>
      <w:r>
        <w:t xml:space="preserve">,</w:t>
      </w:r>
      <w:r>
        <w:t xml:space="preserve"> </w:t>
      </w:r>
      <w:r>
        <w:rPr>
          <w:iCs/>
          <w:i/>
        </w:rPr>
        <w:t xml:space="preserve">137</w:t>
      </w:r>
      <w:r>
        <w:t xml:space="preserve">(3), 355-363. https://doi.org/10.1111/pbr.12584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&amp; Tung, C.-W. (2017).</w:t>
      </w:r>
      <w:r>
        <w:t xml:space="preserve"> </w:t>
      </w:r>
      <w:r>
        <w:rPr>
          <w:bCs/>
          <w:b/>
        </w:rPr>
        <w:t xml:space="preserve">RNA-Seq Analysis of Diverse Rice Genotypes to Identify the Genes Controlling Coleoptile Growth during Submerged Germination</w:t>
      </w:r>
      <w:r>
        <w:t xml:space="preserve">.</w:t>
      </w:r>
      <w:r>
        <w:t xml:space="preserve"> </w:t>
      </w:r>
      <w:r>
        <w:rPr>
          <w:iCs/>
          <w:i/>
        </w:rPr>
        <w:t xml:space="preserve">Frontiers in Plant Science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. https://doi.org/10.3389/fpls.2017.00762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Hsu, S.-K.</w:t>
      </w:r>
      <w:r>
        <w:t xml:space="preserve">, &amp; Tung, C.-W. (2015).</w:t>
      </w:r>
      <w:r>
        <w:t xml:space="preserve"> </w:t>
      </w:r>
      <w:r>
        <w:rPr>
          <w:bCs/>
          <w:b/>
        </w:rPr>
        <w:t xml:space="preserve">Genetic Mapping of Anaerobic Germination-Associated QTLs Controlling Coleoptile Elongation in Rice</w:t>
      </w:r>
      <w:r>
        <w:t xml:space="preserve">.</w:t>
      </w:r>
      <w:r>
        <w:t xml:space="preserve"> </w:t>
      </w:r>
      <w:r>
        <w:rPr>
          <w:iCs/>
          <w:i/>
        </w:rPr>
        <w:t xml:space="preserve">Rice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(1). https://doi.org/10.1186/s12284-015-0072-3</w:t>
      </w:r>
    </w:p>
    <w:bookmarkEnd w:id="24"/>
    <w:bookmarkStart w:id="25" w:name="preprints"/>
    <w:p>
      <w:pPr>
        <w:pStyle w:val="Heading2"/>
      </w:pPr>
      <w:r>
        <w:t xml:space="preserve">Preprints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Hsu, S.-K.</w:t>
      </w:r>
      <w:r>
        <w:t xml:space="preserve">, Schulz, A.J., Hale, C.O., Costa-Neto, G., Miller, Z.R., Stitzer, M.C., Wrightsman, T., Zhai, J., Lai, W.-Y., Dawson, H.D., …, &amp; Buckler, E.S. (2026).</w:t>
      </w:r>
      <w:r>
        <w:t xml:space="preserve"> </w:t>
      </w:r>
      <w:r>
        <w:rPr>
          <w:bCs/>
          <w:b/>
        </w:rPr>
        <w:t xml:space="preserve">Convergent genome- and gene-level constraints shape repeated environmental adaptation in grasses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https://doi.org/10.64898/2026.06.01.729361</w:t>
      </w:r>
    </w:p>
    <w:p>
      <w:pPr>
        <w:numPr>
          <w:ilvl w:val="0"/>
          <w:numId w:val="1002"/>
        </w:numPr>
      </w:pPr>
      <w:r>
        <w:t xml:space="preserve">Ojeda-Rivera, J.O., Oren, E.,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Lepak, N., La, T., Zhai, J., Stitzer, M.C., Yobi, A., Angelovici, R., Buckler, E.S., &amp; Romay, M.C. (2026).</w:t>
      </w:r>
      <w:r>
        <w:t xml:space="preserve"> </w:t>
      </w:r>
      <w:r>
        <w:rPr>
          <w:bCs/>
          <w:b/>
        </w:rPr>
        <w:t xml:space="preserve">A transcriptomic atlas of grass senescence reveals divergent underground sink networks limit nitrogen recycling in annuals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https://doi.org/10.64898/2026.05.05.723041</w:t>
      </w:r>
    </w:p>
    <w:p>
      <w:pPr>
        <w:numPr>
          <w:ilvl w:val="0"/>
          <w:numId w:val="1002"/>
        </w:numPr>
      </w:pPr>
      <w:r>
        <w:t xml:space="preserve">El-Walid, M.Z., Gault, C.M., Costich, D.E., Lepak, N.K., Budka, J.S., Stitzer, M.C., Giri, A., Rees, E., Romay, M.C., Buckler, E.S., &amp;</w:t>
      </w:r>
      <w:r>
        <w:t xml:space="preserve"> </w:t>
      </w:r>
      <w:r>
        <w:rPr>
          <w:bCs/>
          <w:b/>
        </w:rPr>
        <w:t xml:space="preserve">Hsu, S.-K.</w:t>
      </w:r>
      <w:r>
        <w:t xml:space="preserve"> </w:t>
      </w:r>
      <w:r>
        <w:t xml:space="preserve">(2025).</w:t>
      </w:r>
      <w:r>
        <w:t xml:space="preserve"> </w:t>
      </w:r>
      <w:r>
        <w:rPr>
          <w:bCs/>
          <w:b/>
        </w:rPr>
        <w:t xml:space="preserve">Identification of Freezing Tolerance QTLs 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Tripsacum dactyloides</w:t>
      </w:r>
      <w:r>
        <w:rPr>
          <w:bCs/>
          <w:b/>
        </w:rPr>
        <w:t xml:space="preserve"> </w:t>
      </w:r>
      <w:r>
        <w:rPr>
          <w:bCs/>
          <w:b/>
        </w:rPr>
        <w:t xml:space="preserve">Using Open-Pollinated Bulk Segregant Analysis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https://doi.org/10.64898/2025.12.10.693030</w:t>
      </w:r>
    </w:p>
    <w:p>
      <w:pPr>
        <w:numPr>
          <w:ilvl w:val="0"/>
          <w:numId w:val="1002"/>
        </w:numPr>
      </w:pPr>
      <w:r>
        <w:t xml:space="preserve">Liu, Z.-Y., Berthel, A., Czech, E., Marroquin, E., Stitzer, M.,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Pennell, M., Buckler, E.S., &amp; Zhai, J. (2025).</w:t>
      </w:r>
      <w:r>
        <w:t xml:space="preserve"> </w:t>
      </w:r>
      <w:r>
        <w:rPr>
          <w:bCs/>
          <w:b/>
        </w:rPr>
        <w:t xml:space="preserve">GeneCAD: Plant Genome Annotation with a DNA Foundation Model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https://doi.org/10.1101/2025.10.31.685877</w:t>
      </w:r>
    </w:p>
    <w:p>
      <w:pPr>
        <w:numPr>
          <w:ilvl w:val="0"/>
          <w:numId w:val="1002"/>
        </w:numPr>
      </w:pPr>
      <w:r>
        <w:t xml:space="preserve">Zhai, J., Gokaslan, A.,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Chen, S.-P., Liu, Z.-Y., Marroquin, E., Czech, E., Cannon, B., Berthel, A., Romay, M.C., Pennell, M., Kuleshov, V., &amp; Buckler, E.S. (2025).</w:t>
      </w:r>
      <w:r>
        <w:t xml:space="preserve"> </w:t>
      </w:r>
      <w:r>
        <w:rPr>
          <w:bCs/>
          <w:b/>
        </w:rPr>
        <w:t xml:space="preserve">PlantCAD2: a DNA foundation model for interpreting genomes across flowering plants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https://doi.org/10.1101/2025.08.27.672609</w:t>
      </w:r>
    </w:p>
    <w:p>
      <w:pPr>
        <w:numPr>
          <w:ilvl w:val="0"/>
          <w:numId w:val="1002"/>
        </w:numPr>
      </w:pPr>
      <w:r>
        <w:t xml:space="preserve">Oren, E., Zhai, J., Rooney, T.E., Angelovici, R., Hale, C.O., Brindisi, L.J.,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Gault, C.M., Hua, J., La, T., Lepak, N., Fu, Q., Buckler, E.S., &amp; Romay, M.C. (2025).</w:t>
      </w:r>
      <w:r>
        <w:t xml:space="preserve"> </w:t>
      </w:r>
      <w:r>
        <w:rPr>
          <w:bCs/>
          <w:b/>
        </w:rPr>
        <w:t xml:space="preserve">Constrained evolution of a core winter proteome across independently cold-adapted PACMAD grasses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https://doi.org/10.1101/2025.05.15.654294</w:t>
      </w:r>
    </w:p>
    <w:p>
      <w:pPr>
        <w:numPr>
          <w:ilvl w:val="0"/>
          <w:numId w:val="1002"/>
        </w:numPr>
      </w:pPr>
      <w:r>
        <w:t xml:space="preserve">Stitzer, M.C., Seetharam, A.S., Scheben, A.,</w:t>
      </w:r>
      <w:r>
        <w:t xml:space="preserve"> </w:t>
      </w:r>
      <w:r>
        <w:rPr>
          <w:bCs/>
          <w:b/>
        </w:rPr>
        <w:t xml:space="preserve">Hsu, S.-K.</w:t>
      </w:r>
      <w:r>
        <w:t xml:space="preserve">, Schulz, A.J., AuBuchon-Elder, T.M., El-Walid, M., Ferebee, T.H., Hale, C.O., La, T., …, &amp; Hufford, M.B. (2025).</w:t>
      </w:r>
      <w:r>
        <w:t xml:space="preserve"> </w:t>
      </w:r>
      <w:r>
        <w:rPr>
          <w:bCs/>
          <w:b/>
        </w:rPr>
        <w:t xml:space="preserve">Extensive genome evolution distinguishes maize within a stable tribe of grasses</w:t>
      </w:r>
      <w:r>
        <w:t xml:space="preserve">.</w:t>
      </w:r>
      <w:r>
        <w:t xml:space="preserve"> </w:t>
      </w:r>
      <w:r>
        <w:rPr>
          <w:iCs/>
          <w:i/>
        </w:rPr>
        <w:t xml:space="preserve">bioRxiv</w:t>
      </w:r>
      <w:r>
        <w:t xml:space="preserve">. https://doi.org/10.1101/2025.01.22.633974</w:t>
      </w:r>
    </w:p>
    <w:bookmarkEnd w:id="25"/>
    <w:bookmarkEnd w:id="26"/>
    <w:bookmarkStart w:id="27" w:name="presentations"/>
    <w:p>
      <w:pPr>
        <w:pStyle w:val="Heading1"/>
      </w:pPr>
      <w:r>
        <w:t xml:space="preserve">Presentations</w:t>
      </w:r>
    </w:p>
    <w:p>
      <w:pPr>
        <w:pStyle w:val="FirstParagraph"/>
      </w:pPr>
      <w:r>
        <w:t xml:space="preserve">2025</w:t>
      </w:r>
      <w:r>
        <w:t xml:space="preserve"> </w:t>
      </w:r>
      <w:r>
        <w:rPr>
          <w:bCs/>
          <w:b/>
        </w:rPr>
        <w:t xml:space="preserve">The genetic basis of environmental adaptation in Poaceae.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67th Annual Maize Genetic Meeting, March 6-9, St. Loius, MO USA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The genetic basis of environmental adaptation in Poaceae.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ICQG7, July 22-26, Vienna, Austria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The phylogenetic variation in the rhizosphere nitrogen cycle of diverse grass species in the Andropogoneae.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The 66th Annual Maize Genetic Meeting, February 29-March 3, Raleigh, NC, USA</w:t>
      </w:r>
      <w:r>
        <w:br/>
      </w:r>
      <w:r>
        <w:t xml:space="preserve">2024</w:t>
      </w:r>
      <w:r>
        <w:t xml:space="preserve"> </w:t>
      </w:r>
      <w:r>
        <w:rPr>
          <w:bCs/>
          <w:b/>
        </w:rPr>
        <w:t xml:space="preserve">The phylogenetic variation in the rhizosphere nitrogen cycle of diverse grass species in the Andropogoneae.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Plant and Animal Genome 31, January 12-17, San Diego, CA, USA</w:t>
      </w:r>
      <w:r>
        <w:br/>
      </w:r>
      <w:r>
        <w:t xml:space="preserve">2023</w:t>
      </w:r>
      <w:r>
        <w:t xml:space="preserve"> </w:t>
      </w:r>
      <w:r>
        <w:rPr>
          <w:bCs/>
          <w:b/>
        </w:rPr>
        <w:t xml:space="preserve">The phylogenetic variation in the rhizosphere nitrogen cycle of diverse grass species in the Andropogoneae.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65th Annual Maize Genetic Meeting, March 16-19, St. Louis, MO, USA</w:t>
      </w:r>
      <w:r>
        <w:br/>
      </w:r>
      <w:r>
        <w:t xml:space="preserve">2021</w:t>
      </w:r>
      <w:r>
        <w:t xml:space="preserve"> </w:t>
      </w:r>
      <w:r>
        <w:rPr>
          <w:bCs/>
          <w:b/>
        </w:rPr>
        <w:t xml:space="preserve">Polygenic adaptation drives rapid evolution of pre- and post-mating reproductive isolation.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62nd Annual Drosophila Research Conference, March 20-24, Online</w:t>
      </w:r>
      <w:r>
        <w:br/>
      </w:r>
      <w:r>
        <w:t xml:space="preserve">2019</w:t>
      </w:r>
      <w:r>
        <w:t xml:space="preserve"> </w:t>
      </w:r>
      <w:r>
        <w:rPr>
          <w:bCs/>
          <w:b/>
        </w:rPr>
        <w:t xml:space="preserve">Sex-specific adaptation to high temperature in Drosophila.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ESEB 2019, August 19-24, Turku, Finland</w:t>
      </w:r>
      <w:r>
        <w:br/>
      </w:r>
      <w:r>
        <w:t xml:space="preserve">2018</w:t>
      </w:r>
      <w:r>
        <w:t xml:space="preserve"> </w:t>
      </w:r>
      <w:r>
        <w:rPr>
          <w:bCs/>
          <w:b/>
        </w:rPr>
        <w:t xml:space="preserve">Sexually antagonistic gene expression evolution in Drosophila simulans populations adapting to a novel thermal environment.</w:t>
      </w:r>
      <w:r>
        <w:t xml:space="preserve"> </w:t>
      </w:r>
      <w:r>
        <w:rPr>
          <w:iCs/>
          <w:i/>
        </w:rPr>
        <w:t xml:space="preserve">Oral presentation</w:t>
      </w:r>
      <w:r>
        <w:t xml:space="preserve">, PopGroup 51, January 3-6, Bristol, UK</w:t>
      </w:r>
      <w:r>
        <w:br/>
      </w:r>
      <w:r>
        <w:t xml:space="preserve">2017</w:t>
      </w:r>
      <w:r>
        <w:t xml:space="preserve"> </w:t>
      </w:r>
      <w:r>
        <w:rPr>
          <w:bCs/>
          <w:b/>
        </w:rPr>
        <w:t xml:space="preserve">Genetics and molecular analysis of anaerobic germination in rice.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Plant and Animal Genomes 25, January 14-18, San Diego, CA, USA</w:t>
      </w:r>
      <w:r>
        <w:br/>
      </w:r>
      <w:r>
        <w:t xml:space="preserve">2013</w:t>
      </w:r>
      <w:r>
        <w:t xml:space="preserve"> </w:t>
      </w:r>
      <w:r>
        <w:rPr>
          <w:bCs/>
          <w:b/>
        </w:rPr>
        <w:t xml:space="preserve">Identification of quantitative trait loci (QTL) associated with anaerobic germination of rice (Oryza Sativa).</w:t>
      </w:r>
      <w:r>
        <w:t xml:space="preserve"> </w:t>
      </w:r>
      <w:r>
        <w:rPr>
          <w:iCs/>
          <w:i/>
        </w:rPr>
        <w:t xml:space="preserve">Poster presentation</w:t>
      </w:r>
      <w:r>
        <w:t xml:space="preserve">, The 7th International Rice Genetics Symposium, November 4-8, Manila, Philippines</w:t>
      </w:r>
    </w:p>
    <w:p>
      <w:pPr>
        <w:pStyle w:val="BodyText"/>
      </w:pPr>
      <w:r>
        <w:rPr>
          <w:iCs/>
          <w:i/>
        </w:rPr>
        <w:t xml:space="preserve">Last updated: 2026-10-01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rcid.org/0000-0002-6942-7163" TargetMode="External" /><Relationship Type="http://schemas.openxmlformats.org/officeDocument/2006/relationships/hyperlink" Id="rId21" Target="https://scholar.google.com/citations?user=u_wofDgAAAA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2-6942-7163" TargetMode="External" /><Relationship Type="http://schemas.openxmlformats.org/officeDocument/2006/relationships/hyperlink" Id="rId21" Target="https://scholar.google.com/citations?user=u_wofDgAAAA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2026-10-01T04:27:01Z</dcterms:created>
  <dcterms:modified xsi:type="dcterms:W3CDTF">2026-10-01T04:27:01Z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