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heng-kai-hsu"/>
    <w:p>
      <w:pPr>
        <w:pStyle w:val="Heading1"/>
      </w:pPr>
      <w:r>
        <w:t xml:space="preserve">Sheng-Kai Hsu</w:t>
      </w:r>
    </w:p>
    <w:p>
      <w:pPr>
        <w:pStyle w:val="FirstParagraph"/>
      </w:pPr>
      <w:r>
        <w:rPr>
          <w:bCs/>
          <w:b/>
        </w:rPr>
        <w:t xml:space="preserve">Affiliation:</w:t>
      </w:r>
      <w:r>
        <w:t xml:space="preserve"> </w:t>
      </w:r>
      <w:r>
        <w:t xml:space="preserve">Institute for Genomic Diversity, Cornell University</w:t>
      </w:r>
      <w:r>
        <w:br/>
      </w:r>
      <w:r>
        <w:rPr>
          <w:bCs/>
          <w:b/>
        </w:rPr>
        <w:t xml:space="preserve">Email:</w:t>
      </w:r>
      <w:r>
        <w:t xml:space="preserve"> </w:t>
      </w:r>
      <w:r>
        <w:t xml:space="preserve">sh2246@cornell.edu</w:t>
      </w:r>
      <w:r>
        <w:br/>
      </w:r>
      <w:r>
        <w:rPr>
          <w:bCs/>
          <w:b/>
        </w:rPr>
        <w:t xml:space="preserve">ORCID:</w:t>
      </w:r>
      <w:r>
        <w:t xml:space="preserve"> </w:t>
      </w:r>
      <w:hyperlink r:id="rId20">
        <w:r>
          <w:rPr>
            <w:rStyle w:val="Hyperlink"/>
          </w:rPr>
          <w:t xml:space="preserve">0000-0002-6942-7163</w:t>
        </w:r>
      </w:hyperlink>
    </w:p>
    <w:bookmarkEnd w:id="21"/>
    <w:bookmarkStart w:id="22" w:name="positions-education"/>
    <w:p>
      <w:pPr>
        <w:pStyle w:val="Heading1"/>
      </w:pPr>
      <w:r>
        <w:t xml:space="preserve">Positions &amp; Education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31"/>
        <w:gridCol w:w="67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Position / Degree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2022–present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Postdoctoral research fellow, Institute for Genomic Diversity, Cornell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Edward Buckler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2017–2021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Ph.D., Vienna Graduate School of Population Genetics, Univ. of Veterinary Medicine Vienna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Christian Schlötterer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2014–2015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M.Sc., Department of Agronomy, National Taiwan University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Advisor: Chih-Wei Tung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2010–2014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B.Sc., Department of Agronomy, National Taiwan University</w:t>
            </w:r>
          </w:p>
        </w:tc>
      </w:tr>
    </w:tbl>
    <w:bookmarkEnd w:id="22"/>
    <w:bookmarkStart w:id="25" w:name="publications"/>
    <w:p>
      <w:pPr>
        <w:pStyle w:val="Heading1"/>
      </w:pPr>
      <w:r>
        <w:t xml:space="preserve">Publications</w:t>
      </w:r>
    </w:p>
    <w:bookmarkStart w:id="23" w:name="peer-reviewed-publications"/>
    <w:p>
      <w:pPr>
        <w:pStyle w:val="Heading2"/>
      </w:pPr>
      <w:r>
        <w:t xml:space="preserve">Peer-reviewed Publications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Emmett, B.D., Haafke, A., Costa‐Neto, G., Schulz, A.J., Lepak, N., La, T., AuBuchon‐Elder, T.M., Hale, C.O., Raglin, S.S., Ojeda‐Rivera, J.O., Kent, A.D., Kellogg, E.A., Romay, M.C., &amp; Buckler, E.S. (2025).</w:t>
      </w:r>
      <w:r>
        <w:t xml:space="preserve"> </w:t>
      </w:r>
      <w:r>
        <w:rPr>
          <w:bCs/>
          <w:b/>
        </w:rPr>
        <w:t xml:space="preserve">Contrasting rhizosphere nitrogen dynamics in Andropogoneae grasses</w:t>
      </w:r>
      <w:r>
        <w:t xml:space="preserve">.</w:t>
      </w:r>
      <w:r>
        <w:t xml:space="preserve"> </w:t>
      </w:r>
      <w:r>
        <w:rPr>
          <w:iCs/>
          <w:i/>
        </w:rPr>
        <w:t xml:space="preserve">The Plant Journal</w:t>
      </w:r>
      <w:r>
        <w:t xml:space="preserve">,</w:t>
      </w:r>
      <w:r>
        <w:t xml:space="preserve"> </w:t>
      </w:r>
      <w:r>
        <w:rPr>
          <w:iCs/>
          <w:i/>
        </w:rPr>
        <w:t xml:space="preserve">123</w:t>
      </w:r>
      <w:r>
        <w:t xml:space="preserve">(1). https://doi.org/10.1111/tpj.70319</w:t>
      </w:r>
    </w:p>
    <w:p>
      <w:pPr>
        <w:numPr>
          <w:ilvl w:val="0"/>
          <w:numId w:val="1001"/>
        </w:numPr>
      </w:pPr>
      <w:r>
        <w:t xml:space="preserve">Thorhölludottir, D.A.V.,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Nolte, V., &amp; Schlötterer, C. (2025).</w:t>
      </w:r>
      <w:r>
        <w:t xml:space="preserve"> </w:t>
      </w:r>
      <w:r>
        <w:rPr>
          <w:bCs/>
          <w:b/>
        </w:rPr>
        <w:t xml:space="preserve">Reduced Parallel Gene Expression Evolution With Increasing Genetic Divergence—A Hallmark of Polygenic Adaptation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34</w:t>
      </w:r>
      <w:r>
        <w:t xml:space="preserve">(12). https://doi.org/10.1111/mec.17803</w:t>
      </w:r>
    </w:p>
    <w:p>
      <w:pPr>
        <w:numPr>
          <w:ilvl w:val="0"/>
          <w:numId w:val="1001"/>
        </w:numPr>
      </w:pPr>
      <w:r>
        <w:t xml:space="preserve">Lai, W-Y.,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Futschik, A., &amp; Schlötterer, C. (2025).</w:t>
      </w:r>
      <w:r>
        <w:t xml:space="preserve"> </w:t>
      </w:r>
      <w:r>
        <w:rPr>
          <w:bCs/>
          <w:b/>
        </w:rPr>
        <w:t xml:space="preserve">Pleiotropy increases parallel selection signatures during adaptation from standing genetic variation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13</w:t>
      </w:r>
      <w:r>
        <w:t xml:space="preserve">. https://doi.org/10.7554/eLife.102321.3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Lai, W-Y., Novak, J., Lehner, F., Jakšić, A.M., Versace, E., &amp; Schlötterer, C. (2024).</w:t>
      </w:r>
      <w:r>
        <w:t xml:space="preserve"> </w:t>
      </w:r>
      <w:r>
        <w:rPr>
          <w:bCs/>
          <w:b/>
        </w:rPr>
        <w:t xml:space="preserve">Reproductive isolation arises during laboratory adaptation to a novel hot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Genome Biology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(1). https://doi.org/10.1186/s13059-024-03285-9</w:t>
      </w:r>
    </w:p>
    <w:p>
      <w:pPr>
        <w:numPr>
          <w:ilvl w:val="0"/>
          <w:numId w:val="1001"/>
        </w:numPr>
      </w:pPr>
      <w:r>
        <w:t xml:space="preserve">Buchner, S.,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Nolte, V., Otte, K.A., &amp; Schlötterer, C. (2023).</w:t>
      </w:r>
      <w:r>
        <w:t xml:space="preserve"> </w:t>
      </w:r>
      <w:r>
        <w:rPr>
          <w:bCs/>
          <w:b/>
        </w:rPr>
        <w:t xml:space="preserve">Effects of larval crowding on the transcriptome of</w:t>
      </w:r>
      <w:r>
        <w:rPr>
          <w:bCs/>
          <w:b/>
        </w:rPr>
        <w:t xml:space="preserve"> </w:t>
      </w:r>
      <w:r>
        <w:rPr>
          <w:bCs/>
          <w:b/>
        </w:rPr>
        <w:t xml:space="preserve">Drosophila simulans</w:t>
      </w:r>
      <w:r>
        <w:t xml:space="preserve">.</w:t>
      </w:r>
      <w:r>
        <w:t xml:space="preserve"> </w:t>
      </w:r>
      <w:r>
        <w:rPr>
          <w:iCs/>
          <w:i/>
        </w:rPr>
        <w:t xml:space="preserve">Evolutionary Applications</w:t>
      </w:r>
      <w:r>
        <w:t xml:space="preserve">,</w:t>
      </w:r>
      <w:r>
        <w:t xml:space="preserve"> </w:t>
      </w:r>
      <w:r>
        <w:rPr>
          <w:iCs/>
          <w:i/>
        </w:rPr>
        <w:t xml:space="preserve">16</w:t>
      </w:r>
      <w:r>
        <w:t xml:space="preserve">(10), 1671-1679. https://doi.org/10.1111/eva.13592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Belmouaden, C., Nolte, V., &amp; Schlötterer, C. (2020).</w:t>
      </w:r>
      <w:r>
        <w:t xml:space="preserve"> </w:t>
      </w:r>
      <w:r>
        <w:rPr>
          <w:bCs/>
          <w:b/>
        </w:rPr>
        <w:t xml:space="preserve">Parallel gene expression evolution in natural and laboratory evolved populations</w:t>
      </w:r>
      <w:r>
        <w:t xml:space="preserve">.</w:t>
      </w:r>
      <w:r>
        <w:t xml:space="preserve"> </w:t>
      </w:r>
      <w:r>
        <w:rPr>
          <w:iCs/>
          <w:i/>
        </w:rPr>
        <w:t xml:space="preserve">Molecular Ecology</w:t>
      </w:r>
      <w:r>
        <w:t xml:space="preserve">,</w:t>
      </w:r>
      <w:r>
        <w:t xml:space="preserve"> </w:t>
      </w:r>
      <w:r>
        <w:rPr>
          <w:iCs/>
          <w:i/>
        </w:rPr>
        <w:t xml:space="preserve">30</w:t>
      </w:r>
      <w:r>
        <w:t xml:space="preserve">(4), 884-894. https://doi.org/10.1111/mec.15649</w:t>
      </w:r>
    </w:p>
    <w:p>
      <w:pPr>
        <w:numPr>
          <w:ilvl w:val="0"/>
          <w:numId w:val="1001"/>
        </w:numPr>
      </w:pPr>
      <w:r>
        <w:t xml:space="preserve">Jakšić, A.M., Karner, J., Nolte, V.,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Barghi, N., Mallard, F., Otte, K.A., Svečnjak, L., Senti, K-A., &amp; Schlötterer, C. (2020).</w:t>
      </w:r>
      <w:r>
        <w:t xml:space="preserve"> </w:t>
      </w:r>
      <w:r>
        <w:rPr>
          <w:bCs/>
          <w:b/>
        </w:rPr>
        <w:t xml:space="preserve">Neuronal Function and Dopamine Signaling Evolve at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Molecular Biology and Evolution</w:t>
      </w:r>
      <w:r>
        <w:t xml:space="preserve">,</w:t>
      </w:r>
      <w:r>
        <w:t xml:space="preserve"> </w:t>
      </w:r>
      <w:r>
        <w:rPr>
          <w:iCs/>
          <w:i/>
        </w:rPr>
        <w:t xml:space="preserve">37</w:t>
      </w:r>
      <w:r>
        <w:t xml:space="preserve">(9), 2630-2640. https://doi.org/10.1093/molbev/msaa116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Lirakis, M., Kofler, R., Barghi, N., Versace, E., &amp; Schlötterer, C. (2020).</w:t>
      </w:r>
      <w:r>
        <w:t xml:space="preserve"> </w:t>
      </w:r>
      <w:r>
        <w:rPr>
          <w:bCs/>
          <w:b/>
        </w:rPr>
        <w:t xml:space="preserve">Rapid sex-specific adaptation to high temperature in Drosophila</w:t>
      </w:r>
      <w:r>
        <w:t xml:space="preserve">.</w:t>
      </w:r>
      <w:r>
        <w:t xml:space="preserve"> </w:t>
      </w:r>
      <w:r>
        <w:rPr>
          <w:iCs/>
          <w:i/>
        </w:rPr>
        <w:t xml:space="preserve">eLife</w:t>
      </w:r>
      <w:r>
        <w:t xml:space="preserve">,</w:t>
      </w:r>
      <w:r>
        <w:t xml:space="preserve"> </w:t>
      </w:r>
      <w:r>
        <w:rPr>
          <w:iCs/>
          <w:i/>
        </w:rPr>
        <w:t xml:space="preserve">9</w:t>
      </w:r>
      <w:r>
        <w:t xml:space="preserve">. https://doi.org/10.7554/eLife.53237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Jakšić, A.M., Nolte, V., Barghi, N., Mallard, F., Otte, K.A., &amp; Schlötterer, C. (2019).</w:t>
      </w:r>
      <w:r>
        <w:t xml:space="preserve"> </w:t>
      </w:r>
      <w:r>
        <w:rPr>
          <w:bCs/>
          <w:b/>
        </w:rPr>
        <w:t xml:space="preserve">A 24 h Age Difference Causes Twice as Much Gene Expression Divergence as 100 Generations of Adaptation to a Novel Environment</w:t>
      </w:r>
      <w:r>
        <w:t xml:space="preserve">.</w:t>
      </w:r>
      <w:r>
        <w:t xml:space="preserve"> </w:t>
      </w:r>
      <w:r>
        <w:rPr>
          <w:iCs/>
          <w:i/>
        </w:rPr>
        <w:t xml:space="preserve">Genes</w:t>
      </w:r>
      <w:r>
        <w:t xml:space="preserve">,</w:t>
      </w:r>
      <w:r>
        <w:t xml:space="preserve"> </w:t>
      </w:r>
      <w:r>
        <w:rPr>
          <w:iCs/>
          <w:i/>
        </w:rPr>
        <w:t xml:space="preserve">10</w:t>
      </w:r>
      <w:r>
        <w:t xml:space="preserve">(2), 89. https://doi.org/10.3390/genes10020089</w:t>
      </w:r>
    </w:p>
    <w:p>
      <w:pPr>
        <w:numPr>
          <w:ilvl w:val="0"/>
          <w:numId w:val="1001"/>
        </w:numPr>
      </w:pPr>
      <w:r>
        <w:t xml:space="preserve">Lin, P-C., Tsai, Y-C.,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Ou, J-H., Liao, C-T., &amp; Tung, C-W. (2018).</w:t>
      </w:r>
      <w:r>
        <w:t xml:space="preserve"> </w:t>
      </w:r>
      <w:r>
        <w:rPr>
          <w:bCs/>
          <w:b/>
        </w:rPr>
        <w:t xml:space="preserve">Identification of natural variants affecting chlorophyll content dynamics during rice seedling development</w:t>
      </w:r>
      <w:r>
        <w:t xml:space="preserve">.</w:t>
      </w:r>
      <w:r>
        <w:t xml:space="preserve"> </w:t>
      </w:r>
      <w:r>
        <w:rPr>
          <w:iCs/>
          <w:i/>
        </w:rPr>
        <w:t xml:space="preserve">Plant Breeding</w:t>
      </w:r>
      <w:r>
        <w:t xml:space="preserve">,</w:t>
      </w:r>
      <w:r>
        <w:t xml:space="preserve"> </w:t>
      </w:r>
      <w:r>
        <w:rPr>
          <w:iCs/>
          <w:i/>
        </w:rPr>
        <w:t xml:space="preserve">137</w:t>
      </w:r>
      <w:r>
        <w:t xml:space="preserve">(3), 355-363. https://doi.org/10.1111/pbr.12584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(2017).</w:t>
      </w:r>
      <w:r>
        <w:t xml:space="preserve"> </w:t>
      </w:r>
      <w:r>
        <w:rPr>
          <w:bCs/>
          <w:b/>
        </w:rPr>
        <w:t xml:space="preserve">RNA-Seq Analysis of Diverse Rice Genotypes to Identify the Genes Controlling Coleoptile Growth during Submerged Germination</w:t>
      </w:r>
      <w:r>
        <w:t xml:space="preserve">.</w:t>
      </w:r>
      <w:r>
        <w:t xml:space="preserve"> </w:t>
      </w:r>
      <w:r>
        <w:rPr>
          <w:iCs/>
          <w:i/>
        </w:rPr>
        <w:t xml:space="preserve">Frontiers in Plant Science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. https://doi.org/10.3389/fpls.2017.00762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Hsu, S-K.</w:t>
      </w:r>
      <w:r>
        <w:t xml:space="preserve">, &amp; Tung, C-W. (2015).</w:t>
      </w:r>
      <w:r>
        <w:t xml:space="preserve"> </w:t>
      </w:r>
      <w:r>
        <w:rPr>
          <w:bCs/>
          <w:b/>
        </w:rPr>
        <w:t xml:space="preserve">Genetic Mapping of Anaerobic Germination-Associated QTLs Controlling Coleoptile Elongation in Rice</w:t>
      </w:r>
      <w:r>
        <w:t xml:space="preserve">.</w:t>
      </w:r>
      <w:r>
        <w:t xml:space="preserve"> </w:t>
      </w:r>
      <w:r>
        <w:rPr>
          <w:iCs/>
          <w:i/>
        </w:rPr>
        <w:t xml:space="preserve">Rice</w:t>
      </w:r>
      <w:r>
        <w:t xml:space="preserve">,</w:t>
      </w:r>
      <w:r>
        <w:t xml:space="preserve"> </w:t>
      </w:r>
      <w:r>
        <w:rPr>
          <w:iCs/>
          <w:i/>
        </w:rPr>
        <w:t xml:space="preserve">8</w:t>
      </w:r>
      <w:r>
        <w:t xml:space="preserve">(1). https://doi.org/10.1186/s12284-015-0072-3</w:t>
      </w:r>
    </w:p>
    <w:bookmarkEnd w:id="23"/>
    <w:bookmarkStart w:id="24" w:name="preprints"/>
    <w:p>
      <w:pPr>
        <w:pStyle w:val="Heading2"/>
      </w:pPr>
      <w:r>
        <w:t xml:space="preserve">Preprints</w:t>
      </w:r>
    </w:p>
    <w:p>
      <w:pPr>
        <w:numPr>
          <w:ilvl w:val="0"/>
          <w:numId w:val="1002"/>
        </w:numPr>
      </w:pPr>
      <w:r>
        <w:t xml:space="preserve">Oren, E., Zhai, J., Rooney, T., Angelovici, R., Hale, C., Brindisi, L.J.,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Gault, C., Hua, J., La, T., Lepak, N., Fu, Q., Buckler, E., &amp; Romay, C. (2025).</w:t>
      </w:r>
      <w:r>
        <w:t xml:space="preserve"> </w:t>
      </w:r>
      <w:r>
        <w:rPr>
          <w:bCs/>
          <w:b/>
        </w:rPr>
        <w:t xml:space="preserve">Grass Rhizome Proteomics Reveals Convergent Freezing-Tolerance Strategies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https://doi.org/10.1101/2025.05.15.654294</w:t>
      </w:r>
    </w:p>
    <w:p>
      <w:pPr>
        <w:numPr>
          <w:ilvl w:val="0"/>
          <w:numId w:val="1002"/>
        </w:numPr>
      </w:pPr>
      <w:r>
        <w:t xml:space="preserve">Hale, C.O.,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Zhai, J., Schulz, A.J., Aubuchon-Elder, T., Costa-Neto, G., Gelfond, A., El-Walid, M., Hufford, M., Kellogg, E.A., La, T., Marand, A.P., Seetharam, A.S., Scheben, A., Stitzer, M., Wrightsman, T., Romay, M.C., &amp; Buckler, E.S. (2025).</w:t>
      </w:r>
      <w:r>
        <w:t xml:space="preserve"> </w:t>
      </w:r>
      <w:r>
        <w:rPr>
          <w:bCs/>
          <w:b/>
        </w:rPr>
        <w:t xml:space="preserve">Extensive modulation of a conserved</w:t>
      </w:r>
      <w:r>
        <w:rPr>
          <w:bCs/>
          <w:b/>
        </w:rPr>
        <w:t xml:space="preserve"> </w:t>
      </w:r>
      <w:r>
        <w:rPr>
          <w:bCs/>
          <w:b/>
        </w:rPr>
        <w:t xml:space="preserve">cis</w:t>
      </w:r>
      <w:r>
        <w:rPr>
          <w:bCs/>
          <w:b/>
        </w:rPr>
        <w:t xml:space="preserve"> </w:t>
      </w:r>
      <w:r>
        <w:rPr>
          <w:bCs/>
          <w:b/>
        </w:rPr>
        <w:t xml:space="preserve">-regulatory code across 589 grass species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https://doi.org/10.1101/2025.04.23.650228</w:t>
      </w:r>
    </w:p>
    <w:p>
      <w:pPr>
        <w:numPr>
          <w:ilvl w:val="0"/>
          <w:numId w:val="1002"/>
        </w:numPr>
      </w:pPr>
      <w:r>
        <w:t xml:space="preserve">Stitzer, M.C., Seetharam, A.S., Scheben, A.,</w:t>
      </w:r>
      <w:r>
        <w:t xml:space="preserve"> </w:t>
      </w:r>
      <w:r>
        <w:rPr>
          <w:bCs/>
          <w:b/>
        </w:rPr>
        <w:t xml:space="preserve">Hsu, S-K.</w:t>
      </w:r>
      <w:r>
        <w:t xml:space="preserve">, Schulz, A.J., AuBuchon-Elder, T.M., El-Walid, M., Ferebee, T.H., Hale, C.O., La, T., &amp;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(2025).</w:t>
      </w:r>
      <w:r>
        <w:t xml:space="preserve"> </w:t>
      </w:r>
      <w:r>
        <w:rPr>
          <w:bCs/>
          <w:b/>
        </w:rPr>
        <w:t xml:space="preserve">Extensive genome evolution distinguishes maize within a stable tribe of grasses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https://doi.org/10.1101/2025.01.22.633974</w:t>
      </w:r>
    </w:p>
    <w:p>
      <w:pPr>
        <w:numPr>
          <w:ilvl w:val="0"/>
          <w:numId w:val="1002"/>
        </w:numPr>
      </w:pPr>
      <w:r>
        <w:t xml:space="preserve">Schulz, A.J., Zhai, J., AuBuchon-Elder, T., El-Walid, M., Ferebee, T.H., Gilmore, E.H., Hufford, M.B., Johnson, L.C., Kellogg, E.A., La, T., Long, E., Miller, Z.R., Romay, M.C., Seetharam, A.S., Stitzer, M.C., Wrightsman, T., Buckler, E.S., Monier, B., &amp;</w:t>
      </w:r>
      <w:r>
        <w:t xml:space="preserve"> </w:t>
      </w:r>
      <w:r>
        <w:rPr>
          <w:bCs/>
          <w:b/>
        </w:rPr>
        <w:t xml:space="preserve">Hsu, S-K.</w:t>
      </w:r>
      <w:r>
        <w:t xml:space="preserve"> </w:t>
      </w:r>
      <w:r>
        <w:t xml:space="preserve">(2023).</w:t>
      </w:r>
      <w:r>
        <w:t xml:space="preserve"> </w:t>
      </w:r>
      <w:r>
        <w:rPr>
          <w:bCs/>
          <w:b/>
        </w:rPr>
        <w:t xml:space="preserve">Fishing for a reelGene: evaluating gene models with evolution and machine learning</w:t>
      </w:r>
      <w:r>
        <w:t xml:space="preserve">.</w:t>
      </w:r>
      <w:r>
        <w:t xml:space="preserve"> </w:t>
      </w:r>
      <w:r>
        <w:rPr>
          <w:iCs/>
          <w:i/>
        </w:rPr>
        <w:t xml:space="preserve">bioRxiv.</w:t>
      </w:r>
      <w:r>
        <w:t xml:space="preserve"> </w:t>
      </w:r>
      <w:r>
        <w:t xml:space="preserve">https://doi.org/10.1101/2023.09.19.558246</w:t>
      </w:r>
    </w:p>
    <w:bookmarkEnd w:id="24"/>
    <w:bookmarkEnd w:id="25"/>
    <w:bookmarkStart w:id="26" w:name="presentations"/>
    <w:p>
      <w:pPr>
        <w:pStyle w:val="Heading1"/>
      </w:pPr>
      <w:r>
        <w:t xml:space="preserve">Presentations</w:t>
      </w:r>
    </w:p>
    <w:p>
      <w:pPr>
        <w:pStyle w:val="FirstParagraph"/>
      </w:pPr>
      <w:r>
        <w:t xml:space="preserve">2025</w:t>
      </w:r>
      <w:r>
        <w:t xml:space="preserve"> </w:t>
      </w:r>
      <w:r>
        <w:rPr>
          <w:bCs/>
          <w:b/>
        </w:rPr>
        <w:t xml:space="preserve">The genetic basis of environmental adaptation in Poaceae.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67th Annual Maize Genetic Meeting, March 6-9, St. Loius, MO USA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genetic basis of environmental adaptation in Poaceae.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ICQG7, July 22-26, Vienna, Austria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The 66th Annual Maize Genetic Meeting, February 29-March 3, Raleigh, NC, USA</w:t>
      </w:r>
      <w:r>
        <w:br/>
      </w:r>
      <w:r>
        <w:t xml:space="preserve">2024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Plant and Animal Genome 31, January 12-17, San Diego, CA, USA</w:t>
      </w:r>
      <w:r>
        <w:br/>
      </w:r>
      <w:r>
        <w:t xml:space="preserve">2023</w:t>
      </w:r>
      <w:r>
        <w:t xml:space="preserve"> </w:t>
      </w:r>
      <w:r>
        <w:rPr>
          <w:bCs/>
          <w:b/>
        </w:rPr>
        <w:t xml:space="preserve">The phylogenetic variation in the rhizosphere nitrogen cycle of diverse grass species in the Andropogoneae.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65th Annual Maize Genetic Meeting, March 16-19, St. Louis, MO, USA</w:t>
      </w:r>
      <w:r>
        <w:br/>
      </w:r>
      <w:r>
        <w:t xml:space="preserve">2021</w:t>
      </w:r>
      <w:r>
        <w:t xml:space="preserve"> </w:t>
      </w:r>
      <w:r>
        <w:rPr>
          <w:bCs/>
          <w:b/>
        </w:rPr>
        <w:t xml:space="preserve">Polygenic adaptation drives rapid evolution of pre- and post-mating reproductive isolation.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62nd Annual Drosophila Research Conference, March 20-24, Online</w:t>
      </w:r>
      <w:r>
        <w:br/>
      </w:r>
      <w:r>
        <w:t xml:space="preserve">2019</w:t>
      </w:r>
      <w:r>
        <w:t xml:space="preserve"> </w:t>
      </w:r>
      <w:r>
        <w:rPr>
          <w:bCs/>
          <w:b/>
        </w:rPr>
        <w:t xml:space="preserve">Sex-specific adaptation to high temperature in Drosophila.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ESEB 2019, August 19-24, Turku, Finland</w:t>
      </w:r>
      <w:r>
        <w:br/>
      </w:r>
      <w:r>
        <w:t xml:space="preserve">2018</w:t>
      </w:r>
      <w:r>
        <w:t xml:space="preserve"> </w:t>
      </w:r>
      <w:r>
        <w:rPr>
          <w:bCs/>
          <w:b/>
        </w:rPr>
        <w:t xml:space="preserve">Sexually antagonistic gene expression evolution in Drosophila simulans populations adapting to a novel thermal environment.</w:t>
      </w:r>
      <w:r>
        <w:t xml:space="preserve"> </w:t>
      </w:r>
      <w:r>
        <w:rPr>
          <w:iCs/>
          <w:i/>
        </w:rPr>
        <w:t xml:space="preserve">Oral presentation</w:t>
      </w:r>
      <w:r>
        <w:t xml:space="preserve">, PopGroup 51, January 3-6, Bristol, UK</w:t>
      </w:r>
      <w:r>
        <w:br/>
      </w:r>
      <w:r>
        <w:t xml:space="preserve">2017</w:t>
      </w:r>
      <w:r>
        <w:t xml:space="preserve"> </w:t>
      </w:r>
      <w:r>
        <w:rPr>
          <w:bCs/>
          <w:b/>
        </w:rPr>
        <w:t xml:space="preserve">Genetics and molecular analysis of anaerobic germination in rice.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Plant and Animal Genomes 25, January 14-18, San Diego, CA, USA</w:t>
      </w:r>
      <w:r>
        <w:br/>
      </w:r>
      <w:r>
        <w:t xml:space="preserve">2013</w:t>
      </w:r>
      <w:r>
        <w:t xml:space="preserve"> </w:t>
      </w:r>
      <w:r>
        <w:rPr>
          <w:bCs/>
          <w:b/>
        </w:rPr>
        <w:t xml:space="preserve">Identification of quantitative trait loci (QTL) associated with anaerobic germination of rice (Oryza Sativa).</w:t>
      </w:r>
      <w:r>
        <w:t xml:space="preserve"> </w:t>
      </w:r>
      <w:r>
        <w:rPr>
          <w:iCs/>
          <w:i/>
        </w:rPr>
        <w:t xml:space="preserve">Poster presentation</w:t>
      </w:r>
      <w:r>
        <w:t xml:space="preserve">, The 7th International Rice Genetics Symposium, November 4-8, Manila, Philippines</w:t>
      </w:r>
    </w:p>
    <w:p>
      <w:pPr>
        <w:pStyle w:val="BodyText"/>
      </w:pPr>
      <w:r>
        <w:rPr>
          <w:iCs/>
          <w:i/>
        </w:rPr>
        <w:t xml:space="preserve">Last updated: 2025-08-01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orcid.org/0000-0002-6942-716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rcid.org/0000-0002-6942-716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2025-08-01T02:00:19Z</dcterms:created>
  <dcterms:modified xsi:type="dcterms:W3CDTF">2025-08-01T02:00:19Z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