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t>Read this passage and answer questions 29 to 38.</w:t>
      </w:r>
    </w:p>
    <w:p>
      <w:r>
        <w:drawing>
          <wp:inline xmlns:a="http://schemas.openxmlformats.org/drawingml/2006/main" xmlns:pic="http://schemas.openxmlformats.org/drawingml/2006/picture">
            <wp:extent cx="4572000" cy="595975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0-06-11 09-39-19_039329_43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959759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