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 fallin the blanks below to snow how the author related to the rubber toy. [3m]</w:t>
      </w:r>
    </w:p>
    <w:p>
      <w:r>
        <w:t>a) After the .</w:t>
        <w:br/>
        <w:t>fishmonger passed [-) hefeltthatshewasa aly</w:t>
        <w:br/>
        <w:t>ihe rubber toy io }</w:t>
        <w:br/>
        <w:t>the author |</w:t>
      </w:r>
    </w:p>
    <w:p>
      <w:r>
        <w:drawing>
          <wp:inline xmlns:a="http://schemas.openxmlformats.org/drawingml/2006/main" xmlns:pic="http://schemas.openxmlformats.org/drawingml/2006/picture">
            <wp:extent cx="4572000" cy="122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FND OF PAPER</w:t>
      </w:r>
    </w:p>
    <w:p>
      <w:r>
        <w:t>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