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79, — The table below shows the actions of the characters and the causes of their</w:t>
        <w:br/>
        <w:t>actions. Fill in the blanks using information from the passage. [2m]</w:t>
      </w:r>
    </w:p>
    <w:p>
      <w:r>
        <w:drawing>
          <wp:inline xmlns:a="http://schemas.openxmlformats.org/drawingml/2006/main" xmlns:pic="http://schemas.openxmlformats.org/drawingml/2006/picture">
            <wp:extent cx="4572000" cy="2242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2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80. Do you think the judge believed Mani’s story? Support your answer with evidence</w:t>
        <w:br/>
        <w:t>from the passage. [2m]</w:t>
      </w:r>
    </w:p>
    <w:p/>
    <w:p/>
    <w:p>
      <w:r>
        <w:t>™ End of Paper ***</w:t>
      </w:r>
    </w:p>
    <w:p>
      <w:r>
        <w:t>(Have you checked your work thoroughly?)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