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7-27-24_495984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