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受文者：桃園市政府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正本：桃園市政府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form_seq[13]['answer']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桃園市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獵捕活動會議記錄及自律規範或公約 </w:t>
      </w:r>
      <w:r w:rsidDel="00000000" w:rsidR="00000000" w:rsidRPr="00000000">
        <w:rPr>
          <w:rtl w:val="0"/>
        </w:rPr>
      </w:r>
    </w:p>
    <w:tbl>
      <w:tblPr>
        <w:tblStyle w:val="Table7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發文：桃園市政府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08Wb3IVq38WdGF3CZiAcNznn1g==">CgMxLjA4AHIhMXpkbmFDN3B0S0JfWExSREVMM3RfbTJSb180REtZQ0pX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