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宜蘭縣政府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宜蘭縣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+IeEqqV8eOezfEZ5qlkRHD2lQ==">CgMxLjA4AHIhMXRVX3VfdVBscGRiRjdyZkdyNXQyY09zYVg5TDVxek5O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