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桃園市政府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form_seq[6]['answer'] }} 申請狩獵地點 {{ form_seq[10]['answer'] }}，狩獵期間自 {{ form_seq[13]['answer'] }} 至 {{ form_seq[14]['answer'] }} 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525"/>
        <w:gridCol w:w="1185"/>
        <w:gridCol w:w="3435"/>
        <w:tblGridChange w:id="0">
          <w:tblGrid>
            <w:gridCol w:w="1470"/>
            <w:gridCol w:w="3525"/>
            <w:gridCol w:w="118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桃園市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C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B2NfEuecHkFMMIOj9t1knKrjTA==">CgMxLjA4AHIhMVVRdV90TDRBZ0JpeThMX2NGZUU1aDhFVHg2Z1EwQXhV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