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受文者：新北市政府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正本：新北市政府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新北市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新北市政府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pdktCuM/M3A+PeKXv++a2h00kA==">CgMxLjA4AHIhMU9uLXFObVJRQ2JkOC1UMkM3N1djNXRlYVdUWlFQMThW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