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受文者：新北市政府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正本：新北市政府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原住民族基於傳統文化及祭儀需要獵捕宰殺利用野生動物申請書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95"/>
        <w:gridCol w:w="180"/>
        <w:gridCol w:w="1635"/>
        <w:gridCol w:w="1230"/>
        <w:gridCol w:w="300"/>
        <w:gridCol w:w="1245"/>
        <w:gridCol w:w="765"/>
        <w:gridCol w:w="855"/>
        <w:gridCol w:w="1425"/>
        <w:tblGridChange w:id="0">
          <w:tblGrid>
            <w:gridCol w:w="1395"/>
            <w:gridCol w:w="180"/>
            <w:gridCol w:w="1635"/>
            <w:gridCol w:w="1230"/>
            <w:gridCol w:w="300"/>
            <w:gridCol w:w="1245"/>
            <w:gridCol w:w="76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起：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迄：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form_seq[10]['answer'] }}</w:t>
              <w:br w:type="textWrapping"/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{{ form_seq[16]['answer'] }}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form_seq[15]['answer']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370"/>
        <w:tblGridChange w:id="0">
          <w:tblGrid>
            <w:gridCol w:w="1680"/>
            <w:gridCol w:w="1800"/>
            <w:gridCol w:w="1860"/>
            <w:gridCol w:w="1500"/>
            <w:gridCol w:w="237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新北市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發文：新北市政府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form_seq[14]['answer']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JOIU02ACpMmHIwPzy7UbVoKuDg==">CgMxLjA4AHIhMXRJaGk3aVk3RWV4YVdYZDE0S1JtRmN1YmN6WG9uZjg3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