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720" w:rsidRDefault="00FC2720" w:rsidP="00FC2720">
      <w:pPr>
        <w:pStyle w:val="1"/>
      </w:pPr>
      <w:bookmarkStart w:id="0" w:name="OLE_LINK1"/>
      <w:bookmarkStart w:id="1" w:name="OLE_LINK2"/>
      <w:r>
        <w:rPr>
          <w:rFonts w:hint="eastAsia"/>
        </w:rPr>
        <w:t>爬取1</w:t>
      </w:r>
      <w:r>
        <w:t>625</w:t>
      </w:r>
      <w:r>
        <w:rPr>
          <w:rFonts w:hint="eastAsia"/>
        </w:rPr>
        <w:t>支开放式股票型基金，并作出可视化分析（一）</w:t>
      </w:r>
    </w:p>
    <w:p w:rsidR="00FC2720" w:rsidRPr="0093538A" w:rsidRDefault="00FC2720" w:rsidP="00FC2720">
      <w:pPr>
        <w:rPr>
          <w:rFonts w:ascii="Arial" w:eastAsia="宋体" w:hAnsi="Arial" w:cs="Arial"/>
          <w:kern w:val="0"/>
          <w:sz w:val="20"/>
          <w:szCs w:val="20"/>
        </w:rPr>
      </w:pPr>
      <w:r>
        <w:rPr>
          <w:rFonts w:hint="eastAsia"/>
        </w:rPr>
        <w:t>很</w:t>
      </w:r>
      <w:r w:rsidRPr="0093538A">
        <w:rPr>
          <w:rFonts w:ascii="Arial" w:eastAsia="宋体" w:hAnsi="Arial" w:cs="Arial" w:hint="eastAsia"/>
          <w:kern w:val="0"/>
          <w:sz w:val="20"/>
          <w:szCs w:val="20"/>
        </w:rPr>
        <w:t>早就打算做这个项目了，之前选购基金一个个点进去看详细数据太过麻烦，想着不如把数据都爬下来然后分析一下，于是做了一个爬虫将同花顺爱基金网站下的开放式股票型基金的基本数据以及重仓持股都爬下来，然后用</w:t>
      </w:r>
      <w:r w:rsidRPr="0093538A">
        <w:rPr>
          <w:rFonts w:ascii="Arial" w:eastAsia="宋体" w:hAnsi="Arial" w:cs="Arial" w:hint="eastAsia"/>
          <w:kern w:val="0"/>
          <w:sz w:val="20"/>
          <w:szCs w:val="20"/>
        </w:rPr>
        <w:t>Excel</w:t>
      </w:r>
      <w:r w:rsidRPr="0093538A">
        <w:rPr>
          <w:rFonts w:ascii="Arial" w:eastAsia="宋体" w:hAnsi="Arial" w:cs="Arial" w:hint="eastAsia"/>
          <w:kern w:val="0"/>
          <w:sz w:val="20"/>
          <w:szCs w:val="20"/>
        </w:rPr>
        <w:t>分析一下。</w:t>
      </w:r>
    </w:p>
    <w:p w:rsidR="00FC2720" w:rsidRPr="0093538A" w:rsidRDefault="00FC2720" w:rsidP="00FC2720">
      <w:pPr>
        <w:rPr>
          <w:rFonts w:ascii="Arial" w:eastAsia="宋体" w:hAnsi="Arial" w:cs="Arial"/>
          <w:kern w:val="0"/>
          <w:sz w:val="20"/>
          <w:szCs w:val="20"/>
        </w:rPr>
      </w:pPr>
    </w:p>
    <w:p w:rsidR="00FC2720" w:rsidRDefault="00FC2720" w:rsidP="002C05D9">
      <w:pPr>
        <w:widowControl/>
      </w:pPr>
      <w:r w:rsidRPr="0093538A">
        <w:rPr>
          <w:rFonts w:ascii="Arial" w:eastAsia="宋体" w:hAnsi="Arial" w:cs="Arial" w:hint="eastAsia"/>
          <w:kern w:val="0"/>
          <w:sz w:val="20"/>
          <w:szCs w:val="20"/>
        </w:rPr>
        <w:t>首先说明一下数据的整体情况，这</w:t>
      </w:r>
      <w:r w:rsidRPr="0093538A">
        <w:rPr>
          <w:rFonts w:ascii="Arial" w:eastAsia="宋体" w:hAnsi="Arial" w:cs="Arial" w:hint="eastAsia"/>
          <w:kern w:val="0"/>
          <w:sz w:val="20"/>
          <w:szCs w:val="20"/>
        </w:rPr>
        <w:t>1</w:t>
      </w:r>
      <w:r w:rsidRPr="0093538A">
        <w:rPr>
          <w:rFonts w:ascii="Arial" w:eastAsia="宋体" w:hAnsi="Arial" w:cs="Arial"/>
          <w:kern w:val="0"/>
          <w:sz w:val="20"/>
          <w:szCs w:val="20"/>
        </w:rPr>
        <w:t>625</w:t>
      </w:r>
      <w:r w:rsidRPr="0093538A">
        <w:rPr>
          <w:rFonts w:ascii="Arial" w:eastAsia="宋体" w:hAnsi="Arial" w:cs="Arial" w:hint="eastAsia"/>
          <w:kern w:val="0"/>
          <w:sz w:val="20"/>
          <w:szCs w:val="20"/>
        </w:rPr>
        <w:t>支</w:t>
      </w:r>
      <w:r w:rsidR="002C05D9" w:rsidRPr="0093538A">
        <w:rPr>
          <w:rFonts w:ascii="Arial" w:eastAsia="宋体" w:hAnsi="Arial" w:cs="Arial" w:hint="eastAsia"/>
          <w:kern w:val="0"/>
          <w:sz w:val="20"/>
          <w:szCs w:val="20"/>
        </w:rPr>
        <w:t>开放式</w:t>
      </w:r>
      <w:r w:rsidRPr="0093538A">
        <w:rPr>
          <w:rFonts w:ascii="Arial" w:eastAsia="宋体" w:hAnsi="Arial" w:cs="Arial" w:hint="eastAsia"/>
          <w:kern w:val="0"/>
          <w:sz w:val="20"/>
          <w:szCs w:val="20"/>
        </w:rPr>
        <w:t>股票型基金总</w:t>
      </w:r>
      <w:r w:rsidR="00F5244D" w:rsidRPr="0093538A">
        <w:rPr>
          <w:rFonts w:ascii="Arial" w:eastAsia="宋体" w:hAnsi="Arial" w:cs="Arial" w:hint="eastAsia"/>
          <w:kern w:val="0"/>
          <w:sz w:val="20"/>
          <w:szCs w:val="20"/>
        </w:rPr>
        <w:t>规模</w:t>
      </w:r>
      <w:r w:rsidR="00571031" w:rsidRPr="0093538A">
        <w:rPr>
          <w:rFonts w:ascii="Arial" w:eastAsia="宋体" w:hAnsi="Arial" w:cs="Arial" w:hint="eastAsia"/>
          <w:kern w:val="0"/>
          <w:sz w:val="20"/>
          <w:szCs w:val="20"/>
        </w:rPr>
        <w:t>1</w:t>
      </w:r>
      <w:r w:rsidR="00571031" w:rsidRPr="0093538A">
        <w:rPr>
          <w:rFonts w:ascii="Arial" w:eastAsia="宋体" w:hAnsi="Arial" w:cs="Arial"/>
          <w:kern w:val="0"/>
          <w:sz w:val="20"/>
          <w:szCs w:val="20"/>
        </w:rPr>
        <w:t>46</w:t>
      </w:r>
      <w:r w:rsidR="002C05D9" w:rsidRPr="0093538A">
        <w:rPr>
          <w:rFonts w:ascii="Arial" w:eastAsia="宋体" w:hAnsi="Arial" w:cs="Arial"/>
          <w:kern w:val="0"/>
          <w:sz w:val="20"/>
          <w:szCs w:val="20"/>
        </w:rPr>
        <w:t>27.87</w:t>
      </w:r>
      <w:r w:rsidR="002C05D9" w:rsidRPr="0093538A">
        <w:rPr>
          <w:rFonts w:ascii="Arial" w:eastAsia="宋体" w:hAnsi="Arial" w:cs="Arial" w:hint="eastAsia"/>
          <w:kern w:val="0"/>
          <w:sz w:val="20"/>
          <w:szCs w:val="20"/>
        </w:rPr>
        <w:t>亿</w:t>
      </w:r>
      <w:r w:rsidRPr="0093538A">
        <w:rPr>
          <w:rFonts w:ascii="Arial" w:eastAsia="宋体" w:hAnsi="Arial" w:cs="Arial" w:hint="eastAsia"/>
          <w:kern w:val="0"/>
          <w:sz w:val="20"/>
          <w:szCs w:val="20"/>
        </w:rPr>
        <w:t>，</w:t>
      </w:r>
      <w:r w:rsidR="008C2CBB" w:rsidRPr="0093538A">
        <w:rPr>
          <w:rFonts w:ascii="Arial" w:eastAsia="宋体" w:hAnsi="Arial" w:cs="Arial" w:hint="eastAsia"/>
          <w:kern w:val="0"/>
          <w:sz w:val="20"/>
          <w:szCs w:val="20"/>
        </w:rPr>
        <w:t>持有资产超过</w:t>
      </w:r>
      <w:r w:rsidR="008C2CBB" w:rsidRPr="0093538A">
        <w:rPr>
          <w:rFonts w:ascii="Arial" w:eastAsia="宋体" w:hAnsi="Arial" w:cs="Arial" w:hint="eastAsia"/>
          <w:kern w:val="0"/>
          <w:sz w:val="20"/>
          <w:szCs w:val="20"/>
        </w:rPr>
        <w:t>1</w:t>
      </w:r>
      <w:r w:rsidR="008C2CBB" w:rsidRPr="0093538A">
        <w:rPr>
          <w:rFonts w:ascii="Arial" w:eastAsia="宋体" w:hAnsi="Arial" w:cs="Arial"/>
          <w:kern w:val="0"/>
          <w:sz w:val="20"/>
          <w:szCs w:val="20"/>
        </w:rPr>
        <w:t>00</w:t>
      </w:r>
      <w:r w:rsidR="008C2CBB" w:rsidRPr="0093538A">
        <w:rPr>
          <w:rFonts w:ascii="Arial" w:eastAsia="宋体" w:hAnsi="Arial" w:cs="Arial" w:hint="eastAsia"/>
          <w:kern w:val="0"/>
          <w:sz w:val="20"/>
          <w:szCs w:val="20"/>
        </w:rPr>
        <w:t>亿的公司有</w:t>
      </w:r>
      <w:r w:rsidR="008C2CBB" w:rsidRPr="0093538A">
        <w:rPr>
          <w:rFonts w:ascii="Arial" w:eastAsia="宋体" w:hAnsi="Arial" w:cs="Arial" w:hint="eastAsia"/>
          <w:kern w:val="0"/>
          <w:sz w:val="20"/>
          <w:szCs w:val="20"/>
        </w:rPr>
        <w:t>2</w:t>
      </w:r>
      <w:r w:rsidR="008C2CBB" w:rsidRPr="0093538A">
        <w:rPr>
          <w:rFonts w:ascii="Arial" w:eastAsia="宋体" w:hAnsi="Arial" w:cs="Arial"/>
          <w:kern w:val="0"/>
          <w:sz w:val="20"/>
          <w:szCs w:val="20"/>
        </w:rPr>
        <w:t>3</w:t>
      </w:r>
      <w:r w:rsidR="008C2CBB" w:rsidRPr="0093538A">
        <w:rPr>
          <w:rFonts w:ascii="Arial" w:eastAsia="宋体" w:hAnsi="Arial" w:cs="Arial" w:hint="eastAsia"/>
          <w:kern w:val="0"/>
          <w:sz w:val="20"/>
          <w:szCs w:val="20"/>
        </w:rPr>
        <w:t>家，</w:t>
      </w:r>
      <w:r w:rsidR="008C2CBB">
        <w:rPr>
          <w:rFonts w:ascii="Arial" w:eastAsia="宋体" w:hAnsi="Arial" w:cs="Arial" w:hint="eastAsia"/>
          <w:kern w:val="0"/>
          <w:sz w:val="20"/>
          <w:szCs w:val="20"/>
        </w:rPr>
        <w:t>其中有三家资产规模过千亿，嘉实基金管理有限公司资产规模</w:t>
      </w:r>
      <w:r w:rsidR="008C2CBB">
        <w:rPr>
          <w:rFonts w:ascii="Arial" w:eastAsia="宋体" w:hAnsi="Arial" w:cs="Arial" w:hint="eastAsia"/>
          <w:kern w:val="0"/>
          <w:sz w:val="20"/>
          <w:szCs w:val="20"/>
        </w:rPr>
        <w:t>1</w:t>
      </w:r>
      <w:r w:rsidR="008C2CBB">
        <w:rPr>
          <w:rFonts w:ascii="Arial" w:eastAsia="宋体" w:hAnsi="Arial" w:cs="Arial"/>
          <w:kern w:val="0"/>
          <w:sz w:val="20"/>
          <w:szCs w:val="20"/>
        </w:rPr>
        <w:t>221.34</w:t>
      </w:r>
      <w:r w:rsidR="008C2CBB">
        <w:rPr>
          <w:rFonts w:ascii="Arial" w:eastAsia="宋体" w:hAnsi="Arial" w:cs="Arial" w:hint="eastAsia"/>
          <w:kern w:val="0"/>
          <w:sz w:val="20"/>
          <w:szCs w:val="20"/>
        </w:rPr>
        <w:t>亿，占比</w:t>
      </w:r>
      <w:r w:rsidR="00991005">
        <w:rPr>
          <w:rFonts w:ascii="Arial" w:eastAsia="宋体" w:hAnsi="Arial" w:cs="Arial" w:hint="eastAsia"/>
          <w:kern w:val="0"/>
          <w:sz w:val="20"/>
          <w:szCs w:val="20"/>
        </w:rPr>
        <w:t>8</w:t>
      </w:r>
      <w:r w:rsidR="00991005">
        <w:rPr>
          <w:rFonts w:ascii="Arial" w:eastAsia="宋体" w:hAnsi="Arial" w:cs="Arial"/>
          <w:kern w:val="0"/>
          <w:sz w:val="20"/>
          <w:szCs w:val="20"/>
        </w:rPr>
        <w:t>%</w:t>
      </w:r>
      <w:r w:rsidR="00991005">
        <w:rPr>
          <w:rFonts w:ascii="Arial" w:eastAsia="宋体" w:hAnsi="Arial" w:cs="Arial" w:hint="eastAsia"/>
          <w:kern w:val="0"/>
          <w:sz w:val="20"/>
          <w:szCs w:val="20"/>
        </w:rPr>
        <w:t>，易方达基金管理有限公司资产规模</w:t>
      </w:r>
      <w:r w:rsidR="00991005">
        <w:rPr>
          <w:rFonts w:ascii="Arial" w:eastAsia="宋体" w:hAnsi="Arial" w:cs="Arial" w:hint="eastAsia"/>
          <w:kern w:val="0"/>
          <w:sz w:val="20"/>
          <w:szCs w:val="20"/>
        </w:rPr>
        <w:t>1</w:t>
      </w:r>
      <w:r w:rsidR="00991005">
        <w:rPr>
          <w:rFonts w:ascii="Arial" w:eastAsia="宋体" w:hAnsi="Arial" w:cs="Arial"/>
          <w:kern w:val="0"/>
          <w:sz w:val="20"/>
          <w:szCs w:val="20"/>
        </w:rPr>
        <w:t>519.11</w:t>
      </w:r>
      <w:r w:rsidR="00991005">
        <w:rPr>
          <w:rFonts w:ascii="Arial" w:eastAsia="宋体" w:hAnsi="Arial" w:cs="Arial" w:hint="eastAsia"/>
          <w:kern w:val="0"/>
          <w:sz w:val="20"/>
          <w:szCs w:val="20"/>
        </w:rPr>
        <w:t>亿，占比</w:t>
      </w:r>
      <w:r w:rsidR="00991005">
        <w:rPr>
          <w:rFonts w:ascii="Arial" w:eastAsia="宋体" w:hAnsi="Arial" w:cs="Arial" w:hint="eastAsia"/>
          <w:kern w:val="0"/>
          <w:sz w:val="20"/>
          <w:szCs w:val="20"/>
        </w:rPr>
        <w:t>1</w:t>
      </w:r>
      <w:r w:rsidR="00991005">
        <w:rPr>
          <w:rFonts w:ascii="Arial" w:eastAsia="宋体" w:hAnsi="Arial" w:cs="Arial"/>
          <w:kern w:val="0"/>
          <w:sz w:val="20"/>
          <w:szCs w:val="20"/>
        </w:rPr>
        <w:t>0%</w:t>
      </w:r>
      <w:r w:rsidR="00991005">
        <w:rPr>
          <w:rFonts w:ascii="Arial" w:eastAsia="宋体" w:hAnsi="Arial" w:cs="Arial" w:hint="eastAsia"/>
          <w:kern w:val="0"/>
          <w:sz w:val="20"/>
          <w:szCs w:val="20"/>
        </w:rPr>
        <w:t>，华夏基金管理有限公司资产规模</w:t>
      </w:r>
      <w:r w:rsidR="00991005">
        <w:rPr>
          <w:rFonts w:ascii="Arial" w:eastAsia="宋体" w:hAnsi="Arial" w:cs="Arial" w:hint="eastAsia"/>
          <w:kern w:val="0"/>
          <w:sz w:val="20"/>
          <w:szCs w:val="20"/>
        </w:rPr>
        <w:t>1</w:t>
      </w:r>
      <w:r w:rsidR="00991005">
        <w:rPr>
          <w:rFonts w:ascii="Arial" w:eastAsia="宋体" w:hAnsi="Arial" w:cs="Arial"/>
          <w:kern w:val="0"/>
          <w:sz w:val="20"/>
          <w:szCs w:val="20"/>
        </w:rPr>
        <w:t>800.76</w:t>
      </w:r>
      <w:r w:rsidR="00991005">
        <w:rPr>
          <w:rFonts w:ascii="Arial" w:eastAsia="宋体" w:hAnsi="Arial" w:cs="Arial" w:hint="eastAsia"/>
          <w:kern w:val="0"/>
          <w:sz w:val="20"/>
          <w:szCs w:val="20"/>
        </w:rPr>
        <w:t>亿，占比</w:t>
      </w:r>
      <w:r w:rsidR="00991005">
        <w:rPr>
          <w:rFonts w:ascii="Arial" w:eastAsia="宋体" w:hAnsi="Arial" w:cs="Arial" w:hint="eastAsia"/>
          <w:kern w:val="0"/>
          <w:sz w:val="20"/>
          <w:szCs w:val="20"/>
        </w:rPr>
        <w:t>1</w:t>
      </w:r>
      <w:r w:rsidR="00991005">
        <w:rPr>
          <w:rFonts w:ascii="Arial" w:eastAsia="宋体" w:hAnsi="Arial" w:cs="Arial"/>
          <w:kern w:val="0"/>
          <w:sz w:val="20"/>
          <w:szCs w:val="20"/>
        </w:rPr>
        <w:t>2%</w:t>
      </w:r>
      <w:r w:rsidR="00991005">
        <w:rPr>
          <w:rFonts w:ascii="Arial" w:eastAsia="宋体" w:hAnsi="Arial" w:cs="Arial" w:hint="eastAsia"/>
          <w:kern w:val="0"/>
          <w:sz w:val="20"/>
          <w:szCs w:val="20"/>
        </w:rPr>
        <w:t>（图一）。</w:t>
      </w:r>
      <w:r w:rsidR="00F5244D">
        <w:rPr>
          <w:rFonts w:ascii="Arial" w:eastAsia="宋体" w:hAnsi="Arial" w:cs="Arial" w:hint="eastAsia"/>
          <w:kern w:val="0"/>
          <w:sz w:val="20"/>
          <w:szCs w:val="20"/>
        </w:rPr>
        <w:t xml:space="preserve"> </w:t>
      </w:r>
      <w:r w:rsidRPr="0093538A">
        <w:rPr>
          <w:rFonts w:ascii="Arial" w:eastAsia="宋体" w:hAnsi="Arial" w:cs="Arial" w:hint="eastAsia"/>
          <w:kern w:val="0"/>
          <w:sz w:val="20"/>
          <w:szCs w:val="20"/>
        </w:rPr>
        <w:t>每年</w:t>
      </w:r>
      <w:r w:rsidR="00001E87" w:rsidRPr="0093538A">
        <w:rPr>
          <w:rFonts w:ascii="Arial" w:eastAsia="宋体" w:hAnsi="Arial" w:cs="Arial" w:hint="eastAsia"/>
          <w:kern w:val="0"/>
          <w:sz w:val="20"/>
          <w:szCs w:val="20"/>
        </w:rPr>
        <w:t>基金成立数量</w:t>
      </w:r>
      <w:r w:rsidR="00D5775B" w:rsidRPr="0093538A">
        <w:rPr>
          <w:rFonts w:ascii="Arial" w:eastAsia="宋体" w:hAnsi="Arial" w:cs="Arial" w:hint="eastAsia"/>
          <w:kern w:val="0"/>
          <w:sz w:val="20"/>
          <w:szCs w:val="20"/>
        </w:rPr>
        <w:t>和现今资产规模与时间的关系（图二），从</w:t>
      </w:r>
      <w:r w:rsidR="00D5775B" w:rsidRPr="0093538A">
        <w:rPr>
          <w:rFonts w:ascii="Arial" w:eastAsia="宋体" w:hAnsi="Arial" w:cs="Arial" w:hint="eastAsia"/>
          <w:kern w:val="0"/>
          <w:sz w:val="20"/>
          <w:szCs w:val="20"/>
        </w:rPr>
        <w:t>0</w:t>
      </w:r>
      <w:r w:rsidR="00D5775B" w:rsidRPr="0093538A">
        <w:rPr>
          <w:rFonts w:ascii="Arial" w:eastAsia="宋体" w:hAnsi="Arial" w:cs="Arial"/>
          <w:kern w:val="0"/>
          <w:sz w:val="20"/>
          <w:szCs w:val="20"/>
        </w:rPr>
        <w:t>8</w:t>
      </w:r>
      <w:r w:rsidR="00D5775B" w:rsidRPr="0093538A">
        <w:rPr>
          <w:rFonts w:ascii="Arial" w:eastAsia="宋体" w:hAnsi="Arial" w:cs="Arial" w:hint="eastAsia"/>
          <w:kern w:val="0"/>
          <w:sz w:val="20"/>
          <w:szCs w:val="20"/>
        </w:rPr>
        <w:t>年到</w:t>
      </w:r>
      <w:r w:rsidR="00D5775B" w:rsidRPr="0093538A">
        <w:rPr>
          <w:rFonts w:ascii="Arial" w:eastAsia="宋体" w:hAnsi="Arial" w:cs="Arial" w:hint="eastAsia"/>
          <w:kern w:val="0"/>
          <w:sz w:val="20"/>
          <w:szCs w:val="20"/>
        </w:rPr>
        <w:t>1</w:t>
      </w:r>
      <w:r w:rsidR="00D5775B" w:rsidRPr="0093538A">
        <w:rPr>
          <w:rFonts w:ascii="Arial" w:eastAsia="宋体" w:hAnsi="Arial" w:cs="Arial"/>
          <w:kern w:val="0"/>
          <w:sz w:val="20"/>
          <w:szCs w:val="20"/>
        </w:rPr>
        <w:t>5</w:t>
      </w:r>
      <w:r w:rsidR="00D5775B" w:rsidRPr="0093538A">
        <w:rPr>
          <w:rFonts w:ascii="Arial" w:eastAsia="宋体" w:hAnsi="Arial" w:cs="Arial" w:hint="eastAsia"/>
          <w:kern w:val="0"/>
          <w:sz w:val="20"/>
          <w:szCs w:val="20"/>
        </w:rPr>
        <w:t>年是一个增长趋势，在</w:t>
      </w:r>
      <w:r w:rsidR="001B65E4" w:rsidRPr="0093538A">
        <w:rPr>
          <w:rFonts w:ascii="Arial" w:eastAsia="宋体" w:hAnsi="Arial" w:cs="Arial" w:hint="eastAsia"/>
          <w:kern w:val="0"/>
          <w:sz w:val="20"/>
          <w:szCs w:val="20"/>
        </w:rPr>
        <w:t>2</w:t>
      </w:r>
      <w:r w:rsidR="001B65E4" w:rsidRPr="0093538A">
        <w:rPr>
          <w:rFonts w:ascii="Arial" w:eastAsia="宋体" w:hAnsi="Arial" w:cs="Arial"/>
          <w:kern w:val="0"/>
          <w:sz w:val="20"/>
          <w:szCs w:val="20"/>
        </w:rPr>
        <w:t>0</w:t>
      </w:r>
      <w:r w:rsidR="00D5775B" w:rsidRPr="0093538A">
        <w:rPr>
          <w:rFonts w:ascii="Arial" w:eastAsia="宋体" w:hAnsi="Arial" w:cs="Arial" w:hint="eastAsia"/>
          <w:kern w:val="0"/>
          <w:sz w:val="20"/>
          <w:szCs w:val="20"/>
        </w:rPr>
        <w:t>1</w:t>
      </w:r>
      <w:r w:rsidR="00D5775B" w:rsidRPr="0093538A">
        <w:rPr>
          <w:rFonts w:ascii="Arial" w:eastAsia="宋体" w:hAnsi="Arial" w:cs="Arial"/>
          <w:kern w:val="0"/>
          <w:sz w:val="20"/>
          <w:szCs w:val="20"/>
        </w:rPr>
        <w:t>5</w:t>
      </w:r>
      <w:r w:rsidR="00D5775B" w:rsidRPr="0093538A">
        <w:rPr>
          <w:rFonts w:ascii="Arial" w:eastAsia="宋体" w:hAnsi="Arial" w:cs="Arial" w:hint="eastAsia"/>
          <w:kern w:val="0"/>
          <w:sz w:val="20"/>
          <w:szCs w:val="20"/>
        </w:rPr>
        <w:t>年</w:t>
      </w:r>
      <w:r w:rsidR="001B65E4" w:rsidRPr="0093538A">
        <w:rPr>
          <w:rFonts w:ascii="Arial" w:eastAsia="宋体" w:hAnsi="Arial" w:cs="Arial" w:hint="eastAsia"/>
          <w:kern w:val="0"/>
          <w:sz w:val="20"/>
          <w:szCs w:val="20"/>
        </w:rPr>
        <w:t>成立的基金规模最高达</w:t>
      </w:r>
      <w:r w:rsidR="001B65E4" w:rsidRPr="0093538A">
        <w:rPr>
          <w:rFonts w:ascii="Arial" w:eastAsia="宋体" w:hAnsi="Arial" w:cs="Arial" w:hint="eastAsia"/>
          <w:kern w:val="0"/>
          <w:sz w:val="20"/>
          <w:szCs w:val="20"/>
        </w:rPr>
        <w:t>2</w:t>
      </w:r>
      <w:r w:rsidR="001B65E4" w:rsidRPr="0093538A">
        <w:rPr>
          <w:rFonts w:ascii="Arial" w:eastAsia="宋体" w:hAnsi="Arial" w:cs="Arial"/>
          <w:kern w:val="0"/>
          <w:sz w:val="20"/>
          <w:szCs w:val="20"/>
        </w:rPr>
        <w:t>170.75</w:t>
      </w:r>
      <w:r w:rsidR="001B65E4" w:rsidRPr="0093538A">
        <w:rPr>
          <w:rFonts w:ascii="Arial" w:eastAsia="宋体" w:hAnsi="Arial" w:cs="Arial" w:hint="eastAsia"/>
          <w:kern w:val="0"/>
          <w:sz w:val="20"/>
          <w:szCs w:val="20"/>
        </w:rPr>
        <w:t>亿，</w:t>
      </w:r>
      <w:r w:rsidR="00BD3F2E" w:rsidRPr="0093538A">
        <w:rPr>
          <w:rFonts w:ascii="Arial" w:eastAsia="宋体" w:hAnsi="Arial" w:cs="Arial" w:hint="eastAsia"/>
          <w:kern w:val="0"/>
          <w:sz w:val="20"/>
          <w:szCs w:val="20"/>
        </w:rPr>
        <w:t>在</w:t>
      </w:r>
      <w:r w:rsidR="00BD3F2E" w:rsidRPr="0093538A">
        <w:rPr>
          <w:rFonts w:ascii="Arial" w:eastAsia="宋体" w:hAnsi="Arial" w:cs="Arial" w:hint="eastAsia"/>
          <w:kern w:val="0"/>
          <w:sz w:val="20"/>
          <w:szCs w:val="20"/>
        </w:rPr>
        <w:t>2</w:t>
      </w:r>
      <w:r w:rsidR="00BD3F2E" w:rsidRPr="0093538A">
        <w:rPr>
          <w:rFonts w:ascii="Arial" w:eastAsia="宋体" w:hAnsi="Arial" w:cs="Arial"/>
          <w:kern w:val="0"/>
          <w:sz w:val="20"/>
          <w:szCs w:val="20"/>
        </w:rPr>
        <w:t>019</w:t>
      </w:r>
      <w:r w:rsidR="00BD3F2E" w:rsidRPr="0093538A">
        <w:rPr>
          <w:rFonts w:ascii="Arial" w:eastAsia="宋体" w:hAnsi="Arial" w:cs="Arial" w:hint="eastAsia"/>
          <w:kern w:val="0"/>
          <w:sz w:val="20"/>
          <w:szCs w:val="20"/>
        </w:rPr>
        <w:t>年有</w:t>
      </w:r>
      <w:r w:rsidR="001B65E4" w:rsidRPr="0093538A">
        <w:rPr>
          <w:rFonts w:ascii="Arial" w:eastAsia="宋体" w:hAnsi="Arial" w:cs="Arial" w:hint="eastAsia"/>
          <w:kern w:val="0"/>
          <w:sz w:val="20"/>
          <w:szCs w:val="20"/>
        </w:rPr>
        <w:t>成立新基</w:t>
      </w:r>
      <w:r w:rsidR="00BD3F2E" w:rsidRPr="0093538A">
        <w:rPr>
          <w:rFonts w:ascii="Arial" w:eastAsia="宋体" w:hAnsi="Arial" w:cs="Arial" w:hint="eastAsia"/>
          <w:kern w:val="0"/>
          <w:sz w:val="20"/>
          <w:szCs w:val="20"/>
        </w:rPr>
        <w:t>3</w:t>
      </w:r>
      <w:r w:rsidR="00BD3F2E" w:rsidRPr="0093538A">
        <w:rPr>
          <w:rFonts w:ascii="Arial" w:eastAsia="宋体" w:hAnsi="Arial" w:cs="Arial"/>
          <w:kern w:val="0"/>
          <w:sz w:val="20"/>
          <w:szCs w:val="20"/>
        </w:rPr>
        <w:t>72</w:t>
      </w:r>
      <w:r w:rsidR="00BD3F2E" w:rsidRPr="0093538A">
        <w:rPr>
          <w:rFonts w:ascii="Arial" w:eastAsia="宋体" w:hAnsi="Arial" w:cs="Arial" w:hint="eastAsia"/>
          <w:kern w:val="0"/>
          <w:sz w:val="20"/>
          <w:szCs w:val="20"/>
        </w:rPr>
        <w:t>支最多。</w:t>
      </w:r>
      <w:r w:rsidRPr="0093538A">
        <w:rPr>
          <w:rFonts w:ascii="Arial" w:eastAsia="宋体" w:hAnsi="Arial" w:cs="Arial" w:hint="eastAsia"/>
          <w:kern w:val="0"/>
          <w:sz w:val="20"/>
          <w:szCs w:val="20"/>
        </w:rPr>
        <w:t>近一个月</w:t>
      </w:r>
      <w:r w:rsidR="001B65E4" w:rsidRPr="0093538A">
        <w:rPr>
          <w:rFonts w:ascii="Arial" w:eastAsia="宋体" w:hAnsi="Arial" w:cs="Arial" w:hint="eastAsia"/>
          <w:kern w:val="0"/>
          <w:sz w:val="20"/>
          <w:szCs w:val="20"/>
        </w:rPr>
        <w:t>收益率大多是出现负增长</w:t>
      </w:r>
      <w:r w:rsidR="00C53C04" w:rsidRPr="0093538A">
        <w:rPr>
          <w:rFonts w:ascii="Arial" w:eastAsia="宋体" w:hAnsi="Arial" w:cs="Arial" w:hint="eastAsia"/>
          <w:kern w:val="0"/>
          <w:sz w:val="20"/>
          <w:szCs w:val="20"/>
        </w:rPr>
        <w:t>，正向收益在</w:t>
      </w:r>
      <w:r w:rsidR="00C53C04" w:rsidRPr="0093538A">
        <w:rPr>
          <w:rFonts w:ascii="Arial" w:eastAsia="宋体" w:hAnsi="Arial" w:cs="Arial" w:hint="eastAsia"/>
          <w:kern w:val="0"/>
          <w:sz w:val="20"/>
          <w:szCs w:val="20"/>
        </w:rPr>
        <w:t>1</w:t>
      </w:r>
      <w:r w:rsidR="00C53C04" w:rsidRPr="0093538A">
        <w:rPr>
          <w:rFonts w:ascii="Arial" w:eastAsia="宋体" w:hAnsi="Arial" w:cs="Arial"/>
          <w:kern w:val="0"/>
          <w:sz w:val="20"/>
          <w:szCs w:val="20"/>
        </w:rPr>
        <w:t>625</w:t>
      </w:r>
      <w:r w:rsidR="00C53C04" w:rsidRPr="0093538A">
        <w:rPr>
          <w:rFonts w:ascii="Arial" w:eastAsia="宋体" w:hAnsi="Arial" w:cs="Arial" w:hint="eastAsia"/>
          <w:kern w:val="0"/>
          <w:sz w:val="20"/>
          <w:szCs w:val="20"/>
        </w:rPr>
        <w:t>支基金中只有</w:t>
      </w:r>
      <w:r w:rsidR="00C53C04" w:rsidRPr="0093538A">
        <w:rPr>
          <w:rFonts w:ascii="Arial" w:eastAsia="宋体" w:hAnsi="Arial" w:cs="Arial" w:hint="eastAsia"/>
          <w:kern w:val="0"/>
          <w:sz w:val="20"/>
          <w:szCs w:val="20"/>
        </w:rPr>
        <w:t>1</w:t>
      </w:r>
      <w:r w:rsidR="00C53C04" w:rsidRPr="0093538A">
        <w:rPr>
          <w:rFonts w:ascii="Arial" w:eastAsia="宋体" w:hAnsi="Arial" w:cs="Arial"/>
          <w:kern w:val="0"/>
          <w:sz w:val="20"/>
          <w:szCs w:val="20"/>
        </w:rPr>
        <w:t>7</w:t>
      </w:r>
      <w:r w:rsidR="00C53C04" w:rsidRPr="0093538A">
        <w:rPr>
          <w:rFonts w:ascii="Arial" w:eastAsia="宋体" w:hAnsi="Arial" w:cs="Arial" w:hint="eastAsia"/>
          <w:kern w:val="0"/>
          <w:sz w:val="20"/>
          <w:szCs w:val="20"/>
        </w:rPr>
        <w:t>支</w:t>
      </w:r>
      <w:r w:rsidR="001B65E4" w:rsidRPr="0093538A">
        <w:rPr>
          <w:rFonts w:ascii="Arial" w:eastAsia="宋体" w:hAnsi="Arial" w:cs="Arial" w:hint="eastAsia"/>
          <w:kern w:val="0"/>
          <w:sz w:val="20"/>
          <w:szCs w:val="20"/>
        </w:rPr>
        <w:t>（数据采集日期</w:t>
      </w:r>
      <w:r w:rsidR="001B65E4" w:rsidRPr="0093538A">
        <w:rPr>
          <w:rFonts w:ascii="Arial" w:eastAsia="宋体" w:hAnsi="Arial" w:cs="Arial" w:hint="eastAsia"/>
          <w:kern w:val="0"/>
          <w:sz w:val="20"/>
          <w:szCs w:val="20"/>
        </w:rPr>
        <w:t>2</w:t>
      </w:r>
      <w:r w:rsidR="001B65E4" w:rsidRPr="0093538A">
        <w:rPr>
          <w:rFonts w:ascii="Arial" w:eastAsia="宋体" w:hAnsi="Arial" w:cs="Arial"/>
          <w:kern w:val="0"/>
          <w:sz w:val="20"/>
          <w:szCs w:val="20"/>
        </w:rPr>
        <w:t>020-03-2</w:t>
      </w:r>
      <w:r w:rsidR="0093538A">
        <w:rPr>
          <w:rFonts w:ascii="Arial" w:eastAsia="宋体" w:hAnsi="Arial" w:cs="Arial"/>
          <w:kern w:val="0"/>
          <w:sz w:val="20"/>
          <w:szCs w:val="20"/>
        </w:rPr>
        <w:t>3</w:t>
      </w:r>
      <w:r w:rsidR="001B65E4" w:rsidRPr="0093538A">
        <w:rPr>
          <w:rFonts w:ascii="Arial" w:eastAsia="宋体" w:hAnsi="Arial" w:cs="Arial" w:hint="eastAsia"/>
          <w:kern w:val="0"/>
          <w:sz w:val="20"/>
          <w:szCs w:val="20"/>
        </w:rPr>
        <w:t>）</w:t>
      </w:r>
      <w:r w:rsidR="00FE06E4">
        <w:rPr>
          <w:rFonts w:hint="eastAsia"/>
        </w:rPr>
        <w:t>。</w:t>
      </w:r>
    </w:p>
    <w:p w:rsidR="00991005" w:rsidRDefault="00991005" w:rsidP="002C05D9">
      <w:pPr>
        <w:widowControl/>
        <w:rPr>
          <w:rFonts w:ascii="Arial" w:eastAsia="宋体" w:hAnsi="Arial" w:cs="Arial"/>
          <w:kern w:val="0"/>
          <w:sz w:val="20"/>
          <w:szCs w:val="20"/>
        </w:rPr>
      </w:pPr>
      <w:r>
        <w:br/>
      </w:r>
      <w:r>
        <w:rPr>
          <w:noProof/>
        </w:rPr>
        <w:drawing>
          <wp:inline distT="0" distB="0" distL="0" distR="0" wp14:anchorId="43521FA7" wp14:editId="33D71423">
            <wp:extent cx="5893654" cy="3677285"/>
            <wp:effectExtent l="0" t="0" r="12065" b="18415"/>
            <wp:docPr id="1" name="图表 1">
              <a:extLst xmlns:a="http://schemas.openxmlformats.org/drawingml/2006/main">
                <a:ext uri="{FF2B5EF4-FFF2-40B4-BE49-F238E27FC236}">
                  <a16:creationId xmlns:a16="http://schemas.microsoft.com/office/drawing/2014/main" id="{B03E645A-76C4-A64C-AE18-5C13A071F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1005" w:rsidRPr="002C05D9" w:rsidRDefault="00991005" w:rsidP="00991005">
      <w:pPr>
        <w:widowControl/>
        <w:jc w:val="center"/>
        <w:rPr>
          <w:rFonts w:ascii="Arial" w:eastAsia="宋体" w:hAnsi="Arial" w:cs="Arial"/>
          <w:kern w:val="0"/>
          <w:sz w:val="20"/>
          <w:szCs w:val="20"/>
        </w:rPr>
      </w:pPr>
      <w:r>
        <w:rPr>
          <w:rFonts w:ascii="Arial" w:eastAsia="宋体" w:hAnsi="Arial" w:cs="Arial" w:hint="eastAsia"/>
          <w:kern w:val="0"/>
          <w:sz w:val="20"/>
          <w:szCs w:val="20"/>
        </w:rPr>
        <w:t>图一</w:t>
      </w:r>
    </w:p>
    <w:p w:rsidR="00FE06E4" w:rsidRDefault="00FE06E4" w:rsidP="00FC2720"/>
    <w:p w:rsidR="00D5775B" w:rsidRDefault="00D5775B" w:rsidP="00FC2720">
      <w:bookmarkStart w:id="2" w:name="_GoBack"/>
      <w:r w:rsidRPr="00D5775B">
        <w:rPr>
          <w:noProof/>
          <w:color w:val="FFFFFF" w:themeColor="background1"/>
        </w:rPr>
        <w:lastRenderedPageBreak/>
        <w:drawing>
          <wp:inline distT="0" distB="0" distL="0" distR="0" wp14:anchorId="0C206AE1" wp14:editId="3D463279">
            <wp:extent cx="5470525" cy="3058245"/>
            <wp:effectExtent l="0" t="0" r="3175" b="2540"/>
            <wp:docPr id="3" name="图表 3">
              <a:extLst xmlns:a="http://schemas.openxmlformats.org/drawingml/2006/main">
                <a:ext uri="{FF2B5EF4-FFF2-40B4-BE49-F238E27FC236}">
                  <a16:creationId xmlns:a16="http://schemas.microsoft.com/office/drawing/2014/main" id="{43F935DA-C889-BF4A-B25E-15FF105C52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bookmarkEnd w:id="2"/>
    <w:p w:rsidR="007D15AD" w:rsidRDefault="007D15AD" w:rsidP="007D15AD">
      <w:pPr>
        <w:jc w:val="center"/>
      </w:pPr>
      <w:r>
        <w:rPr>
          <w:rFonts w:hint="eastAsia"/>
        </w:rPr>
        <w:t>图二</w:t>
      </w:r>
    </w:p>
    <w:p w:rsidR="007D15AD" w:rsidRDefault="007D15AD" w:rsidP="007D15AD">
      <w:pPr>
        <w:jc w:val="center"/>
      </w:pPr>
    </w:p>
    <w:p w:rsidR="00FE06E4" w:rsidRDefault="00FE06E4" w:rsidP="00FC2720">
      <w:r>
        <w:rPr>
          <w:rFonts w:hint="eastAsia"/>
        </w:rPr>
        <w:t>接下来是一个基金基本</w:t>
      </w:r>
      <w:r w:rsidR="00571031">
        <w:rPr>
          <w:rFonts w:hint="eastAsia"/>
        </w:rPr>
        <w:t>信息</w:t>
      </w:r>
      <w:r>
        <w:rPr>
          <w:rFonts w:hint="eastAsia"/>
        </w:rPr>
        <w:t>以及持仓数据的呈现：</w:t>
      </w:r>
    </w:p>
    <w:p w:rsidR="009201E6" w:rsidRDefault="009201E6" w:rsidP="00FC2720"/>
    <w:p w:rsidR="00FE06E4" w:rsidRDefault="00FE06E4" w:rsidP="00FC2720">
      <w:r>
        <w:rPr>
          <w:rFonts w:hint="eastAsia"/>
        </w:rPr>
        <w:t>在1</w:t>
      </w:r>
      <w:r>
        <w:t>625</w:t>
      </w:r>
      <w:r>
        <w:rPr>
          <w:rFonts w:hint="eastAsia"/>
        </w:rPr>
        <w:t>支基金中，</w:t>
      </w:r>
      <w:r w:rsidR="009201E6">
        <w:rPr>
          <w:rFonts w:hint="eastAsia"/>
        </w:rPr>
        <w:t>净值</w:t>
      </w:r>
      <w:r w:rsidR="00C53C04">
        <w:rPr>
          <w:rFonts w:hint="eastAsia"/>
        </w:rPr>
        <w:t>前二十的基金</w:t>
      </w:r>
      <w:r w:rsidR="009201E6">
        <w:rPr>
          <w:rFonts w:hint="eastAsia"/>
        </w:rPr>
        <w:t>（图</w:t>
      </w:r>
      <w:r w:rsidR="00C53C04">
        <w:rPr>
          <w:rFonts w:hint="eastAsia"/>
        </w:rPr>
        <w:t>三）。</w:t>
      </w:r>
    </w:p>
    <w:p w:rsidR="00FE06E4" w:rsidRDefault="009F6EA6" w:rsidP="00FC2720">
      <w:r>
        <w:rPr>
          <w:noProof/>
        </w:rPr>
        <w:drawing>
          <wp:inline distT="0" distB="0" distL="0" distR="0" wp14:anchorId="51082527" wp14:editId="68770DE6">
            <wp:extent cx="5270500" cy="3033395"/>
            <wp:effectExtent l="0" t="0" r="12700" b="14605"/>
            <wp:docPr id="5" name="图表 5">
              <a:extLst xmlns:a="http://schemas.openxmlformats.org/drawingml/2006/main">
                <a:ext uri="{FF2B5EF4-FFF2-40B4-BE49-F238E27FC236}">
                  <a16:creationId xmlns:a16="http://schemas.microsoft.com/office/drawing/2014/main" id="{28C26D98-6DEB-2F43-B01D-D4192423B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53C04" w:rsidRDefault="00C53C04" w:rsidP="00C53C04">
      <w:pPr>
        <w:jc w:val="center"/>
        <w:rPr>
          <w:rFonts w:hint="eastAsia"/>
        </w:rPr>
      </w:pPr>
      <w:r>
        <w:rPr>
          <w:rFonts w:hint="eastAsia"/>
        </w:rPr>
        <w:t>图三</w:t>
      </w:r>
    </w:p>
    <w:p w:rsidR="00C53C04" w:rsidRDefault="00C53C04" w:rsidP="00FC2720">
      <w:pPr>
        <w:rPr>
          <w:rFonts w:hint="eastAsia"/>
        </w:rPr>
      </w:pPr>
    </w:p>
    <w:p w:rsidR="00C53C04" w:rsidRDefault="00C53C04" w:rsidP="00FC2720"/>
    <w:p w:rsidR="00C53C04" w:rsidRDefault="00C53C04" w:rsidP="00FC2720"/>
    <w:p w:rsidR="00C53C04" w:rsidRDefault="00C53C04" w:rsidP="00FC2720"/>
    <w:p w:rsidR="00C53C04" w:rsidRDefault="00C53C04" w:rsidP="00FC2720"/>
    <w:p w:rsidR="00C53C04" w:rsidRDefault="00C53C04" w:rsidP="00FC2720">
      <w:pPr>
        <w:rPr>
          <w:rFonts w:hint="eastAsia"/>
        </w:rPr>
      </w:pPr>
    </w:p>
    <w:p w:rsidR="00C53C04" w:rsidRDefault="00C53C04" w:rsidP="00FC2720">
      <w:pPr>
        <w:rPr>
          <w:rFonts w:hint="eastAsia"/>
        </w:rPr>
      </w:pPr>
      <w:r>
        <w:rPr>
          <w:rFonts w:hint="eastAsia"/>
        </w:rPr>
        <w:lastRenderedPageBreak/>
        <w:t>资产规模前二十的基金（图四）</w:t>
      </w:r>
    </w:p>
    <w:p w:rsidR="00FE06E4" w:rsidRDefault="005723A7" w:rsidP="00052A53">
      <w:pPr>
        <w:jc w:val="center"/>
      </w:pPr>
      <w:r>
        <w:rPr>
          <w:noProof/>
        </w:rPr>
        <w:drawing>
          <wp:inline distT="0" distB="0" distL="0" distR="0" wp14:anchorId="4E72C877" wp14:editId="214EC8E5">
            <wp:extent cx="5270500" cy="3039110"/>
            <wp:effectExtent l="0" t="0" r="12700" b="8890"/>
            <wp:docPr id="4" name="图表 4">
              <a:extLst xmlns:a="http://schemas.openxmlformats.org/drawingml/2006/main">
                <a:ext uri="{FF2B5EF4-FFF2-40B4-BE49-F238E27FC236}">
                  <a16:creationId xmlns:a16="http://schemas.microsoft.com/office/drawing/2014/main" id="{F6994D5A-8C60-4141-A58C-E61D2CB08F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53C04" w:rsidRDefault="00C53C04" w:rsidP="00C53C04">
      <w:pPr>
        <w:jc w:val="center"/>
        <w:rPr>
          <w:rFonts w:hint="eastAsia"/>
        </w:rPr>
      </w:pPr>
      <w:r>
        <w:rPr>
          <w:rFonts w:hint="eastAsia"/>
        </w:rPr>
        <w:t>图四</w:t>
      </w:r>
    </w:p>
    <w:p w:rsidR="00C53C04" w:rsidRDefault="00C53C04" w:rsidP="00FC2720">
      <w:pPr>
        <w:rPr>
          <w:rFonts w:hint="eastAsia"/>
        </w:rPr>
      </w:pPr>
    </w:p>
    <w:p w:rsidR="00052A53" w:rsidRDefault="00571031" w:rsidP="00052A53">
      <w:r>
        <w:rPr>
          <w:rFonts w:hint="eastAsia"/>
        </w:rPr>
        <w:t>基金经理管理</w:t>
      </w:r>
      <w:r w:rsidR="00052A53">
        <w:rPr>
          <w:rFonts w:hint="eastAsia"/>
        </w:rPr>
        <w:t>资产排名前十（图五），</w:t>
      </w:r>
      <w:r w:rsidR="00052A53">
        <w:rPr>
          <w:rFonts w:hint="eastAsia"/>
        </w:rPr>
        <w:t>基金经理管理</w:t>
      </w:r>
      <w:r w:rsidR="00052A53">
        <w:rPr>
          <w:rFonts w:hint="eastAsia"/>
        </w:rPr>
        <w:t>基金数量排名</w:t>
      </w:r>
      <w:r w:rsidR="00052A53">
        <w:rPr>
          <w:rFonts w:hint="eastAsia"/>
        </w:rPr>
        <w:t>（图</w:t>
      </w:r>
      <w:r w:rsidR="00052A53">
        <w:rPr>
          <w:rFonts w:hint="eastAsia"/>
        </w:rPr>
        <w:t>六</w:t>
      </w:r>
      <w:r w:rsidR="00052A53">
        <w:rPr>
          <w:rFonts w:hint="eastAsia"/>
        </w:rPr>
        <w:t>）。</w:t>
      </w:r>
    </w:p>
    <w:p w:rsidR="00052A53" w:rsidRDefault="00052A53" w:rsidP="00FC2720"/>
    <w:p w:rsidR="00C53C04" w:rsidRDefault="00052A53" w:rsidP="00052A53">
      <w:pPr>
        <w:jc w:val="center"/>
      </w:pPr>
      <w:r>
        <w:rPr>
          <w:noProof/>
        </w:rPr>
        <w:drawing>
          <wp:inline distT="0" distB="0" distL="0" distR="0" wp14:anchorId="2B50FC37" wp14:editId="5B556FCC">
            <wp:extent cx="5270500" cy="3008630"/>
            <wp:effectExtent l="0" t="0" r="12700" b="13970"/>
            <wp:docPr id="7" name="图表 7">
              <a:extLst xmlns:a="http://schemas.openxmlformats.org/drawingml/2006/main">
                <a:ext uri="{FF2B5EF4-FFF2-40B4-BE49-F238E27FC236}">
                  <a16:creationId xmlns:a16="http://schemas.microsoft.com/office/drawing/2014/main" id="{A05F817D-E15D-C946-A6F6-00076D93E5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2A53" w:rsidRDefault="00052A53" w:rsidP="00052A53">
      <w:pPr>
        <w:jc w:val="center"/>
        <w:rPr>
          <w:rFonts w:hint="eastAsia"/>
        </w:rPr>
      </w:pPr>
      <w:r>
        <w:rPr>
          <w:rFonts w:hint="eastAsia"/>
        </w:rPr>
        <w:t>图五</w:t>
      </w:r>
    </w:p>
    <w:p w:rsidR="00FE06E4" w:rsidRDefault="00FE06E4" w:rsidP="00FC2720"/>
    <w:p w:rsidR="00052A53" w:rsidRDefault="00052A53" w:rsidP="00052A53">
      <w:pPr>
        <w:jc w:val="center"/>
      </w:pPr>
      <w:r>
        <w:rPr>
          <w:noProof/>
        </w:rPr>
        <w:lastRenderedPageBreak/>
        <w:drawing>
          <wp:inline distT="0" distB="0" distL="0" distR="0" wp14:anchorId="7286F251" wp14:editId="47C93A3D">
            <wp:extent cx="4572000" cy="2743200"/>
            <wp:effectExtent l="0" t="0" r="12700" b="12700"/>
            <wp:docPr id="8" name="图表 8">
              <a:extLst xmlns:a="http://schemas.openxmlformats.org/drawingml/2006/main">
                <a:ext uri="{FF2B5EF4-FFF2-40B4-BE49-F238E27FC236}">
                  <a16:creationId xmlns:a16="http://schemas.microsoft.com/office/drawing/2014/main" id="{B06D09DA-EB26-6E48-B3A1-C01D08CD8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2A53" w:rsidRDefault="00052A53" w:rsidP="00052A53">
      <w:pPr>
        <w:jc w:val="center"/>
      </w:pPr>
      <w:r>
        <w:rPr>
          <w:rFonts w:hint="eastAsia"/>
        </w:rPr>
        <w:t>图六</w:t>
      </w:r>
    </w:p>
    <w:p w:rsidR="0093538A" w:rsidRDefault="0093538A" w:rsidP="00052A53">
      <w:pPr>
        <w:jc w:val="center"/>
        <w:rPr>
          <w:rFonts w:hint="eastAsia"/>
        </w:rPr>
      </w:pPr>
    </w:p>
    <w:p w:rsidR="00FE06E4" w:rsidRDefault="00FE06E4" w:rsidP="00FC2720">
      <w:pPr>
        <w:rPr>
          <w:rFonts w:hint="eastAsia"/>
        </w:rPr>
      </w:pPr>
      <w:r>
        <w:rPr>
          <w:rFonts w:hint="eastAsia"/>
        </w:rPr>
        <w:t>单股被持有数量排名</w:t>
      </w:r>
      <w:r w:rsidR="00052A53">
        <w:rPr>
          <w:rFonts w:hint="eastAsia"/>
        </w:rPr>
        <w:t>以及相应市值（图七）</w:t>
      </w:r>
      <w:r w:rsidR="0093538A">
        <w:rPr>
          <w:rFonts w:hint="eastAsia"/>
        </w:rPr>
        <w:t>，其中可以看到中国平安在这1</w:t>
      </w:r>
      <w:r w:rsidR="0093538A">
        <w:t>625</w:t>
      </w:r>
      <w:r w:rsidR="0093538A">
        <w:rPr>
          <w:rFonts w:hint="eastAsia"/>
        </w:rPr>
        <w:t>只股票型基金中被3</w:t>
      </w:r>
      <w:r w:rsidR="0093538A">
        <w:t>54</w:t>
      </w:r>
      <w:r w:rsidR="0093538A">
        <w:rPr>
          <w:rFonts w:hint="eastAsia"/>
        </w:rPr>
        <w:t>支基金持有，总被持有市值4</w:t>
      </w:r>
      <w:r w:rsidR="0093538A">
        <w:t>017750</w:t>
      </w:r>
      <w:r w:rsidR="0093538A">
        <w:rPr>
          <w:rFonts w:hint="eastAsia"/>
        </w:rPr>
        <w:t>万排名第一（让我意外的是排名第一的竟然不是贵州茅台）。</w:t>
      </w:r>
    </w:p>
    <w:p w:rsidR="00FE06E4" w:rsidRDefault="0093538A" w:rsidP="0093538A">
      <w:pPr>
        <w:jc w:val="center"/>
      </w:pPr>
      <w:r>
        <w:rPr>
          <w:noProof/>
        </w:rPr>
        <w:drawing>
          <wp:inline distT="0" distB="0" distL="0" distR="0" wp14:anchorId="6B875FAF" wp14:editId="5C4B2CA2">
            <wp:extent cx="5270500" cy="2834005"/>
            <wp:effectExtent l="0" t="0" r="12700" b="10795"/>
            <wp:docPr id="9" name="图表 9">
              <a:extLst xmlns:a="http://schemas.openxmlformats.org/drawingml/2006/main">
                <a:ext uri="{FF2B5EF4-FFF2-40B4-BE49-F238E27FC236}">
                  <a16:creationId xmlns:a16="http://schemas.microsoft.com/office/drawing/2014/main" id="{ED1177BA-10EB-5149-BEB2-F1A880FEE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3538A" w:rsidRDefault="0093538A" w:rsidP="0093538A">
      <w:pPr>
        <w:jc w:val="center"/>
        <w:rPr>
          <w:rFonts w:hint="eastAsia"/>
        </w:rPr>
      </w:pPr>
      <w:r>
        <w:rPr>
          <w:rFonts w:hint="eastAsia"/>
        </w:rPr>
        <w:t>图七</w:t>
      </w:r>
    </w:p>
    <w:p w:rsidR="00FE06E4" w:rsidRDefault="00FE06E4" w:rsidP="00FC2720"/>
    <w:p w:rsidR="00FE06E4" w:rsidRDefault="00FE06E4" w:rsidP="00FC2720">
      <w:pPr>
        <w:rPr>
          <w:rFonts w:hint="eastAsia"/>
        </w:rPr>
      </w:pPr>
    </w:p>
    <w:p w:rsidR="002D5CDB" w:rsidRDefault="002D5CDB" w:rsidP="00FC2720">
      <w:r>
        <w:rPr>
          <w:rFonts w:hint="eastAsia"/>
        </w:rPr>
        <w:t>文中出现的各个基金以及股票都是为了呈现数据，不构成任何投资建议，数据来源于爱基金网</w:t>
      </w:r>
      <w:r w:rsidR="00CF1621">
        <w:rPr>
          <w:rFonts w:hint="eastAsia"/>
        </w:rPr>
        <w:t>，数据采集截止日期到2</w:t>
      </w:r>
      <w:r w:rsidR="00CF1621">
        <w:t>020</w:t>
      </w:r>
      <w:r w:rsidR="00CF1621">
        <w:rPr>
          <w:rFonts w:hint="eastAsia"/>
        </w:rPr>
        <w:t>年3月2</w:t>
      </w:r>
      <w:r w:rsidR="00CF1621">
        <w:t>3</w:t>
      </w:r>
      <w:r w:rsidR="00CF1621">
        <w:rPr>
          <w:rFonts w:hint="eastAsia"/>
        </w:rPr>
        <w:t>日。</w:t>
      </w:r>
    </w:p>
    <w:p w:rsidR="00F5244D" w:rsidRDefault="00F5244D" w:rsidP="00FC2720"/>
    <w:p w:rsidR="00571031" w:rsidRDefault="00F5244D" w:rsidP="00FC2720">
      <w:r>
        <w:rPr>
          <w:rFonts w:hint="eastAsia"/>
        </w:rPr>
        <w:t>数据来源：</w:t>
      </w:r>
    </w:p>
    <w:p w:rsidR="002D5CDB" w:rsidRPr="00571031" w:rsidRDefault="00BD0506" w:rsidP="00571031">
      <w:pPr>
        <w:pStyle w:val="a4"/>
        <w:numPr>
          <w:ilvl w:val="0"/>
          <w:numId w:val="3"/>
        </w:numPr>
        <w:ind w:firstLineChars="0"/>
      </w:pPr>
      <w:hyperlink r:id="rId12" w:history="1">
        <w:r w:rsidR="00571031" w:rsidRPr="00E91212">
          <w:rPr>
            <w:rStyle w:val="a5"/>
            <w:rFonts w:ascii="宋体" w:eastAsia="宋体" w:hAnsi="宋体" w:cs="宋体"/>
            <w:i/>
            <w:kern w:val="0"/>
            <w:sz w:val="24"/>
          </w:rPr>
          <w:t>http://fund.10jqka.com.cn/</w:t>
        </w:r>
      </w:hyperlink>
      <w:bookmarkEnd w:id="0"/>
      <w:bookmarkEnd w:id="1"/>
    </w:p>
    <w:sectPr w:rsidR="002D5CDB" w:rsidRPr="00571031" w:rsidSect="00E20B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0596A"/>
    <w:multiLevelType w:val="hybridMultilevel"/>
    <w:tmpl w:val="5D5E4602"/>
    <w:lvl w:ilvl="0" w:tplc="AC12C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2C23F8"/>
    <w:multiLevelType w:val="hybridMultilevel"/>
    <w:tmpl w:val="819A93E6"/>
    <w:lvl w:ilvl="0" w:tplc="A8241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C17C67"/>
    <w:multiLevelType w:val="hybridMultilevel"/>
    <w:tmpl w:val="65BC7318"/>
    <w:lvl w:ilvl="0" w:tplc="925AF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20"/>
    <w:rsid w:val="00001E87"/>
    <w:rsid w:val="00052A53"/>
    <w:rsid w:val="00120E4B"/>
    <w:rsid w:val="001B65E4"/>
    <w:rsid w:val="002C05D9"/>
    <w:rsid w:val="002D5CDB"/>
    <w:rsid w:val="00571031"/>
    <w:rsid w:val="005723A7"/>
    <w:rsid w:val="005E4FD2"/>
    <w:rsid w:val="007334B2"/>
    <w:rsid w:val="007D15AD"/>
    <w:rsid w:val="008C2CBB"/>
    <w:rsid w:val="009201E6"/>
    <w:rsid w:val="0093538A"/>
    <w:rsid w:val="00991005"/>
    <w:rsid w:val="009F6EA6"/>
    <w:rsid w:val="00B87097"/>
    <w:rsid w:val="00BD0506"/>
    <w:rsid w:val="00BD3F2E"/>
    <w:rsid w:val="00C53C04"/>
    <w:rsid w:val="00CF1621"/>
    <w:rsid w:val="00D5775B"/>
    <w:rsid w:val="00E20B69"/>
    <w:rsid w:val="00F5244D"/>
    <w:rsid w:val="00FC2720"/>
    <w:rsid w:val="00FE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D8F3E7"/>
  <w15:chartTrackingRefBased/>
  <w15:docId w15:val="{67EE3B1F-E0CB-BE4A-87E9-D2AF9BE5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27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720"/>
    <w:rPr>
      <w:b/>
      <w:bCs/>
      <w:kern w:val="44"/>
      <w:sz w:val="44"/>
      <w:szCs w:val="44"/>
    </w:rPr>
  </w:style>
  <w:style w:type="paragraph" w:styleId="a3">
    <w:name w:val="No Spacing"/>
    <w:uiPriority w:val="1"/>
    <w:qFormat/>
    <w:rsid w:val="00FC2720"/>
    <w:pPr>
      <w:widowControl w:val="0"/>
      <w:jc w:val="both"/>
    </w:pPr>
  </w:style>
  <w:style w:type="paragraph" w:styleId="a4">
    <w:name w:val="List Paragraph"/>
    <w:basedOn w:val="a"/>
    <w:uiPriority w:val="34"/>
    <w:qFormat/>
    <w:rsid w:val="002D5CDB"/>
    <w:pPr>
      <w:ind w:firstLineChars="200" w:firstLine="420"/>
    </w:pPr>
  </w:style>
  <w:style w:type="character" w:styleId="a5">
    <w:name w:val="Hyperlink"/>
    <w:basedOn w:val="a0"/>
    <w:uiPriority w:val="99"/>
    <w:unhideWhenUsed/>
    <w:rsid w:val="002D5CDB"/>
    <w:rPr>
      <w:color w:val="0000FF"/>
      <w:u w:val="single"/>
    </w:rPr>
  </w:style>
  <w:style w:type="character" w:styleId="a6">
    <w:name w:val="Unresolved Mention"/>
    <w:basedOn w:val="a0"/>
    <w:uiPriority w:val="99"/>
    <w:semiHidden/>
    <w:unhideWhenUsed/>
    <w:rsid w:val="002D5CDB"/>
    <w:rPr>
      <w:color w:val="605E5C"/>
      <w:shd w:val="clear" w:color="auto" w:fill="E1DFDD"/>
    </w:rPr>
  </w:style>
  <w:style w:type="character" w:styleId="a7">
    <w:name w:val="FollowedHyperlink"/>
    <w:basedOn w:val="a0"/>
    <w:uiPriority w:val="99"/>
    <w:semiHidden/>
    <w:unhideWhenUsed/>
    <w:rsid w:val="00571031"/>
    <w:rPr>
      <w:color w:val="954F72" w:themeColor="followedHyperlink"/>
      <w:u w:val="single"/>
    </w:rPr>
  </w:style>
  <w:style w:type="character" w:styleId="a8">
    <w:name w:val="annotation reference"/>
    <w:basedOn w:val="a0"/>
    <w:uiPriority w:val="99"/>
    <w:semiHidden/>
    <w:unhideWhenUsed/>
    <w:rsid w:val="00120E4B"/>
    <w:rPr>
      <w:sz w:val="21"/>
      <w:szCs w:val="21"/>
    </w:rPr>
  </w:style>
  <w:style w:type="paragraph" w:styleId="a9">
    <w:name w:val="annotation text"/>
    <w:basedOn w:val="a"/>
    <w:link w:val="aa"/>
    <w:uiPriority w:val="99"/>
    <w:semiHidden/>
    <w:unhideWhenUsed/>
    <w:rsid w:val="00120E4B"/>
    <w:pPr>
      <w:jc w:val="left"/>
    </w:pPr>
  </w:style>
  <w:style w:type="character" w:customStyle="1" w:styleId="aa">
    <w:name w:val="批注文字 字符"/>
    <w:basedOn w:val="a0"/>
    <w:link w:val="a9"/>
    <w:uiPriority w:val="99"/>
    <w:semiHidden/>
    <w:rsid w:val="00120E4B"/>
  </w:style>
  <w:style w:type="paragraph" w:styleId="ab">
    <w:name w:val="annotation subject"/>
    <w:basedOn w:val="a9"/>
    <w:next w:val="a9"/>
    <w:link w:val="ac"/>
    <w:uiPriority w:val="99"/>
    <w:semiHidden/>
    <w:unhideWhenUsed/>
    <w:rsid w:val="00120E4B"/>
    <w:rPr>
      <w:b/>
      <w:bCs/>
    </w:rPr>
  </w:style>
  <w:style w:type="character" w:customStyle="1" w:styleId="ac">
    <w:name w:val="批注主题 字符"/>
    <w:basedOn w:val="aa"/>
    <w:link w:val="ab"/>
    <w:uiPriority w:val="99"/>
    <w:semiHidden/>
    <w:rsid w:val="00120E4B"/>
    <w:rPr>
      <w:b/>
      <w:bCs/>
    </w:rPr>
  </w:style>
  <w:style w:type="paragraph" w:styleId="ad">
    <w:name w:val="Balloon Text"/>
    <w:basedOn w:val="a"/>
    <w:link w:val="ae"/>
    <w:uiPriority w:val="99"/>
    <w:semiHidden/>
    <w:unhideWhenUsed/>
    <w:rsid w:val="00120E4B"/>
    <w:rPr>
      <w:rFonts w:ascii="宋体" w:eastAsia="宋体"/>
      <w:sz w:val="18"/>
      <w:szCs w:val="18"/>
    </w:rPr>
  </w:style>
  <w:style w:type="character" w:customStyle="1" w:styleId="ae">
    <w:name w:val="批注框文本 字符"/>
    <w:basedOn w:val="a0"/>
    <w:link w:val="ad"/>
    <w:uiPriority w:val="99"/>
    <w:semiHidden/>
    <w:rsid w:val="00120E4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25">
      <w:bodyDiv w:val="1"/>
      <w:marLeft w:val="0"/>
      <w:marRight w:val="0"/>
      <w:marTop w:val="0"/>
      <w:marBottom w:val="0"/>
      <w:divBdr>
        <w:top w:val="none" w:sz="0" w:space="0" w:color="auto"/>
        <w:left w:val="none" w:sz="0" w:space="0" w:color="auto"/>
        <w:bottom w:val="none" w:sz="0" w:space="0" w:color="auto"/>
        <w:right w:val="none" w:sz="0" w:space="0" w:color="auto"/>
      </w:divBdr>
    </w:div>
    <w:div w:id="235628264">
      <w:bodyDiv w:val="1"/>
      <w:marLeft w:val="0"/>
      <w:marRight w:val="0"/>
      <w:marTop w:val="0"/>
      <w:marBottom w:val="0"/>
      <w:divBdr>
        <w:top w:val="none" w:sz="0" w:space="0" w:color="auto"/>
        <w:left w:val="none" w:sz="0" w:space="0" w:color="auto"/>
        <w:bottom w:val="none" w:sz="0" w:space="0" w:color="auto"/>
        <w:right w:val="none" w:sz="0" w:space="0" w:color="auto"/>
      </w:divBdr>
    </w:div>
    <w:div w:id="271666373">
      <w:bodyDiv w:val="1"/>
      <w:marLeft w:val="0"/>
      <w:marRight w:val="0"/>
      <w:marTop w:val="0"/>
      <w:marBottom w:val="0"/>
      <w:divBdr>
        <w:top w:val="none" w:sz="0" w:space="0" w:color="auto"/>
        <w:left w:val="none" w:sz="0" w:space="0" w:color="auto"/>
        <w:bottom w:val="none" w:sz="0" w:space="0" w:color="auto"/>
        <w:right w:val="none" w:sz="0" w:space="0" w:color="auto"/>
      </w:divBdr>
    </w:div>
    <w:div w:id="337008321">
      <w:bodyDiv w:val="1"/>
      <w:marLeft w:val="0"/>
      <w:marRight w:val="0"/>
      <w:marTop w:val="0"/>
      <w:marBottom w:val="0"/>
      <w:divBdr>
        <w:top w:val="none" w:sz="0" w:space="0" w:color="auto"/>
        <w:left w:val="none" w:sz="0" w:space="0" w:color="auto"/>
        <w:bottom w:val="none" w:sz="0" w:space="0" w:color="auto"/>
        <w:right w:val="none" w:sz="0" w:space="0" w:color="auto"/>
      </w:divBdr>
    </w:div>
    <w:div w:id="422141382">
      <w:bodyDiv w:val="1"/>
      <w:marLeft w:val="0"/>
      <w:marRight w:val="0"/>
      <w:marTop w:val="0"/>
      <w:marBottom w:val="0"/>
      <w:divBdr>
        <w:top w:val="none" w:sz="0" w:space="0" w:color="auto"/>
        <w:left w:val="none" w:sz="0" w:space="0" w:color="auto"/>
        <w:bottom w:val="none" w:sz="0" w:space="0" w:color="auto"/>
        <w:right w:val="none" w:sz="0" w:space="0" w:color="auto"/>
      </w:divBdr>
    </w:div>
    <w:div w:id="516121994">
      <w:bodyDiv w:val="1"/>
      <w:marLeft w:val="0"/>
      <w:marRight w:val="0"/>
      <w:marTop w:val="0"/>
      <w:marBottom w:val="0"/>
      <w:divBdr>
        <w:top w:val="none" w:sz="0" w:space="0" w:color="auto"/>
        <w:left w:val="none" w:sz="0" w:space="0" w:color="auto"/>
        <w:bottom w:val="none" w:sz="0" w:space="0" w:color="auto"/>
        <w:right w:val="none" w:sz="0" w:space="0" w:color="auto"/>
      </w:divBdr>
    </w:div>
    <w:div w:id="565382203">
      <w:bodyDiv w:val="1"/>
      <w:marLeft w:val="0"/>
      <w:marRight w:val="0"/>
      <w:marTop w:val="0"/>
      <w:marBottom w:val="0"/>
      <w:divBdr>
        <w:top w:val="none" w:sz="0" w:space="0" w:color="auto"/>
        <w:left w:val="none" w:sz="0" w:space="0" w:color="auto"/>
        <w:bottom w:val="none" w:sz="0" w:space="0" w:color="auto"/>
        <w:right w:val="none" w:sz="0" w:space="0" w:color="auto"/>
      </w:divBdr>
    </w:div>
    <w:div w:id="572929288">
      <w:bodyDiv w:val="1"/>
      <w:marLeft w:val="0"/>
      <w:marRight w:val="0"/>
      <w:marTop w:val="0"/>
      <w:marBottom w:val="0"/>
      <w:divBdr>
        <w:top w:val="none" w:sz="0" w:space="0" w:color="auto"/>
        <w:left w:val="none" w:sz="0" w:space="0" w:color="auto"/>
        <w:bottom w:val="none" w:sz="0" w:space="0" w:color="auto"/>
        <w:right w:val="none" w:sz="0" w:space="0" w:color="auto"/>
      </w:divBdr>
    </w:div>
    <w:div w:id="728118749">
      <w:bodyDiv w:val="1"/>
      <w:marLeft w:val="0"/>
      <w:marRight w:val="0"/>
      <w:marTop w:val="0"/>
      <w:marBottom w:val="0"/>
      <w:divBdr>
        <w:top w:val="none" w:sz="0" w:space="0" w:color="auto"/>
        <w:left w:val="none" w:sz="0" w:space="0" w:color="auto"/>
        <w:bottom w:val="none" w:sz="0" w:space="0" w:color="auto"/>
        <w:right w:val="none" w:sz="0" w:space="0" w:color="auto"/>
      </w:divBdr>
    </w:div>
    <w:div w:id="788400737">
      <w:bodyDiv w:val="1"/>
      <w:marLeft w:val="0"/>
      <w:marRight w:val="0"/>
      <w:marTop w:val="0"/>
      <w:marBottom w:val="0"/>
      <w:divBdr>
        <w:top w:val="none" w:sz="0" w:space="0" w:color="auto"/>
        <w:left w:val="none" w:sz="0" w:space="0" w:color="auto"/>
        <w:bottom w:val="none" w:sz="0" w:space="0" w:color="auto"/>
        <w:right w:val="none" w:sz="0" w:space="0" w:color="auto"/>
      </w:divBdr>
    </w:div>
    <w:div w:id="913929981">
      <w:bodyDiv w:val="1"/>
      <w:marLeft w:val="0"/>
      <w:marRight w:val="0"/>
      <w:marTop w:val="0"/>
      <w:marBottom w:val="0"/>
      <w:divBdr>
        <w:top w:val="none" w:sz="0" w:space="0" w:color="auto"/>
        <w:left w:val="none" w:sz="0" w:space="0" w:color="auto"/>
        <w:bottom w:val="none" w:sz="0" w:space="0" w:color="auto"/>
        <w:right w:val="none" w:sz="0" w:space="0" w:color="auto"/>
      </w:divBdr>
    </w:div>
    <w:div w:id="1439985312">
      <w:bodyDiv w:val="1"/>
      <w:marLeft w:val="0"/>
      <w:marRight w:val="0"/>
      <w:marTop w:val="0"/>
      <w:marBottom w:val="0"/>
      <w:divBdr>
        <w:top w:val="none" w:sz="0" w:space="0" w:color="auto"/>
        <w:left w:val="none" w:sz="0" w:space="0" w:color="auto"/>
        <w:bottom w:val="none" w:sz="0" w:space="0" w:color="auto"/>
        <w:right w:val="none" w:sz="0" w:space="0" w:color="auto"/>
      </w:divBdr>
    </w:div>
    <w:div w:id="1963611727">
      <w:bodyDiv w:val="1"/>
      <w:marLeft w:val="0"/>
      <w:marRight w:val="0"/>
      <w:marTop w:val="0"/>
      <w:marBottom w:val="0"/>
      <w:divBdr>
        <w:top w:val="none" w:sz="0" w:space="0" w:color="auto"/>
        <w:left w:val="none" w:sz="0" w:space="0" w:color="auto"/>
        <w:bottom w:val="none" w:sz="0" w:space="0" w:color="auto"/>
        <w:right w:val="none" w:sz="0" w:space="0" w:color="auto"/>
      </w:divBdr>
    </w:div>
    <w:div w:id="214134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fund.10jqka.com.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zhangsw/Desktop/fund_spider_20200325&#20998;&#26512;.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zhangsw/Desktop/fund_spider_20200325&#20998;&#26512;.xls"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hangsw/Desktop/fund_spider_20200325&#20998;&#26512;.xls"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zhangsw/Desktop/fund_spider_20200325&#20998;&#26512;.xls"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zhangsw/Desktop/data_processing_2.xls"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zhangsw/Desktop/data_processing_2.xls"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Users/zhangsw/Desktop/data_processing.xls"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资产规模超</a:t>
            </a:r>
            <a:r>
              <a:rPr lang="en-US" altLang="zh-CN"/>
              <a:t>500</a:t>
            </a:r>
            <a:r>
              <a:rPr lang="zh-CN" altLang="en-US"/>
              <a:t>亿的公司及其占比</a:t>
            </a:r>
          </a:p>
        </c:rich>
      </c:tx>
      <c:overlay val="0"/>
      <c:spPr>
        <a:noFill/>
        <a:ln>
          <a:noFill/>
        </a:ln>
        <a:effectLst/>
      </c:spPr>
    </c:title>
    <c:autoTitleDeleted val="0"/>
    <c:plotArea>
      <c:layout/>
      <c:pieChart>
        <c:varyColors val="1"/>
        <c:ser>
          <c:idx val="0"/>
          <c:order val="0"/>
          <c:explosion val="1"/>
          <c:dPt>
            <c:idx val="0"/>
            <c:bubble3D val="0"/>
            <c:spPr>
              <a:solidFill>
                <a:schemeClr val="accent1"/>
              </a:solidFill>
              <a:ln>
                <a:noFill/>
              </a:ln>
              <a:effectLst/>
            </c:spPr>
            <c:extLst>
              <c:ext xmlns:c16="http://schemas.microsoft.com/office/drawing/2014/chart" uri="{C3380CC4-5D6E-409C-BE32-E72D297353CC}">
                <c16:uniqueId val="{00000001-78B7-854E-8D2E-2BD83791B9E8}"/>
              </c:ext>
            </c:extLst>
          </c:dPt>
          <c:dPt>
            <c:idx val="1"/>
            <c:bubble3D val="0"/>
            <c:spPr>
              <a:solidFill>
                <a:schemeClr val="accent2"/>
              </a:solidFill>
              <a:ln>
                <a:noFill/>
              </a:ln>
              <a:effectLst/>
            </c:spPr>
            <c:extLst>
              <c:ext xmlns:c16="http://schemas.microsoft.com/office/drawing/2014/chart" uri="{C3380CC4-5D6E-409C-BE32-E72D297353CC}">
                <c16:uniqueId val="{00000003-78B7-854E-8D2E-2BD83791B9E8}"/>
              </c:ext>
            </c:extLst>
          </c:dPt>
          <c:dPt>
            <c:idx val="2"/>
            <c:bubble3D val="0"/>
            <c:spPr>
              <a:solidFill>
                <a:schemeClr val="accent3"/>
              </a:solidFill>
              <a:ln>
                <a:noFill/>
              </a:ln>
              <a:effectLst/>
            </c:spPr>
            <c:extLst>
              <c:ext xmlns:c16="http://schemas.microsoft.com/office/drawing/2014/chart" uri="{C3380CC4-5D6E-409C-BE32-E72D297353CC}">
                <c16:uniqueId val="{00000005-78B7-854E-8D2E-2BD83791B9E8}"/>
              </c:ext>
            </c:extLst>
          </c:dPt>
          <c:dPt>
            <c:idx val="3"/>
            <c:bubble3D val="0"/>
            <c:spPr>
              <a:solidFill>
                <a:schemeClr val="accent4"/>
              </a:solidFill>
              <a:ln>
                <a:noFill/>
              </a:ln>
              <a:effectLst/>
            </c:spPr>
            <c:extLst>
              <c:ext xmlns:c16="http://schemas.microsoft.com/office/drawing/2014/chart" uri="{C3380CC4-5D6E-409C-BE32-E72D297353CC}">
                <c16:uniqueId val="{00000007-78B7-854E-8D2E-2BD83791B9E8}"/>
              </c:ext>
            </c:extLst>
          </c:dPt>
          <c:dPt>
            <c:idx val="4"/>
            <c:bubble3D val="0"/>
            <c:spPr>
              <a:solidFill>
                <a:schemeClr val="accent5"/>
              </a:solidFill>
              <a:ln>
                <a:noFill/>
              </a:ln>
              <a:effectLst/>
            </c:spPr>
            <c:extLst>
              <c:ext xmlns:c16="http://schemas.microsoft.com/office/drawing/2014/chart" uri="{C3380CC4-5D6E-409C-BE32-E72D297353CC}">
                <c16:uniqueId val="{00000009-78B7-854E-8D2E-2BD83791B9E8}"/>
              </c:ext>
            </c:extLst>
          </c:dPt>
          <c:dPt>
            <c:idx val="5"/>
            <c:bubble3D val="0"/>
            <c:spPr>
              <a:solidFill>
                <a:schemeClr val="accent6"/>
              </a:solidFill>
              <a:ln>
                <a:noFill/>
              </a:ln>
              <a:effectLst/>
            </c:spPr>
            <c:extLst>
              <c:ext xmlns:c16="http://schemas.microsoft.com/office/drawing/2014/chart" uri="{C3380CC4-5D6E-409C-BE32-E72D297353CC}">
                <c16:uniqueId val="{0000000B-78B7-854E-8D2E-2BD83791B9E8}"/>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78B7-854E-8D2E-2BD83791B9E8}"/>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78B7-854E-8D2E-2BD83791B9E8}"/>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78B7-854E-8D2E-2BD83791B9E8}"/>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13-78B7-854E-8D2E-2BD83791B9E8}"/>
              </c:ext>
            </c:extLst>
          </c:dPt>
          <c:dPt>
            <c:idx val="10"/>
            <c:bubble3D val="0"/>
            <c:spPr>
              <a:solidFill>
                <a:schemeClr val="accent5">
                  <a:lumMod val="60000"/>
                </a:schemeClr>
              </a:solidFill>
              <a:ln>
                <a:noFill/>
              </a:ln>
              <a:effectLst/>
            </c:spPr>
            <c:extLst>
              <c:ext xmlns:c16="http://schemas.microsoft.com/office/drawing/2014/chart" uri="{C3380CC4-5D6E-409C-BE32-E72D297353CC}">
                <c16:uniqueId val="{00000015-78B7-854E-8D2E-2BD83791B9E8}"/>
              </c:ext>
            </c:extLst>
          </c:dPt>
          <c:dPt>
            <c:idx val="11"/>
            <c:bubble3D val="0"/>
            <c:spPr>
              <a:solidFill>
                <a:schemeClr val="accent6">
                  <a:lumMod val="60000"/>
                </a:schemeClr>
              </a:solidFill>
              <a:ln>
                <a:noFill/>
              </a:ln>
              <a:effectLst/>
            </c:spPr>
            <c:extLst>
              <c:ext xmlns:c16="http://schemas.microsoft.com/office/drawing/2014/chart" uri="{C3380CC4-5D6E-409C-BE32-E72D297353CC}">
                <c16:uniqueId val="{00000017-78B7-854E-8D2E-2BD83791B9E8}"/>
              </c:ext>
            </c:extLst>
          </c:dPt>
          <c:dPt>
            <c:idx val="12"/>
            <c:bubble3D val="0"/>
            <c:spPr>
              <a:solidFill>
                <a:schemeClr val="accent1">
                  <a:lumMod val="80000"/>
                  <a:lumOff val="20000"/>
                </a:schemeClr>
              </a:solidFill>
              <a:ln>
                <a:noFill/>
              </a:ln>
              <a:effectLst/>
            </c:spPr>
            <c:extLst>
              <c:ext xmlns:c16="http://schemas.microsoft.com/office/drawing/2014/chart" uri="{C3380CC4-5D6E-409C-BE32-E72D297353CC}">
                <c16:uniqueId val="{00000019-78B7-854E-8D2E-2BD83791B9E8}"/>
              </c:ext>
            </c:extLst>
          </c:dPt>
          <c:dPt>
            <c:idx val="13"/>
            <c:bubble3D val="0"/>
            <c:spPr>
              <a:solidFill>
                <a:schemeClr val="accent2">
                  <a:lumMod val="80000"/>
                  <a:lumOff val="20000"/>
                </a:schemeClr>
              </a:solidFill>
              <a:ln>
                <a:noFill/>
              </a:ln>
              <a:effectLst/>
            </c:spPr>
            <c:extLst>
              <c:ext xmlns:c16="http://schemas.microsoft.com/office/drawing/2014/chart" uri="{C3380CC4-5D6E-409C-BE32-E72D297353CC}">
                <c16:uniqueId val="{0000001B-78B7-854E-8D2E-2BD83791B9E8}"/>
              </c:ext>
            </c:extLst>
          </c:dPt>
          <c:dPt>
            <c:idx val="14"/>
            <c:bubble3D val="0"/>
            <c:spPr>
              <a:solidFill>
                <a:schemeClr val="accent3">
                  <a:lumMod val="80000"/>
                  <a:lumOff val="20000"/>
                </a:schemeClr>
              </a:solidFill>
              <a:ln>
                <a:noFill/>
              </a:ln>
              <a:effectLst/>
            </c:spPr>
            <c:extLst>
              <c:ext xmlns:c16="http://schemas.microsoft.com/office/drawing/2014/chart" uri="{C3380CC4-5D6E-409C-BE32-E72D297353CC}">
                <c16:uniqueId val="{0000001D-78B7-854E-8D2E-2BD83791B9E8}"/>
              </c:ext>
            </c:extLst>
          </c:dPt>
          <c:dPt>
            <c:idx val="15"/>
            <c:bubble3D val="0"/>
            <c:spPr>
              <a:solidFill>
                <a:schemeClr val="accent4">
                  <a:lumMod val="80000"/>
                  <a:lumOff val="20000"/>
                </a:schemeClr>
              </a:solidFill>
              <a:ln>
                <a:noFill/>
              </a:ln>
              <a:effectLst/>
            </c:spPr>
            <c:extLst>
              <c:ext xmlns:c16="http://schemas.microsoft.com/office/drawing/2014/chart" uri="{C3380CC4-5D6E-409C-BE32-E72D297353CC}">
                <c16:uniqueId val="{0000001F-78B7-854E-8D2E-2BD83791B9E8}"/>
              </c:ext>
            </c:extLst>
          </c:dPt>
          <c:dPt>
            <c:idx val="16"/>
            <c:bubble3D val="0"/>
            <c:spPr>
              <a:solidFill>
                <a:schemeClr val="accent5">
                  <a:lumMod val="80000"/>
                  <a:lumOff val="20000"/>
                </a:schemeClr>
              </a:solidFill>
              <a:ln>
                <a:noFill/>
              </a:ln>
              <a:effectLst/>
            </c:spPr>
            <c:extLst>
              <c:ext xmlns:c16="http://schemas.microsoft.com/office/drawing/2014/chart" uri="{C3380CC4-5D6E-409C-BE32-E72D297353CC}">
                <c16:uniqueId val="{00000021-78B7-854E-8D2E-2BD83791B9E8}"/>
              </c:ext>
            </c:extLst>
          </c:dPt>
          <c:dPt>
            <c:idx val="17"/>
            <c:bubble3D val="0"/>
            <c:spPr>
              <a:solidFill>
                <a:schemeClr val="accent6">
                  <a:lumMod val="80000"/>
                  <a:lumOff val="20000"/>
                </a:schemeClr>
              </a:solidFill>
              <a:ln>
                <a:noFill/>
              </a:ln>
              <a:effectLst/>
            </c:spPr>
            <c:extLst>
              <c:ext xmlns:c16="http://schemas.microsoft.com/office/drawing/2014/chart" uri="{C3380CC4-5D6E-409C-BE32-E72D297353CC}">
                <c16:uniqueId val="{00000023-78B7-854E-8D2E-2BD83791B9E8}"/>
              </c:ext>
            </c:extLst>
          </c:dPt>
          <c:dPt>
            <c:idx val="18"/>
            <c:bubble3D val="0"/>
            <c:spPr>
              <a:solidFill>
                <a:schemeClr val="accent1">
                  <a:lumMod val="80000"/>
                </a:schemeClr>
              </a:solidFill>
              <a:ln>
                <a:noFill/>
              </a:ln>
              <a:effectLst/>
            </c:spPr>
            <c:extLst>
              <c:ext xmlns:c16="http://schemas.microsoft.com/office/drawing/2014/chart" uri="{C3380CC4-5D6E-409C-BE32-E72D297353CC}">
                <c16:uniqueId val="{00000025-78B7-854E-8D2E-2BD83791B9E8}"/>
              </c:ext>
            </c:extLst>
          </c:dPt>
          <c:dPt>
            <c:idx val="19"/>
            <c:bubble3D val="0"/>
            <c:spPr>
              <a:solidFill>
                <a:schemeClr val="accent2">
                  <a:lumMod val="80000"/>
                </a:schemeClr>
              </a:solidFill>
              <a:ln>
                <a:noFill/>
              </a:ln>
              <a:effectLst/>
            </c:spPr>
            <c:extLst>
              <c:ext xmlns:c16="http://schemas.microsoft.com/office/drawing/2014/chart" uri="{C3380CC4-5D6E-409C-BE32-E72D297353CC}">
                <c16:uniqueId val="{00000027-78B7-854E-8D2E-2BD83791B9E8}"/>
              </c:ext>
            </c:extLst>
          </c:dPt>
          <c:dPt>
            <c:idx val="20"/>
            <c:bubble3D val="0"/>
            <c:spPr>
              <a:solidFill>
                <a:schemeClr val="accent3">
                  <a:lumMod val="80000"/>
                </a:schemeClr>
              </a:solidFill>
              <a:ln>
                <a:noFill/>
              </a:ln>
              <a:effectLst/>
            </c:spPr>
            <c:extLst>
              <c:ext xmlns:c16="http://schemas.microsoft.com/office/drawing/2014/chart" uri="{C3380CC4-5D6E-409C-BE32-E72D297353CC}">
                <c16:uniqueId val="{00000029-78B7-854E-8D2E-2BD83791B9E8}"/>
              </c:ext>
            </c:extLst>
          </c:dPt>
          <c:dPt>
            <c:idx val="21"/>
            <c:bubble3D val="0"/>
            <c:spPr>
              <a:solidFill>
                <a:schemeClr val="accent4">
                  <a:lumMod val="80000"/>
                </a:schemeClr>
              </a:solidFill>
              <a:ln>
                <a:noFill/>
              </a:ln>
              <a:effectLst/>
            </c:spPr>
            <c:extLst>
              <c:ext xmlns:c16="http://schemas.microsoft.com/office/drawing/2014/chart" uri="{C3380CC4-5D6E-409C-BE32-E72D297353CC}">
                <c16:uniqueId val="{0000002B-78B7-854E-8D2E-2BD83791B9E8}"/>
              </c:ext>
            </c:extLst>
          </c:dPt>
          <c:dPt>
            <c:idx val="22"/>
            <c:bubble3D val="0"/>
            <c:spPr>
              <a:solidFill>
                <a:schemeClr val="accent5">
                  <a:lumMod val="80000"/>
                </a:schemeClr>
              </a:solidFill>
              <a:ln>
                <a:noFill/>
              </a:ln>
              <a:effectLst/>
            </c:spPr>
            <c:extLst>
              <c:ext xmlns:c16="http://schemas.microsoft.com/office/drawing/2014/chart" uri="{C3380CC4-5D6E-409C-BE32-E72D297353CC}">
                <c16:uniqueId val="{0000002D-78B7-854E-8D2E-2BD83791B9E8}"/>
              </c:ext>
            </c:extLst>
          </c:dPt>
          <c:dPt>
            <c:idx val="23"/>
            <c:bubble3D val="0"/>
            <c:spPr>
              <a:solidFill>
                <a:schemeClr val="accent6">
                  <a:lumMod val="80000"/>
                </a:schemeClr>
              </a:solidFill>
              <a:ln>
                <a:noFill/>
              </a:ln>
              <a:effectLst/>
            </c:spPr>
            <c:extLst>
              <c:ext xmlns:c16="http://schemas.microsoft.com/office/drawing/2014/chart" uri="{C3380CC4-5D6E-409C-BE32-E72D297353CC}">
                <c16:uniqueId val="{0000002F-78B7-854E-8D2E-2BD83791B9E8}"/>
              </c:ext>
            </c:extLst>
          </c:dPt>
          <c:dPt>
            <c:idx val="24"/>
            <c:bubble3D val="0"/>
            <c:spPr>
              <a:solidFill>
                <a:schemeClr val="accent1">
                  <a:lumMod val="60000"/>
                  <a:lumOff val="40000"/>
                </a:schemeClr>
              </a:solidFill>
              <a:ln>
                <a:noFill/>
              </a:ln>
              <a:effectLst/>
            </c:spPr>
            <c:extLst>
              <c:ext xmlns:c16="http://schemas.microsoft.com/office/drawing/2014/chart" uri="{C3380CC4-5D6E-409C-BE32-E72D297353CC}">
                <c16:uniqueId val="{00000031-78B7-854E-8D2E-2BD83791B9E8}"/>
              </c:ext>
            </c:extLst>
          </c:dPt>
          <c:dLbls>
            <c:dLbl>
              <c:idx val="11"/>
              <c:tx>
                <c:rich>
                  <a:bodyPr/>
                  <a:lstStyle/>
                  <a:p>
                    <a:fld id="{9844EF08-2A26-E247-9CC7-7F3A5F7AA84E}" type="CATEGORYNAME">
                      <a:rPr lang="zh-CN" altLang="en-US"/>
                      <a:pPr/>
                      <a:t>[类别名称]</a:t>
                    </a:fld>
                    <a:r>
                      <a:rPr lang="en-US" altLang="zh-CN" baseline="0"/>
                      <a:t>, </a:t>
                    </a:r>
                    <a:fld id="{C8095A92-8221-6A48-8F44-4B3010EE4201}" type="VALUE">
                      <a:rPr lang="en-US" altLang="zh-CN" baseline="0"/>
                      <a:pPr/>
                      <a:t>[值]</a:t>
                    </a:fld>
                    <a:r>
                      <a:rPr lang="zh-CN" altLang="en-US" baseline="0"/>
                      <a:t>亿</a:t>
                    </a:r>
                    <a:r>
                      <a:rPr lang="en-US" altLang="zh-CN" baseline="0"/>
                      <a:t>, </a:t>
                    </a:r>
                    <a:fld id="{83AAC68B-47C6-B14B-92D6-5E7505FEBD37}"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78B7-854E-8D2E-2BD83791B9E8}"/>
                </c:ext>
              </c:extLst>
            </c:dLbl>
            <c:dLbl>
              <c:idx val="12"/>
              <c:tx>
                <c:rich>
                  <a:bodyPr/>
                  <a:lstStyle/>
                  <a:p>
                    <a:fld id="{1E4E88F9-464B-AB4E-B236-7BD881C19DA8}" type="CATEGORYNAME">
                      <a:rPr lang="zh-CN" altLang="en-US"/>
                      <a:pPr/>
                      <a:t>[类别名称]</a:t>
                    </a:fld>
                    <a:r>
                      <a:rPr lang="en-US" altLang="zh-CN" baseline="0"/>
                      <a:t>, </a:t>
                    </a:r>
                    <a:fld id="{5EF9A907-5610-5C47-B779-26B7208559BB}" type="VALUE">
                      <a:rPr lang="en-US" altLang="zh-CN" baseline="0"/>
                      <a:pPr/>
                      <a:t>[值]</a:t>
                    </a:fld>
                    <a:r>
                      <a:rPr lang="zh-CN" altLang="en-US" baseline="0"/>
                      <a:t>亿</a:t>
                    </a:r>
                    <a:r>
                      <a:rPr lang="en-US" altLang="zh-CN" baseline="0"/>
                      <a:t>, </a:t>
                    </a:r>
                    <a:fld id="{29C1BE54-19AA-AD4C-AE00-7721456D1C57}"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9-78B7-854E-8D2E-2BD83791B9E8}"/>
                </c:ext>
              </c:extLst>
            </c:dLbl>
            <c:dLbl>
              <c:idx val="13"/>
              <c:tx>
                <c:rich>
                  <a:bodyPr/>
                  <a:lstStyle/>
                  <a:p>
                    <a:fld id="{D861976C-D48B-844C-99CB-0D8548999C62}" type="CATEGORYNAME">
                      <a:rPr lang="zh-CN" altLang="en-US"/>
                      <a:pPr/>
                      <a:t>[类别名称]</a:t>
                    </a:fld>
                    <a:r>
                      <a:rPr lang="en-US" altLang="zh-CN" baseline="0"/>
                      <a:t>, </a:t>
                    </a:r>
                    <a:fld id="{E1BE9369-9128-D140-9154-61ABFCD9B17E}" type="VALUE">
                      <a:rPr lang="en-US" altLang="zh-CN" baseline="0"/>
                      <a:pPr/>
                      <a:t>[值]</a:t>
                    </a:fld>
                    <a:r>
                      <a:rPr lang="zh-CN" altLang="en-US" baseline="0"/>
                      <a:t>亿</a:t>
                    </a:r>
                    <a:r>
                      <a:rPr lang="en-US" altLang="zh-CN" baseline="0"/>
                      <a:t>, </a:t>
                    </a:r>
                    <a:fld id="{2E3F7015-7463-D24F-A859-7646E3E2B299}"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B-78B7-854E-8D2E-2BD83791B9E8}"/>
                </c:ext>
              </c:extLst>
            </c:dLbl>
            <c:dLbl>
              <c:idx val="14"/>
              <c:tx>
                <c:rich>
                  <a:bodyPr/>
                  <a:lstStyle/>
                  <a:p>
                    <a:fld id="{1CBBACBD-BA40-DD40-83FA-AD188C9239DD}" type="CATEGORYNAME">
                      <a:rPr lang="zh-CN" altLang="en-US"/>
                      <a:pPr/>
                      <a:t>[类别名称]</a:t>
                    </a:fld>
                    <a:r>
                      <a:rPr lang="en-US" altLang="zh-CN" baseline="0"/>
                      <a:t>, </a:t>
                    </a:r>
                    <a:fld id="{6CCD248F-40F6-504A-98DD-C35B8C2E2EBC}" type="VALUE">
                      <a:rPr lang="en-US" altLang="zh-CN" baseline="0"/>
                      <a:pPr/>
                      <a:t>[值]</a:t>
                    </a:fld>
                    <a:r>
                      <a:rPr lang="zh-CN" altLang="en-US" baseline="0"/>
                      <a:t>亿</a:t>
                    </a:r>
                    <a:r>
                      <a:rPr lang="en-US" altLang="zh-CN" baseline="0"/>
                      <a:t>, </a:t>
                    </a:r>
                    <a:fld id="{89E8D0C5-C923-244C-B489-C191CD6CE2CE}"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D-78B7-854E-8D2E-2BD83791B9E8}"/>
                </c:ext>
              </c:extLst>
            </c:dLbl>
            <c:dLbl>
              <c:idx val="15"/>
              <c:tx>
                <c:rich>
                  <a:bodyPr/>
                  <a:lstStyle/>
                  <a:p>
                    <a:fld id="{A24A0B6B-4ED3-E14B-89BD-0535DCA4E3F5}" type="CATEGORYNAME">
                      <a:rPr lang="zh-CN" altLang="en-US"/>
                      <a:pPr/>
                      <a:t>[类别名称]</a:t>
                    </a:fld>
                    <a:r>
                      <a:rPr lang="en-US" altLang="zh-CN" baseline="0"/>
                      <a:t>, </a:t>
                    </a:r>
                    <a:fld id="{09EB3D7D-E296-4E43-BEDB-8A7A9A1E30CE}" type="VALUE">
                      <a:rPr lang="en-US" altLang="zh-CN" baseline="0"/>
                      <a:pPr/>
                      <a:t>[值]</a:t>
                    </a:fld>
                    <a:r>
                      <a:rPr lang="zh-CN" altLang="en-US" baseline="0"/>
                      <a:t>亿</a:t>
                    </a:r>
                    <a:r>
                      <a:rPr lang="en-US" altLang="zh-CN" baseline="0"/>
                      <a:t>, </a:t>
                    </a:r>
                    <a:fld id="{E8D6A83E-DB2C-A745-86FA-8B212A2EDD96}"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F-78B7-854E-8D2E-2BD83791B9E8}"/>
                </c:ext>
              </c:extLst>
            </c:dLbl>
            <c:dLbl>
              <c:idx val="16"/>
              <c:tx>
                <c:rich>
                  <a:bodyPr/>
                  <a:lstStyle/>
                  <a:p>
                    <a:fld id="{22F61675-11A2-B843-8F96-A771D4EE5D72}" type="CATEGORYNAME">
                      <a:rPr lang="zh-CN" altLang="en-US"/>
                      <a:pPr/>
                      <a:t>[类别名称]</a:t>
                    </a:fld>
                    <a:r>
                      <a:rPr lang="en-US" altLang="zh-CN" baseline="0"/>
                      <a:t>, </a:t>
                    </a:r>
                    <a:fld id="{8715A097-E5AA-E141-ABC2-8C0EBBEF72B9}" type="VALUE">
                      <a:rPr lang="en-US" altLang="zh-CN" baseline="0"/>
                      <a:pPr/>
                      <a:t>[值]</a:t>
                    </a:fld>
                    <a:r>
                      <a:rPr lang="zh-CN" altLang="en-US" baseline="0"/>
                      <a:t>亿</a:t>
                    </a:r>
                    <a:r>
                      <a:rPr lang="en-US" altLang="zh-CN" baseline="0"/>
                      <a:t>, </a:t>
                    </a:r>
                    <a:fld id="{39128A11-048D-1F4A-AA3C-C14370BB754F}"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1-78B7-854E-8D2E-2BD83791B9E8}"/>
                </c:ext>
              </c:extLst>
            </c:dLbl>
            <c:dLbl>
              <c:idx val="17"/>
              <c:tx>
                <c:rich>
                  <a:bodyPr/>
                  <a:lstStyle/>
                  <a:p>
                    <a:fld id="{C3FE61DD-4618-6847-8209-84F1B8415B3D}" type="CATEGORYNAME">
                      <a:rPr lang="zh-CN" altLang="en-US"/>
                      <a:pPr/>
                      <a:t>[类别名称]</a:t>
                    </a:fld>
                    <a:r>
                      <a:rPr lang="en-US" altLang="zh-CN" baseline="0"/>
                      <a:t>, </a:t>
                    </a:r>
                    <a:fld id="{27232705-FC2B-C649-9B86-505AE363E3A1}" type="VALUE">
                      <a:rPr lang="en-US" altLang="zh-CN" baseline="0"/>
                      <a:pPr/>
                      <a:t>[值]</a:t>
                    </a:fld>
                    <a:r>
                      <a:rPr lang="zh-CN" altLang="en-US" baseline="0"/>
                      <a:t>亿</a:t>
                    </a:r>
                    <a:r>
                      <a:rPr lang="en-US" altLang="zh-CN" baseline="0"/>
                      <a:t>, </a:t>
                    </a:r>
                    <a:fld id="{5ED03388-BF53-7B4D-8676-1A773887E822}"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3-78B7-854E-8D2E-2BD83791B9E8}"/>
                </c:ext>
              </c:extLst>
            </c:dLbl>
            <c:dLbl>
              <c:idx val="18"/>
              <c:tx>
                <c:rich>
                  <a:bodyPr/>
                  <a:lstStyle/>
                  <a:p>
                    <a:fld id="{F23F3741-6F92-DB43-8289-40CEFDFFF792}" type="CATEGORYNAME">
                      <a:rPr lang="zh-CN" altLang="en-US"/>
                      <a:pPr/>
                      <a:t>[类别名称]</a:t>
                    </a:fld>
                    <a:r>
                      <a:rPr lang="en-US" altLang="zh-CN" baseline="0"/>
                      <a:t>, </a:t>
                    </a:r>
                    <a:fld id="{93C6BC2B-4071-484D-9D23-2C4010783A93}" type="VALUE">
                      <a:rPr lang="en-US" altLang="zh-CN" baseline="0"/>
                      <a:pPr/>
                      <a:t>[值]</a:t>
                    </a:fld>
                    <a:r>
                      <a:rPr lang="zh-CN" altLang="en-US" baseline="0"/>
                      <a:t>亿</a:t>
                    </a:r>
                    <a:r>
                      <a:rPr lang="en-US" altLang="zh-CN" baseline="0"/>
                      <a:t>, </a:t>
                    </a:r>
                    <a:fld id="{E4B136BC-85B9-3D44-9BA9-9B9B28C85149}"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5-78B7-854E-8D2E-2BD83791B9E8}"/>
                </c:ext>
              </c:extLst>
            </c:dLbl>
            <c:dLbl>
              <c:idx val="19"/>
              <c:tx>
                <c:rich>
                  <a:bodyPr/>
                  <a:lstStyle/>
                  <a:p>
                    <a:fld id="{2F6F55FF-69AA-E94A-8BF4-3A33CC42A305}" type="CATEGORYNAME">
                      <a:rPr lang="zh-CN" altLang="en-US"/>
                      <a:pPr/>
                      <a:t>[类别名称]</a:t>
                    </a:fld>
                    <a:r>
                      <a:rPr lang="en-US" altLang="zh-CN" baseline="0"/>
                      <a:t>, </a:t>
                    </a:r>
                    <a:fld id="{1B15ACD1-C84F-2C4D-9E41-93BB2EE4ED42}" type="VALUE">
                      <a:rPr lang="en-US" altLang="zh-CN" baseline="0"/>
                      <a:pPr/>
                      <a:t>[值]</a:t>
                    </a:fld>
                    <a:r>
                      <a:rPr lang="zh-CN" altLang="en-US" baseline="0"/>
                      <a:t>亿</a:t>
                    </a:r>
                    <a:r>
                      <a:rPr lang="en-US" altLang="zh-CN" baseline="0"/>
                      <a:t>, </a:t>
                    </a:r>
                    <a:fld id="{A983EE1D-3212-D44B-BF06-A46A84981EC5}"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7-78B7-854E-8D2E-2BD83791B9E8}"/>
                </c:ext>
              </c:extLst>
            </c:dLbl>
            <c:dLbl>
              <c:idx val="20"/>
              <c:tx>
                <c:rich>
                  <a:bodyPr/>
                  <a:lstStyle/>
                  <a:p>
                    <a:fld id="{850ABCA2-1848-D544-9A44-F7FEFAB83F57}" type="CATEGORYNAME">
                      <a:rPr lang="zh-CN" altLang="en-US"/>
                      <a:pPr/>
                      <a:t>[类别名称]</a:t>
                    </a:fld>
                    <a:r>
                      <a:rPr lang="en-US" altLang="zh-CN" baseline="0"/>
                      <a:t>, </a:t>
                    </a:r>
                    <a:fld id="{EC62B068-8819-7846-86F8-DD47673940E3}" type="VALUE">
                      <a:rPr lang="en-US" altLang="zh-CN" baseline="0"/>
                      <a:pPr/>
                      <a:t>[值]</a:t>
                    </a:fld>
                    <a:r>
                      <a:rPr lang="zh-CN" altLang="en-US" baseline="0"/>
                      <a:t>亿</a:t>
                    </a:r>
                    <a:r>
                      <a:rPr lang="en-US" altLang="zh-CN" baseline="0"/>
                      <a:t>, </a:t>
                    </a:r>
                    <a:fld id="{6F7E330F-BA41-F144-B7F4-74684F98A42A}"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9-78B7-854E-8D2E-2BD83791B9E8}"/>
                </c:ext>
              </c:extLst>
            </c:dLbl>
            <c:dLbl>
              <c:idx val="21"/>
              <c:tx>
                <c:rich>
                  <a:bodyPr/>
                  <a:lstStyle/>
                  <a:p>
                    <a:fld id="{2CF0A637-A79A-A648-B89F-654D3651EB51}" type="CATEGORYNAME">
                      <a:rPr lang="zh-CN" altLang="en-US"/>
                      <a:pPr/>
                      <a:t>[类别名称]</a:t>
                    </a:fld>
                    <a:r>
                      <a:rPr lang="en-US" altLang="zh-CN" baseline="0"/>
                      <a:t>, </a:t>
                    </a:r>
                    <a:fld id="{9442F02C-CF93-6049-9268-8E5CDA7C29BC}" type="VALUE">
                      <a:rPr lang="en-US" altLang="zh-CN" baseline="0"/>
                      <a:pPr/>
                      <a:t>[值]</a:t>
                    </a:fld>
                    <a:r>
                      <a:rPr lang="zh-CN" altLang="en-US" baseline="0"/>
                      <a:t>亿</a:t>
                    </a:r>
                    <a:r>
                      <a:rPr lang="en-US" altLang="zh-CN" baseline="0"/>
                      <a:t>, </a:t>
                    </a:r>
                    <a:fld id="{CCB87515-8F0A-944B-9801-7E3D32B4A4CD}"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B-78B7-854E-8D2E-2BD83791B9E8}"/>
                </c:ext>
              </c:extLst>
            </c:dLbl>
            <c:dLbl>
              <c:idx val="22"/>
              <c:tx>
                <c:rich>
                  <a:bodyPr/>
                  <a:lstStyle/>
                  <a:p>
                    <a:fld id="{EE5FE818-4A9C-3B44-A7F6-6D0AD53346EA}" type="CATEGORYNAME">
                      <a:rPr lang="zh-CN" altLang="en-US"/>
                      <a:pPr/>
                      <a:t>[类别名称]</a:t>
                    </a:fld>
                    <a:r>
                      <a:rPr lang="en-US" altLang="zh-CN" baseline="0"/>
                      <a:t>, </a:t>
                    </a:r>
                    <a:fld id="{F18C46E5-09C6-474A-A9A7-3D6E1612A0E6}" type="VALUE">
                      <a:rPr lang="en-US" altLang="zh-CN" baseline="0"/>
                      <a:pPr/>
                      <a:t>[值]</a:t>
                    </a:fld>
                    <a:r>
                      <a:rPr lang="zh-CN" altLang="en-US" baseline="0"/>
                      <a:t>亿</a:t>
                    </a:r>
                    <a:r>
                      <a:rPr lang="en-US" altLang="zh-CN" baseline="0"/>
                      <a:t>, </a:t>
                    </a:r>
                    <a:fld id="{F4402CD4-F010-1D4D-8D02-E5AAF3022422}"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D-78B7-854E-8D2E-2BD83791B9E8}"/>
                </c:ext>
              </c:extLst>
            </c:dLbl>
            <c:dLbl>
              <c:idx val="23"/>
              <c:tx>
                <c:rich>
                  <a:bodyPr/>
                  <a:lstStyle/>
                  <a:p>
                    <a:fld id="{B2F8F65C-CCD0-BB4F-A2F9-8E0DA8C7E48C}" type="CATEGORYNAME">
                      <a:rPr lang="zh-CN" altLang="en-US"/>
                      <a:pPr/>
                      <a:t>[类别名称]</a:t>
                    </a:fld>
                    <a:r>
                      <a:rPr lang="en-US" altLang="zh-CN" baseline="0"/>
                      <a:t>, </a:t>
                    </a:r>
                    <a:fld id="{76E965E8-1EC9-FA4D-AAFD-04319DC0B5D7}" type="VALUE">
                      <a:rPr lang="en-US" altLang="zh-CN" baseline="0"/>
                      <a:pPr/>
                      <a:t>[值]</a:t>
                    </a:fld>
                    <a:r>
                      <a:rPr lang="zh-CN" altLang="en-US" baseline="0"/>
                      <a:t>亿</a:t>
                    </a:r>
                    <a:r>
                      <a:rPr lang="en-US" altLang="zh-CN" baseline="0"/>
                      <a:t>, </a:t>
                    </a:r>
                    <a:fld id="{8DEBD3DF-95D1-2A4A-B422-BD87ADEC9F53}" type="PERCENTAGE">
                      <a:rPr lang="en-US" altLang="zh-CN" baseline="0"/>
                      <a:pPr/>
                      <a:t>[百分比]</a:t>
                    </a:fld>
                    <a:endParaRPr lang="en-US" altLang="zh-CN" baseline="0"/>
                  </a:p>
                </c:rich>
              </c:tx>
              <c:showLegendKey val="1"/>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F-78B7-854E-8D2E-2BD83791B9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1"/>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总市值!$A$1:$A$25</c:f>
              <c:strCache>
                <c:ptCount val="24"/>
                <c:pt idx="11">
                  <c:v>博时基金管理有限公司</c:v>
                </c:pt>
                <c:pt idx="12">
                  <c:v>工银瑞信基金管理有限公司</c:v>
                </c:pt>
                <c:pt idx="13">
                  <c:v>华泰柏瑞基金管理有限公司</c:v>
                </c:pt>
                <c:pt idx="14">
                  <c:v>国泰基金管理有限公司</c:v>
                </c:pt>
                <c:pt idx="15">
                  <c:v>汇添富基金管理股份有限公司</c:v>
                </c:pt>
                <c:pt idx="16">
                  <c:v>广发基金管理有限公司</c:v>
                </c:pt>
                <c:pt idx="17">
                  <c:v>华安基金管理有限公司</c:v>
                </c:pt>
                <c:pt idx="18">
                  <c:v>富国基金管理有限公司</c:v>
                </c:pt>
                <c:pt idx="19">
                  <c:v>南方基金管理股份有限公司</c:v>
                </c:pt>
                <c:pt idx="20">
                  <c:v>嘉实基金管理有限公司</c:v>
                </c:pt>
                <c:pt idx="21">
                  <c:v>易方达基金管理有限公司</c:v>
                </c:pt>
                <c:pt idx="22">
                  <c:v>华夏基金管理有限公司</c:v>
                </c:pt>
                <c:pt idx="23">
                  <c:v>其他基金管理公司</c:v>
                </c:pt>
              </c:strCache>
            </c:strRef>
          </c:cat>
          <c:val>
            <c:numRef>
              <c:f>总市值!$C$1:$C$25</c:f>
              <c:numCache>
                <c:formatCode>General</c:formatCode>
                <c:ptCount val="25"/>
                <c:pt idx="11" formatCode="0.00_ ">
                  <c:v>501.54999999999984</c:v>
                </c:pt>
                <c:pt idx="12" formatCode="0.00_ ">
                  <c:v>502.7999999999999</c:v>
                </c:pt>
                <c:pt idx="13" formatCode="0.00_ ">
                  <c:v>510.51</c:v>
                </c:pt>
                <c:pt idx="14" formatCode="0.00_ ">
                  <c:v>535.88</c:v>
                </c:pt>
                <c:pt idx="15" formatCode="0.00_ ">
                  <c:v>612.40999999999985</c:v>
                </c:pt>
                <c:pt idx="16" formatCode="0.00_ ">
                  <c:v>732.10999999999945</c:v>
                </c:pt>
                <c:pt idx="17" formatCode="0.00_ ">
                  <c:v>747.52999999999986</c:v>
                </c:pt>
                <c:pt idx="18" formatCode="0.00_ ">
                  <c:v>801.22000000000014</c:v>
                </c:pt>
                <c:pt idx="19" formatCode="0.00_ ">
                  <c:v>964.28</c:v>
                </c:pt>
                <c:pt idx="20" formatCode="0.00_ ">
                  <c:v>1221.3399999999999</c:v>
                </c:pt>
                <c:pt idx="21" formatCode="0.00_ ">
                  <c:v>1519.11</c:v>
                </c:pt>
                <c:pt idx="22" formatCode="0.00_ ">
                  <c:v>1800.7599999999991</c:v>
                </c:pt>
                <c:pt idx="23" formatCode="0.00_ ">
                  <c:v>4178.3700000000026</c:v>
                </c:pt>
              </c:numCache>
            </c:numRef>
          </c:val>
          <c:extLst>
            <c:ext xmlns:c16="http://schemas.microsoft.com/office/drawing/2014/chart" uri="{C3380CC4-5D6E-409C-BE32-E72D297353CC}">
              <c16:uniqueId val="{00000032-78B7-854E-8D2E-2BD83791B9E8}"/>
            </c:ext>
          </c:extLst>
        </c:ser>
        <c:dLbls>
          <c:showLegendKey val="0"/>
          <c:showVal val="0"/>
          <c:showCatName val="0"/>
          <c:showSerName val="0"/>
          <c:showPercent val="0"/>
          <c:showBubbleSize val="0"/>
          <c:showLeaderLines val="1"/>
        </c:dLbls>
        <c:firstSliceAng val="0"/>
      </c:pieChart>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历年基成立数量与现今规模</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manualLayout>
          <c:layoutTarget val="inner"/>
          <c:xMode val="edge"/>
          <c:yMode val="edge"/>
          <c:x val="0.11112470982392675"/>
          <c:y val="0.14926471804846481"/>
          <c:w val="0.82505713264521441"/>
          <c:h val="0.66191333251216589"/>
        </c:manualLayout>
      </c:layout>
      <c:barChart>
        <c:barDir val="col"/>
        <c:grouping val="clustered"/>
        <c:varyColors val="0"/>
        <c:ser>
          <c:idx val="0"/>
          <c:order val="0"/>
          <c:tx>
            <c:v>历年成立基金数量</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Sheet4!$I$1:$I$19</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Sheet4!$J$1:$J$19</c:f>
              <c:numCache>
                <c:formatCode>General</c:formatCode>
                <c:ptCount val="19"/>
                <c:pt idx="0">
                  <c:v>1</c:v>
                </c:pt>
                <c:pt idx="1">
                  <c:v>4</c:v>
                </c:pt>
                <c:pt idx="2">
                  <c:v>6</c:v>
                </c:pt>
                <c:pt idx="3">
                  <c:v>2</c:v>
                </c:pt>
                <c:pt idx="4">
                  <c:v>8</c:v>
                </c:pt>
                <c:pt idx="5">
                  <c:v>3</c:v>
                </c:pt>
                <c:pt idx="6">
                  <c:v>4</c:v>
                </c:pt>
                <c:pt idx="7">
                  <c:v>31</c:v>
                </c:pt>
                <c:pt idx="8">
                  <c:v>51</c:v>
                </c:pt>
                <c:pt idx="9">
                  <c:v>57</c:v>
                </c:pt>
                <c:pt idx="10">
                  <c:v>55</c:v>
                </c:pt>
                <c:pt idx="11">
                  <c:v>52</c:v>
                </c:pt>
                <c:pt idx="12">
                  <c:v>84</c:v>
                </c:pt>
                <c:pt idx="13">
                  <c:v>247</c:v>
                </c:pt>
                <c:pt idx="14">
                  <c:v>125</c:v>
                </c:pt>
                <c:pt idx="15">
                  <c:v>201</c:v>
                </c:pt>
                <c:pt idx="16">
                  <c:v>248</c:v>
                </c:pt>
                <c:pt idx="17">
                  <c:v>372</c:v>
                </c:pt>
                <c:pt idx="18">
                  <c:v>74</c:v>
                </c:pt>
              </c:numCache>
            </c:numRef>
          </c:val>
          <c:extLst>
            <c:ext xmlns:c16="http://schemas.microsoft.com/office/drawing/2014/chart" uri="{C3380CC4-5D6E-409C-BE32-E72D297353CC}">
              <c16:uniqueId val="{00000000-3B13-D24E-8B60-85441E47329F}"/>
            </c:ext>
          </c:extLst>
        </c:ser>
        <c:dLbls>
          <c:showLegendKey val="0"/>
          <c:showVal val="0"/>
          <c:showCatName val="0"/>
          <c:showSerName val="0"/>
          <c:showPercent val="0"/>
          <c:showBubbleSize val="0"/>
        </c:dLbls>
        <c:gapWidth val="247"/>
        <c:axId val="654237104"/>
        <c:axId val="644890208"/>
      </c:barChart>
      <c:lineChart>
        <c:grouping val="standard"/>
        <c:varyColors val="0"/>
        <c:ser>
          <c:idx val="1"/>
          <c:order val="1"/>
          <c:tx>
            <c:v>历年基金规模</c:v>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6"/>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Sheet4!$I$1:$I$19</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Sheet4!$K$1:$K$19</c:f>
              <c:numCache>
                <c:formatCode>General</c:formatCode>
                <c:ptCount val="19"/>
                <c:pt idx="0">
                  <c:v>26.77</c:v>
                </c:pt>
                <c:pt idx="1">
                  <c:v>131.61000000000001</c:v>
                </c:pt>
                <c:pt idx="2">
                  <c:v>704.64</c:v>
                </c:pt>
                <c:pt idx="3">
                  <c:v>200.12</c:v>
                </c:pt>
                <c:pt idx="4">
                  <c:v>380.29</c:v>
                </c:pt>
                <c:pt idx="5">
                  <c:v>98.53</c:v>
                </c:pt>
                <c:pt idx="6">
                  <c:v>72.41</c:v>
                </c:pt>
                <c:pt idx="7">
                  <c:v>638.49</c:v>
                </c:pt>
                <c:pt idx="8">
                  <c:v>535.73</c:v>
                </c:pt>
                <c:pt idx="9">
                  <c:v>499.31</c:v>
                </c:pt>
                <c:pt idx="10">
                  <c:v>1364.52</c:v>
                </c:pt>
                <c:pt idx="11">
                  <c:v>1023.01</c:v>
                </c:pt>
                <c:pt idx="12">
                  <c:v>1054.01</c:v>
                </c:pt>
                <c:pt idx="13">
                  <c:v>2170.75</c:v>
                </c:pt>
                <c:pt idx="14">
                  <c:v>842.41</c:v>
                </c:pt>
                <c:pt idx="15">
                  <c:v>692.25599999999997</c:v>
                </c:pt>
                <c:pt idx="16">
                  <c:v>856.76</c:v>
                </c:pt>
                <c:pt idx="17">
                  <c:v>2124.62</c:v>
                </c:pt>
                <c:pt idx="18">
                  <c:v>860.65</c:v>
                </c:pt>
              </c:numCache>
            </c:numRef>
          </c:val>
          <c:smooth val="0"/>
          <c:extLst>
            <c:ext xmlns:c16="http://schemas.microsoft.com/office/drawing/2014/chart" uri="{C3380CC4-5D6E-409C-BE32-E72D297353CC}">
              <c16:uniqueId val="{00000001-3B13-D24E-8B60-85441E47329F}"/>
            </c:ext>
          </c:extLst>
        </c:ser>
        <c:dLbls>
          <c:showLegendKey val="0"/>
          <c:showVal val="0"/>
          <c:showCatName val="0"/>
          <c:showSerName val="0"/>
          <c:showPercent val="0"/>
          <c:showBubbleSize val="0"/>
        </c:dLbls>
        <c:marker val="1"/>
        <c:smooth val="0"/>
        <c:axId val="679975600"/>
        <c:axId val="679977280"/>
      </c:lineChart>
      <c:catAx>
        <c:axId val="6799756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79977280"/>
        <c:crosses val="autoZero"/>
        <c:auto val="1"/>
        <c:lblAlgn val="ctr"/>
        <c:lblOffset val="100"/>
        <c:noMultiLvlLbl val="0"/>
      </c:catAx>
      <c:valAx>
        <c:axId val="679977280"/>
        <c:scaling>
          <c:orientation val="minMax"/>
        </c:scaling>
        <c:delete val="0"/>
        <c:axPos val="l"/>
        <c:majorGridlines>
          <c:spPr>
            <a:ln w="9525" cap="flat" cmpd="sng" algn="ctr">
              <a:noFill/>
              <a:round/>
            </a:ln>
            <a:effectLst/>
          </c:spPr>
        </c:majorGridlines>
        <c:numFmt formatCode="#,##0.00_);[Red]\(#,##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79975600"/>
        <c:crosses val="autoZero"/>
        <c:crossBetween val="between"/>
      </c:valAx>
      <c:valAx>
        <c:axId val="644890208"/>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654237104"/>
        <c:crosses val="max"/>
        <c:crossBetween val="between"/>
      </c:valAx>
      <c:catAx>
        <c:axId val="654237104"/>
        <c:scaling>
          <c:orientation val="minMax"/>
        </c:scaling>
        <c:delete val="1"/>
        <c:axPos val="b"/>
        <c:numFmt formatCode="General" sourceLinked="1"/>
        <c:majorTickMark val="none"/>
        <c:minorTickMark val="none"/>
        <c:tickLblPos val="nextTo"/>
        <c:crossAx val="644890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净值排名前二十的股票型基金</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Sheet4!$I$61:$I$80</c:f>
              <c:strCache>
                <c:ptCount val="20"/>
                <c:pt idx="0">
                  <c:v>兴全全球视野股票</c:v>
                </c:pt>
                <c:pt idx="1">
                  <c:v>易方达深证100ETF</c:v>
                </c:pt>
                <c:pt idx="2">
                  <c:v>长城久泰沪深300指数A</c:v>
                </c:pt>
                <c:pt idx="3">
                  <c:v>华安中国A股增强指数</c:v>
                </c:pt>
                <c:pt idx="4">
                  <c:v>华夏上证50ETF</c:v>
                </c:pt>
                <c:pt idx="5">
                  <c:v>国泰纳斯达克100指数(QDII)</c:v>
                </c:pt>
                <c:pt idx="6">
                  <c:v>大成产业</c:v>
                </c:pt>
                <c:pt idx="7">
                  <c:v>易方达上证50指数A</c:v>
                </c:pt>
                <c:pt idx="8">
                  <c:v>汇丰晋信大盘股票A</c:v>
                </c:pt>
                <c:pt idx="9">
                  <c:v>华安上证180ETF</c:v>
                </c:pt>
                <c:pt idx="10">
                  <c:v>博时沪深300指数A</c:v>
                </c:pt>
                <c:pt idx="11">
                  <c:v>华夏中小板ETF</c:v>
                </c:pt>
                <c:pt idx="12">
                  <c:v>光大保德信量化股票</c:v>
                </c:pt>
                <c:pt idx="13">
                  <c:v>万家180指数</c:v>
                </c:pt>
                <c:pt idx="14">
                  <c:v>嘉实新兴产业股票</c:v>
                </c:pt>
                <c:pt idx="15">
                  <c:v>申万菱信沪深300指数增强A</c:v>
                </c:pt>
                <c:pt idx="16">
                  <c:v>南方天元(LOF)</c:v>
                </c:pt>
                <c:pt idx="17">
                  <c:v>银华-道琼斯88指数</c:v>
                </c:pt>
                <c:pt idx="18">
                  <c:v>嘉实沪深300ETF联接(LOF)A</c:v>
                </c:pt>
                <c:pt idx="19">
                  <c:v>安信价值精选股票</c:v>
                </c:pt>
              </c:strCache>
            </c:strRef>
          </c:cat>
          <c:val>
            <c:numRef>
              <c:f>Sheet4!$K$61:$K$80</c:f>
              <c:numCache>
                <c:formatCode>General</c:formatCode>
                <c:ptCount val="20"/>
                <c:pt idx="0">
                  <c:v>4.7754000000000003</c:v>
                </c:pt>
                <c:pt idx="1">
                  <c:v>4.74</c:v>
                </c:pt>
                <c:pt idx="2">
                  <c:v>4.5708000000000002</c:v>
                </c:pt>
                <c:pt idx="3">
                  <c:v>3.7210000000000001</c:v>
                </c:pt>
                <c:pt idx="4">
                  <c:v>3.617</c:v>
                </c:pt>
                <c:pt idx="5">
                  <c:v>3.5619999999999998</c:v>
                </c:pt>
                <c:pt idx="6">
                  <c:v>3.5270000000000001</c:v>
                </c:pt>
                <c:pt idx="7">
                  <c:v>3.4979</c:v>
                </c:pt>
                <c:pt idx="8">
                  <c:v>3.4535</c:v>
                </c:pt>
                <c:pt idx="9">
                  <c:v>3.3801999999999999</c:v>
                </c:pt>
                <c:pt idx="10">
                  <c:v>3.3784999999999998</c:v>
                </c:pt>
                <c:pt idx="11">
                  <c:v>3.3460000000000001</c:v>
                </c:pt>
                <c:pt idx="12">
                  <c:v>3.2603</c:v>
                </c:pt>
                <c:pt idx="13">
                  <c:v>3.2086000000000001</c:v>
                </c:pt>
                <c:pt idx="14">
                  <c:v>3.1930000000000001</c:v>
                </c:pt>
                <c:pt idx="15">
                  <c:v>3.1901000000000002</c:v>
                </c:pt>
                <c:pt idx="16">
                  <c:v>3.1619999999999999</c:v>
                </c:pt>
                <c:pt idx="17">
                  <c:v>2.9676999999999998</c:v>
                </c:pt>
                <c:pt idx="18">
                  <c:v>2.9348000000000001</c:v>
                </c:pt>
                <c:pt idx="19">
                  <c:v>2.879</c:v>
                </c:pt>
              </c:numCache>
            </c:numRef>
          </c:val>
          <c:extLst>
            <c:ext xmlns:c16="http://schemas.microsoft.com/office/drawing/2014/chart" uri="{C3380CC4-5D6E-409C-BE32-E72D297353CC}">
              <c16:uniqueId val="{00000000-3B9F-FA44-8A18-9A767B080DB7}"/>
            </c:ext>
          </c:extLst>
        </c:ser>
        <c:dLbls>
          <c:showLegendKey val="0"/>
          <c:showVal val="0"/>
          <c:showCatName val="0"/>
          <c:showSerName val="0"/>
          <c:showPercent val="0"/>
          <c:showBubbleSize val="0"/>
        </c:dLbls>
        <c:gapWidth val="182"/>
        <c:axId val="691392224"/>
        <c:axId val="694993408"/>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Sheet4!$I$61:$I$80</c15:sqref>
                        </c15:formulaRef>
                      </c:ext>
                    </c:extLst>
                    <c:strCache>
                      <c:ptCount val="20"/>
                      <c:pt idx="0">
                        <c:v>兴全全球视野股票</c:v>
                      </c:pt>
                      <c:pt idx="1">
                        <c:v>易方达深证100ETF</c:v>
                      </c:pt>
                      <c:pt idx="2">
                        <c:v>长城久泰沪深300指数A</c:v>
                      </c:pt>
                      <c:pt idx="3">
                        <c:v>华安中国A股增强指数</c:v>
                      </c:pt>
                      <c:pt idx="4">
                        <c:v>华夏上证50ETF</c:v>
                      </c:pt>
                      <c:pt idx="5">
                        <c:v>国泰纳斯达克100指数(QDII)</c:v>
                      </c:pt>
                      <c:pt idx="6">
                        <c:v>大成产业</c:v>
                      </c:pt>
                      <c:pt idx="7">
                        <c:v>易方达上证50指数A</c:v>
                      </c:pt>
                      <c:pt idx="8">
                        <c:v>汇丰晋信大盘股票A</c:v>
                      </c:pt>
                      <c:pt idx="9">
                        <c:v>华安上证180ETF</c:v>
                      </c:pt>
                      <c:pt idx="10">
                        <c:v>博时沪深300指数A</c:v>
                      </c:pt>
                      <c:pt idx="11">
                        <c:v>华夏中小板ETF</c:v>
                      </c:pt>
                      <c:pt idx="12">
                        <c:v>光大保德信量化股票</c:v>
                      </c:pt>
                      <c:pt idx="13">
                        <c:v>万家180指数</c:v>
                      </c:pt>
                      <c:pt idx="14">
                        <c:v>嘉实新兴产业股票</c:v>
                      </c:pt>
                      <c:pt idx="15">
                        <c:v>申万菱信沪深300指数增强A</c:v>
                      </c:pt>
                      <c:pt idx="16">
                        <c:v>南方天元(LOF)</c:v>
                      </c:pt>
                      <c:pt idx="17">
                        <c:v>银华-道琼斯88指数</c:v>
                      </c:pt>
                      <c:pt idx="18">
                        <c:v>嘉实沪深300ETF联接(LOF)A</c:v>
                      </c:pt>
                      <c:pt idx="19">
                        <c:v>安信价值精选股票</c:v>
                      </c:pt>
                    </c:strCache>
                  </c:strRef>
                </c:cat>
                <c:val>
                  <c:numRef>
                    <c:extLst>
                      <c:ext uri="{02D57815-91ED-43cb-92C2-25804820EDAC}">
                        <c15:formulaRef>
                          <c15:sqref>Sheet4!$J$61:$J$80</c15:sqref>
                        </c15:formulaRef>
                      </c:ext>
                    </c:extLst>
                    <c:numCache>
                      <c:formatCode>General</c:formatCode>
                      <c:ptCount val="20"/>
                    </c:numCache>
                  </c:numRef>
                </c:val>
                <c:extLst>
                  <c:ext xmlns:c16="http://schemas.microsoft.com/office/drawing/2014/chart" uri="{C3380CC4-5D6E-409C-BE32-E72D297353CC}">
                    <c16:uniqueId val="{00000001-3B9F-FA44-8A18-9A767B080DB7}"/>
                  </c:ext>
                </c:extLst>
              </c15:ser>
            </c15:filteredBarSeries>
          </c:ext>
        </c:extLst>
      </c:barChart>
      <c:catAx>
        <c:axId val="6913922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993408"/>
        <c:crosses val="autoZero"/>
        <c:auto val="1"/>
        <c:lblAlgn val="ctr"/>
        <c:lblOffset val="100"/>
        <c:noMultiLvlLbl val="0"/>
      </c:catAx>
      <c:valAx>
        <c:axId val="694993408"/>
        <c:scaling>
          <c:orientation val="minMax"/>
        </c:scaling>
        <c:delete val="0"/>
        <c:axPos val="t"/>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139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资产规模前二十的股票型基金</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资产规模/亿</c:v>
          </c:tx>
          <c:spPr>
            <a:solidFill>
              <a:srgbClr val="FF0000"/>
            </a:solidFill>
            <a:ln>
              <a:noFill/>
            </a:ln>
            <a:effectLst/>
          </c:spPr>
          <c:invertIfNegative val="0"/>
          <c:cat>
            <c:strRef>
              <c:f>Sheet4!$J$29:$J$47</c:f>
              <c:strCache>
                <c:ptCount val="19"/>
                <c:pt idx="0">
                  <c:v>华夏上证50ETF</c:v>
                </c:pt>
                <c:pt idx="1">
                  <c:v>南方中证500ETF</c:v>
                </c:pt>
                <c:pt idx="2">
                  <c:v>华泰柏瑞沪深300ETF</c:v>
                </c:pt>
                <c:pt idx="3">
                  <c:v>华夏沪深300ETF</c:v>
                </c:pt>
                <c:pt idx="4">
                  <c:v>嘉实沪深300ETF</c:v>
                </c:pt>
                <c:pt idx="5">
                  <c:v>易方达消费行业股票</c:v>
                </c:pt>
                <c:pt idx="6">
                  <c:v>华安上证180ETF</c:v>
                </c:pt>
                <c:pt idx="7">
                  <c:v>嘉实沪深300ETF联接(LOF)A</c:v>
                </c:pt>
                <c:pt idx="8">
                  <c:v>易方达上证50指数A</c:v>
                </c:pt>
                <c:pt idx="9">
                  <c:v>易方达创业板ETF</c:v>
                </c:pt>
                <c:pt idx="10">
                  <c:v>易方达研究精选股票</c:v>
                </c:pt>
                <c:pt idx="11">
                  <c:v>华夏沪深300ETF联接A</c:v>
                </c:pt>
                <c:pt idx="12">
                  <c:v>博时央企创新驱动ETF</c:v>
                </c:pt>
                <c:pt idx="13">
                  <c:v>证券ETF</c:v>
                </c:pt>
                <c:pt idx="14">
                  <c:v>博时央企结构调整ETF</c:v>
                </c:pt>
                <c:pt idx="15">
                  <c:v>华夏中证央企ETF</c:v>
                </c:pt>
                <c:pt idx="16">
                  <c:v>中欧时代先锋股票A</c:v>
                </c:pt>
                <c:pt idx="17">
                  <c:v>嘉实央企创新驱动ETF</c:v>
                </c:pt>
                <c:pt idx="18">
                  <c:v>中证上海国企ETF</c:v>
                </c:pt>
              </c:strCache>
            </c:strRef>
          </c:cat>
          <c:val>
            <c:numRef>
              <c:f>Sheet4!$K$29:$K$47</c:f>
              <c:numCache>
                <c:formatCode>General</c:formatCode>
                <c:ptCount val="19"/>
                <c:pt idx="0">
                  <c:v>461.91</c:v>
                </c:pt>
                <c:pt idx="1">
                  <c:v>445.4</c:v>
                </c:pt>
                <c:pt idx="2">
                  <c:v>403.2</c:v>
                </c:pt>
                <c:pt idx="3">
                  <c:v>311.39999999999998</c:v>
                </c:pt>
                <c:pt idx="4">
                  <c:v>271.83</c:v>
                </c:pt>
                <c:pt idx="5">
                  <c:v>205.29</c:v>
                </c:pt>
                <c:pt idx="6">
                  <c:v>199.56</c:v>
                </c:pt>
                <c:pt idx="7">
                  <c:v>188.66</c:v>
                </c:pt>
                <c:pt idx="8">
                  <c:v>171.86</c:v>
                </c:pt>
                <c:pt idx="9">
                  <c:v>167.31</c:v>
                </c:pt>
                <c:pt idx="10">
                  <c:v>165.89</c:v>
                </c:pt>
                <c:pt idx="11">
                  <c:v>161.16999999999999</c:v>
                </c:pt>
                <c:pt idx="12">
                  <c:v>157.36000000000001</c:v>
                </c:pt>
                <c:pt idx="13">
                  <c:v>139.68</c:v>
                </c:pt>
                <c:pt idx="14">
                  <c:v>138.72</c:v>
                </c:pt>
                <c:pt idx="15">
                  <c:v>131.61000000000001</c:v>
                </c:pt>
                <c:pt idx="16">
                  <c:v>126.89</c:v>
                </c:pt>
                <c:pt idx="17">
                  <c:v>123.04</c:v>
                </c:pt>
                <c:pt idx="18">
                  <c:v>120.66</c:v>
                </c:pt>
              </c:numCache>
            </c:numRef>
          </c:val>
          <c:extLst>
            <c:ext xmlns:c16="http://schemas.microsoft.com/office/drawing/2014/chart" uri="{C3380CC4-5D6E-409C-BE32-E72D297353CC}">
              <c16:uniqueId val="{00000000-F7D3-2B43-92DC-A018042EC196}"/>
            </c:ext>
          </c:extLst>
        </c:ser>
        <c:dLbls>
          <c:showLegendKey val="0"/>
          <c:showVal val="0"/>
          <c:showCatName val="0"/>
          <c:showSerName val="0"/>
          <c:showPercent val="0"/>
          <c:showBubbleSize val="0"/>
        </c:dLbls>
        <c:gapWidth val="182"/>
        <c:axId val="548794784"/>
        <c:axId val="648405696"/>
      </c:barChart>
      <c:catAx>
        <c:axId val="54879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8405696"/>
        <c:crosses val="autoZero"/>
        <c:auto val="1"/>
        <c:lblAlgn val="ctr"/>
        <c:lblOffset val="100"/>
        <c:noMultiLvlLbl val="0"/>
      </c:catAx>
      <c:valAx>
        <c:axId val="648405696"/>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solidFill>
              <a:schemeClr val="accent2"/>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8794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基金经理管理资产排名前十</a:t>
            </a:r>
            <a:r>
              <a:rPr lang="en-US" altLang="zh-CN"/>
              <a:t>/</a:t>
            </a:r>
            <a:r>
              <a:rPr lang="zh-CN" altLang="en-US"/>
              <a:t>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data_processing_2!$G$2:$G$11</c:f>
              <c:strCache>
                <c:ptCount val="10"/>
                <c:pt idx="0">
                  <c:v>余海燕</c:v>
                </c:pt>
                <c:pt idx="1">
                  <c:v>许之彦</c:v>
                </c:pt>
                <c:pt idx="2">
                  <c:v>艾小军</c:v>
                </c:pt>
                <c:pt idx="3">
                  <c:v>刘杰</c:v>
                </c:pt>
                <c:pt idx="4">
                  <c:v>刘树荣等</c:v>
                </c:pt>
                <c:pt idx="5">
                  <c:v>徐猛等</c:v>
                </c:pt>
                <c:pt idx="6">
                  <c:v>柳军</c:v>
                </c:pt>
                <c:pt idx="7">
                  <c:v>赵宗庭等</c:v>
                </c:pt>
                <c:pt idx="8">
                  <c:v>何如等</c:v>
                </c:pt>
                <c:pt idx="9">
                  <c:v>罗文杰</c:v>
                </c:pt>
              </c:strCache>
            </c:strRef>
          </c:cat>
          <c:val>
            <c:numRef>
              <c:f>data_processing_2!$H$2:$H$11</c:f>
              <c:numCache>
                <c:formatCode>General</c:formatCode>
                <c:ptCount val="10"/>
                <c:pt idx="0">
                  <c:v>244.22</c:v>
                </c:pt>
                <c:pt idx="1">
                  <c:v>282.35000000000002</c:v>
                </c:pt>
                <c:pt idx="2">
                  <c:v>315.17</c:v>
                </c:pt>
                <c:pt idx="3">
                  <c:v>340.55</c:v>
                </c:pt>
                <c:pt idx="4">
                  <c:v>430.24</c:v>
                </c:pt>
                <c:pt idx="5">
                  <c:v>461.91</c:v>
                </c:pt>
                <c:pt idx="6">
                  <c:v>475.44</c:v>
                </c:pt>
                <c:pt idx="7">
                  <c:v>489.15</c:v>
                </c:pt>
                <c:pt idx="8">
                  <c:v>545.36</c:v>
                </c:pt>
                <c:pt idx="9">
                  <c:v>606.6</c:v>
                </c:pt>
              </c:numCache>
            </c:numRef>
          </c:val>
          <c:extLst>
            <c:ext xmlns:c16="http://schemas.microsoft.com/office/drawing/2014/chart" uri="{C3380CC4-5D6E-409C-BE32-E72D297353CC}">
              <c16:uniqueId val="{00000000-B354-BC45-B01C-488A3F7B1E88}"/>
            </c:ext>
          </c:extLst>
        </c:ser>
        <c:dLbls>
          <c:showLegendKey val="0"/>
          <c:showVal val="0"/>
          <c:showCatName val="0"/>
          <c:showSerName val="0"/>
          <c:showPercent val="0"/>
          <c:showBubbleSize val="0"/>
        </c:dLbls>
        <c:gapWidth val="182"/>
        <c:axId val="1826816272"/>
        <c:axId val="1848023504"/>
      </c:barChart>
      <c:catAx>
        <c:axId val="1826816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8023504"/>
        <c:crosses val="autoZero"/>
        <c:auto val="1"/>
        <c:lblAlgn val="ctr"/>
        <c:lblOffset val="100"/>
        <c:noMultiLvlLbl val="0"/>
      </c:catAx>
      <c:valAx>
        <c:axId val="1848023504"/>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6816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基金经理管理基金数量排名前十</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data_processing_2!$K$2:$K$11</c:f>
              <c:strCache>
                <c:ptCount val="10"/>
                <c:pt idx="0">
                  <c:v>柳军</c:v>
                </c:pt>
                <c:pt idx="1">
                  <c:v>罗文杰</c:v>
                </c:pt>
                <c:pt idx="2">
                  <c:v>余海燕</c:v>
                </c:pt>
                <c:pt idx="3">
                  <c:v>徐猛</c:v>
                </c:pt>
                <c:pt idx="4">
                  <c:v>龚丽丽</c:v>
                </c:pt>
                <c:pt idx="5">
                  <c:v>罗国庆</c:v>
                </c:pt>
                <c:pt idx="6">
                  <c:v>张羽翔</c:v>
                </c:pt>
                <c:pt idx="7">
                  <c:v>刘树荣等</c:v>
                </c:pt>
                <c:pt idx="8">
                  <c:v>孙伟</c:v>
                </c:pt>
                <c:pt idx="9">
                  <c:v>刘杰</c:v>
                </c:pt>
              </c:strCache>
            </c:strRef>
          </c:cat>
          <c:val>
            <c:numRef>
              <c:f>data_processing_2!$L$2:$L$11</c:f>
              <c:numCache>
                <c:formatCode>General</c:formatCode>
                <c:ptCount val="10"/>
                <c:pt idx="0">
                  <c:v>15</c:v>
                </c:pt>
                <c:pt idx="1">
                  <c:v>16</c:v>
                </c:pt>
                <c:pt idx="2">
                  <c:v>16</c:v>
                </c:pt>
                <c:pt idx="3">
                  <c:v>16</c:v>
                </c:pt>
                <c:pt idx="4">
                  <c:v>16</c:v>
                </c:pt>
                <c:pt idx="5">
                  <c:v>17</c:v>
                </c:pt>
                <c:pt idx="6">
                  <c:v>17</c:v>
                </c:pt>
                <c:pt idx="7">
                  <c:v>20</c:v>
                </c:pt>
                <c:pt idx="8">
                  <c:v>22</c:v>
                </c:pt>
                <c:pt idx="9">
                  <c:v>30</c:v>
                </c:pt>
              </c:numCache>
            </c:numRef>
          </c:val>
          <c:extLst>
            <c:ext xmlns:c16="http://schemas.microsoft.com/office/drawing/2014/chart" uri="{C3380CC4-5D6E-409C-BE32-E72D297353CC}">
              <c16:uniqueId val="{00000000-B638-8245-A107-7260F5CD93C3}"/>
            </c:ext>
          </c:extLst>
        </c:ser>
        <c:dLbls>
          <c:showLegendKey val="0"/>
          <c:showVal val="0"/>
          <c:showCatName val="0"/>
          <c:showSerName val="0"/>
          <c:showPercent val="0"/>
          <c:showBubbleSize val="0"/>
        </c:dLbls>
        <c:gapWidth val="182"/>
        <c:axId val="1827416112"/>
        <c:axId val="1786333776"/>
      </c:barChart>
      <c:catAx>
        <c:axId val="18274161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333776"/>
        <c:crosses val="autoZero"/>
        <c:auto val="1"/>
        <c:lblAlgn val="ctr"/>
        <c:lblOffset val="100"/>
        <c:noMultiLvlLbl val="0"/>
      </c:catAx>
      <c:valAx>
        <c:axId val="1786333776"/>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27416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单股被基金持有数量以及市值</a:t>
            </a:r>
            <a:r>
              <a:rPr lang="en-US" altLang="zh-CN"/>
              <a:t>/</a:t>
            </a:r>
            <a:r>
              <a:rPr lang="zh-CN" altLang="en-US"/>
              <a:t>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单股被基金持有数量</c:v>
          </c:tx>
          <c:spPr>
            <a:solidFill>
              <a:srgbClr val="C0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data_processing!$I$3:$I$22</c:f>
              <c:strCache>
                <c:ptCount val="20"/>
                <c:pt idx="0">
                  <c:v>中国平安</c:v>
                </c:pt>
                <c:pt idx="1">
                  <c:v>贵州茅台</c:v>
                </c:pt>
                <c:pt idx="2">
                  <c:v>招商银行</c:v>
                </c:pt>
                <c:pt idx="3">
                  <c:v>恒瑞医药</c:v>
                </c:pt>
                <c:pt idx="4">
                  <c:v>兴业银行</c:v>
                </c:pt>
                <c:pt idx="5">
                  <c:v>格力电器</c:v>
                </c:pt>
                <c:pt idx="6">
                  <c:v>五粮液</c:v>
                </c:pt>
                <c:pt idx="7">
                  <c:v>美的集团</c:v>
                </c:pt>
                <c:pt idx="8">
                  <c:v>中信证券</c:v>
                </c:pt>
                <c:pt idx="9">
                  <c:v>万科A</c:v>
                </c:pt>
                <c:pt idx="10">
                  <c:v>伊利股份</c:v>
                </c:pt>
                <c:pt idx="11">
                  <c:v>立讯精密</c:v>
                </c:pt>
                <c:pt idx="12">
                  <c:v>海康威视</c:v>
                </c:pt>
                <c:pt idx="13">
                  <c:v>民生银行</c:v>
                </c:pt>
                <c:pt idx="14">
                  <c:v>浦发银行</c:v>
                </c:pt>
                <c:pt idx="15">
                  <c:v>宁德时代</c:v>
                </c:pt>
                <c:pt idx="16">
                  <c:v>交通银行</c:v>
                </c:pt>
                <c:pt idx="17">
                  <c:v>温氏股份</c:v>
                </c:pt>
                <c:pt idx="18">
                  <c:v>平安银行</c:v>
                </c:pt>
                <c:pt idx="19">
                  <c:v>工商银行</c:v>
                </c:pt>
              </c:strCache>
            </c:strRef>
          </c:cat>
          <c:val>
            <c:numRef>
              <c:f>data_processing!$J$3:$J$22</c:f>
              <c:numCache>
                <c:formatCode>General</c:formatCode>
                <c:ptCount val="20"/>
                <c:pt idx="0">
                  <c:v>354</c:v>
                </c:pt>
                <c:pt idx="1">
                  <c:v>349</c:v>
                </c:pt>
                <c:pt idx="2">
                  <c:v>311</c:v>
                </c:pt>
                <c:pt idx="3">
                  <c:v>287</c:v>
                </c:pt>
                <c:pt idx="4">
                  <c:v>263</c:v>
                </c:pt>
                <c:pt idx="5">
                  <c:v>260</c:v>
                </c:pt>
                <c:pt idx="6">
                  <c:v>255</c:v>
                </c:pt>
                <c:pt idx="7">
                  <c:v>244</c:v>
                </c:pt>
                <c:pt idx="8">
                  <c:v>236</c:v>
                </c:pt>
                <c:pt idx="9">
                  <c:v>180</c:v>
                </c:pt>
                <c:pt idx="10">
                  <c:v>159</c:v>
                </c:pt>
                <c:pt idx="11">
                  <c:v>137</c:v>
                </c:pt>
                <c:pt idx="12">
                  <c:v>118</c:v>
                </c:pt>
                <c:pt idx="13">
                  <c:v>116</c:v>
                </c:pt>
                <c:pt idx="14">
                  <c:v>114</c:v>
                </c:pt>
                <c:pt idx="15">
                  <c:v>110</c:v>
                </c:pt>
                <c:pt idx="16">
                  <c:v>103</c:v>
                </c:pt>
                <c:pt idx="17">
                  <c:v>102</c:v>
                </c:pt>
                <c:pt idx="18">
                  <c:v>98</c:v>
                </c:pt>
                <c:pt idx="19">
                  <c:v>95</c:v>
                </c:pt>
              </c:numCache>
            </c:numRef>
          </c:val>
          <c:extLst>
            <c:ext xmlns:c16="http://schemas.microsoft.com/office/drawing/2014/chart" uri="{C3380CC4-5D6E-409C-BE32-E72D297353CC}">
              <c16:uniqueId val="{00000000-9E77-894E-9CD8-D279E1AEA13D}"/>
            </c:ext>
          </c:extLst>
        </c:ser>
        <c:dLbls>
          <c:showLegendKey val="0"/>
          <c:showVal val="0"/>
          <c:showCatName val="0"/>
          <c:showSerName val="0"/>
          <c:showPercent val="0"/>
          <c:showBubbleSize val="0"/>
        </c:dLbls>
        <c:gapWidth val="150"/>
        <c:axId val="1850633248"/>
        <c:axId val="1850649856"/>
      </c:barChart>
      <c:lineChart>
        <c:grouping val="standard"/>
        <c:varyColors val="0"/>
        <c:ser>
          <c:idx val="1"/>
          <c:order val="1"/>
          <c:tx>
            <c:v>单股被基金持有市值/万</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data_processing!$I$3:$I$22</c:f>
              <c:strCache>
                <c:ptCount val="20"/>
                <c:pt idx="0">
                  <c:v>中国平安</c:v>
                </c:pt>
                <c:pt idx="1">
                  <c:v>贵州茅台</c:v>
                </c:pt>
                <c:pt idx="2">
                  <c:v>招商银行</c:v>
                </c:pt>
                <c:pt idx="3">
                  <c:v>恒瑞医药</c:v>
                </c:pt>
                <c:pt idx="4">
                  <c:v>兴业银行</c:v>
                </c:pt>
                <c:pt idx="5">
                  <c:v>格力电器</c:v>
                </c:pt>
                <c:pt idx="6">
                  <c:v>五粮液</c:v>
                </c:pt>
                <c:pt idx="7">
                  <c:v>美的集团</c:v>
                </c:pt>
                <c:pt idx="8">
                  <c:v>中信证券</c:v>
                </c:pt>
                <c:pt idx="9">
                  <c:v>万科A</c:v>
                </c:pt>
                <c:pt idx="10">
                  <c:v>伊利股份</c:v>
                </c:pt>
                <c:pt idx="11">
                  <c:v>立讯精密</c:v>
                </c:pt>
                <c:pt idx="12">
                  <c:v>海康威视</c:v>
                </c:pt>
                <c:pt idx="13">
                  <c:v>民生银行</c:v>
                </c:pt>
                <c:pt idx="14">
                  <c:v>浦发银行</c:v>
                </c:pt>
                <c:pt idx="15">
                  <c:v>宁德时代</c:v>
                </c:pt>
                <c:pt idx="16">
                  <c:v>交通银行</c:v>
                </c:pt>
                <c:pt idx="17">
                  <c:v>温氏股份</c:v>
                </c:pt>
                <c:pt idx="18">
                  <c:v>平安银行</c:v>
                </c:pt>
                <c:pt idx="19">
                  <c:v>工商银行</c:v>
                </c:pt>
              </c:strCache>
            </c:strRef>
          </c:cat>
          <c:val>
            <c:numRef>
              <c:f>data_processing!$K$3:$K$22</c:f>
              <c:numCache>
                <c:formatCode>General</c:formatCode>
                <c:ptCount val="20"/>
                <c:pt idx="0">
                  <c:v>4017750</c:v>
                </c:pt>
                <c:pt idx="1">
                  <c:v>3066740</c:v>
                </c:pt>
                <c:pt idx="2">
                  <c:v>2269570</c:v>
                </c:pt>
                <c:pt idx="3">
                  <c:v>1651800</c:v>
                </c:pt>
                <c:pt idx="4">
                  <c:v>1432340</c:v>
                </c:pt>
                <c:pt idx="5">
                  <c:v>1508880</c:v>
                </c:pt>
                <c:pt idx="6">
                  <c:v>1515600</c:v>
                </c:pt>
                <c:pt idx="7">
                  <c:v>1088350</c:v>
                </c:pt>
                <c:pt idx="8">
                  <c:v>1334970</c:v>
                </c:pt>
                <c:pt idx="9">
                  <c:v>677105</c:v>
                </c:pt>
                <c:pt idx="10">
                  <c:v>992449</c:v>
                </c:pt>
                <c:pt idx="11">
                  <c:v>638773</c:v>
                </c:pt>
                <c:pt idx="12">
                  <c:v>695322</c:v>
                </c:pt>
                <c:pt idx="13">
                  <c:v>378658</c:v>
                </c:pt>
                <c:pt idx="14">
                  <c:v>403899</c:v>
                </c:pt>
                <c:pt idx="15">
                  <c:v>418718</c:v>
                </c:pt>
                <c:pt idx="16">
                  <c:v>391617</c:v>
                </c:pt>
                <c:pt idx="17">
                  <c:v>464115</c:v>
                </c:pt>
                <c:pt idx="18">
                  <c:v>684035</c:v>
                </c:pt>
                <c:pt idx="19">
                  <c:v>192067</c:v>
                </c:pt>
              </c:numCache>
            </c:numRef>
          </c:val>
          <c:smooth val="0"/>
          <c:extLst>
            <c:ext xmlns:c16="http://schemas.microsoft.com/office/drawing/2014/chart" uri="{C3380CC4-5D6E-409C-BE32-E72D297353CC}">
              <c16:uniqueId val="{00000001-9E77-894E-9CD8-D279E1AEA13D}"/>
            </c:ext>
          </c:extLst>
        </c:ser>
        <c:dLbls>
          <c:showLegendKey val="0"/>
          <c:showVal val="0"/>
          <c:showCatName val="0"/>
          <c:showSerName val="0"/>
          <c:showPercent val="0"/>
          <c:showBubbleSize val="0"/>
        </c:dLbls>
        <c:marker val="1"/>
        <c:smooth val="0"/>
        <c:axId val="1845735280"/>
        <c:axId val="1846491008"/>
      </c:lineChart>
      <c:catAx>
        <c:axId val="185063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0649856"/>
        <c:crosses val="autoZero"/>
        <c:auto val="1"/>
        <c:lblAlgn val="ctr"/>
        <c:lblOffset val="100"/>
        <c:noMultiLvlLbl val="0"/>
      </c:catAx>
      <c:valAx>
        <c:axId val="1850649856"/>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50633248"/>
        <c:crosses val="autoZero"/>
        <c:crossBetween val="between"/>
      </c:valAx>
      <c:valAx>
        <c:axId val="18464910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5735280"/>
        <c:crosses val="max"/>
        <c:crossBetween val="between"/>
      </c:valAx>
      <c:catAx>
        <c:axId val="1845735280"/>
        <c:scaling>
          <c:orientation val="minMax"/>
        </c:scaling>
        <c:delete val="1"/>
        <c:axPos val="b"/>
        <c:numFmt formatCode="General" sourceLinked="1"/>
        <c:majorTickMark val="out"/>
        <c:minorTickMark val="none"/>
        <c:tickLblPos val="nextTo"/>
        <c:crossAx val="1846491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2020-03-25T11:35:00Z</dcterms:created>
  <dcterms:modified xsi:type="dcterms:W3CDTF">2020-04-02T01:36:00Z</dcterms:modified>
</cp:coreProperties>
</file>