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4F46E5"/>
          <w:sz w:val="26"/>
        </w:rPr>
        <w:t>IBM SkillsBuild Academic Internship Project Report</w:t>
        <w:br/>
        <w:t>Data Analytics with AI Domain</w:t>
        <w:br/>
        <w:br/>
      </w:r>
    </w:p>
    <w:p>
      <w:pPr>
        <w:jc w:val="center"/>
      </w:pPr>
      <w:r>
        <w:rPr>
          <w:b/>
          <w:color w:val="111827"/>
          <w:sz w:val="48"/>
        </w:rPr>
        <w:t>SmartSpend AI — Intelligent Personal Expense Analytics &amp; Anomaly Detection</w:t>
        <w:br/>
      </w:r>
    </w:p>
    <w:p>
      <w:pPr>
        <w:spacing w:before="300"/>
        <w:jc w:val="center"/>
      </w:pPr>
      <w:r>
        <w:rPr>
          <w:i/>
          <w:color w:val="4B5563"/>
          <w:sz w:val="24"/>
        </w:rPr>
        <w:t>A Unified Machine Learning Framework for Automated Transaction Preprocessing, Multi-Dimensional Visual Analytics, Isolation Forest Outlier Surveillance, and Random Forest Spending Forecasting</w:t>
        <w:br/>
        <w:br/>
      </w:r>
    </w:p>
    <w:p>
      <w:pPr>
        <w:spacing w:before="1200"/>
        <w:jc w:val="center"/>
      </w:pPr>
      <w:r>
        <w:rPr>
          <w:b/>
          <w:sz w:val="22"/>
        </w:rPr>
        <w:t>Submitted By:</w:t>
        <w:br/>
        <w:t>Ashwini</w:t>
        <w:br/>
        <w:t>Candidate ID / Academic Track: Final Year CSE</w:t>
        <w:br/>
        <w:t>Academic Year: 2025–2026</w:t>
        <w:br/>
        <w:br/>
        <w:t>Under the Mentorship of:</w:t>
        <w:br/>
        <w:t>IBM SkillsBuild Internship Mentors</w:t>
        <w:br/>
      </w:r>
    </w:p>
    <w:p>
      <w:pPr>
        <w:spacing w:before="800"/>
        <w:jc w:val="center"/>
      </w:pPr>
      <w:r>
        <w:rPr>
          <w:color w:val="6B7280"/>
          <w:sz w:val="20"/>
        </w:rPr>
        <w:t>Department of Computer Science &amp; Engineering</w:t>
        <w:br/>
        <w:t>Academic Internship Program in Collaboration with IBM SkillsBuild</w:t>
        <w:br/>
        <w:t>Submission Date: March 2026</w:t>
      </w:r>
    </w:p>
    <w:p>
      <w:r>
        <w:br w:type="page"/>
      </w:r>
    </w:p>
    <w:p>
      <w:pPr>
        <w:pStyle w:val="Heading1"/>
        <w:keepNext/>
        <w:spacing w:before="280" w:after="120"/>
      </w:pPr>
      <w:r>
        <w:t>Certificate of Originality &amp; Declaration</w:t>
      </w:r>
    </w:p>
    <w:p>
      <w:pPr>
        <w:spacing w:line="276" w:lineRule="auto" w:after="120"/>
      </w:pPr>
      <w:r>
        <w:t>This is to declare that the project entitled "SmartSpend AI — Intelligent Personal Expense Analytics &amp; Anomaly Detection" submitted by Ashwini is a bonafide record of original research, implementation, and engineering work completed during the IBM SkillsBuild Data Analytics with AI Academic Internship Program.</w:t>
      </w:r>
    </w:p>
    <w:p>
      <w:pPr>
        <w:spacing w:line="276" w:lineRule="auto" w:after="120"/>
      </w:pPr>
      <w:r>
        <w:t>All algorithmic methodologies, data preprocessing pipelines, database schemas, machine learning models (Isolation Forest and Random Forest Regression), and visualization components described herein were independently coded, validated, and evaluated without data fabrication.</w:t>
      </w:r>
    </w:p>
    <w:p>
      <w:pPr>
        <w:spacing w:before="1000"/>
      </w:pPr>
      <w:r>
        <w:t>_______________________________</w:t>
        <w:tab/>
        <w:tab/>
        <w:tab/>
        <w:t>_______________________________</w:t>
        <w:br/>
      </w:r>
      <w:r>
        <w:t>Ashwini (Candidate)</w:t>
        <w:tab/>
        <w:tab/>
        <w:tab/>
        <w:tab/>
        <w:tab/>
        <w:t>Academic Mentor / Evaluator</w:t>
        <w:br/>
      </w:r>
      <w:r>
        <w:t>Date: March 2026</w:t>
        <w:tab/>
        <w:tab/>
        <w:tab/>
        <w:tab/>
        <w:tab/>
        <w:t>IBM SkillsBuild Program</w:t>
        <w:br/>
      </w:r>
    </w:p>
    <w:p>
      <w:r>
        <w:br w:type="page"/>
      </w:r>
    </w:p>
    <w:p>
      <w:pPr>
        <w:pStyle w:val="Heading1"/>
        <w:keepNext/>
        <w:spacing w:before="280" w:after="120"/>
      </w:pPr>
      <w:r>
        <w:t>Acknowledgement</w:t>
      </w:r>
    </w:p>
    <w:p>
      <w:pPr>
        <w:spacing w:line="276" w:lineRule="auto" w:after="120"/>
      </w:pPr>
      <w:r>
        <w:t>I extend my sincere gratitude to the IBM SkillsBuild program and its dedicated coordinators for providing this invaluable opportunity to gain hands-on technical proficiency in Data Analytics, Machine Learning, and Full-Stack AI Engineering.</w:t>
      </w:r>
    </w:p>
    <w:p>
      <w:pPr>
        <w:spacing w:line="276" w:lineRule="auto" w:after="120"/>
      </w:pPr>
      <w:r>
        <w:t>I also express profound appreciation to my college faculty, project guides, and peer reviewers whose feedback helped shape the system architecture, mathematical formulations, and UI/UX design. The academic rigor fostered throughout this program significantly deepened my understanding of data cleaning pipelines, unsupervised outlier detection, and explainable predictive models.</w:t>
      </w:r>
    </w:p>
    <w:p>
      <w:pPr>
        <w:pStyle w:val="Heading1"/>
        <w:keepNext/>
        <w:spacing w:before="280" w:after="120"/>
      </w:pPr>
      <w:r>
        <w:t>Abstract</w:t>
      </w:r>
    </w:p>
    <w:p>
      <w:pPr>
        <w:spacing w:line="276" w:lineRule="auto" w:after="120"/>
      </w:pPr>
      <w:r>
        <w:t>Managing personal finances in modern digital economies is increasingly challenging due to transaction velocity across diverse channels (UPI, cards, net banking) and decentralized statements. Traditional personal finance tools either act as passive spreadsheet stores or generic CRUD applications without data science capabilities. This project presents SmartSpend AI, an intelligent personal expense analytics and anomaly detection system engineered for the IBM SkillsBuild Academic Internship Program.</w:t>
      </w:r>
    </w:p>
    <w:p>
      <w:pPr>
        <w:spacing w:line="276" w:lineRule="auto" w:after="120"/>
      </w:pPr>
      <w:r>
        <w:t>SmartSpend AI features: (1) An automated data preprocessing service that flexible maps arbitrary CSV headers, filters non-positive records, imputes missing categorical attributes, and deduplicates transaction entries; (2) Multi-dimensional exploratory data analytics across categories, monthly cycles, payment channels, and daily velocity; (3) Unsupervised outlier surveillance using Scikit-Learn's Isolation Forest algorithm with category-relative z-score decomposition, providing human-explainable rationales without deceptive fraud accusations; (4) Supervised time-series expenditure forecasting using Random Forest Regression on engineered lag features with honest reporting of MAE, RMSE, and R² metrics; and (5) A deterministic AI insight layer delivering budget health scoring and 50/30/20 recommendations without dependency on paid external APIs.</w:t>
      </w:r>
    </w:p>
    <w:p>
      <w:pPr>
        <w:spacing w:line="276" w:lineRule="auto" w:after="120"/>
      </w:pPr>
      <w:r>
        <w:t>The system is built on a decoupled architecture combining FastAPI (Python backend), SQLAlchemy ORM (PostgreSQL/SQLite), React 19, Tailwind CSS, and Recharts, verified through automated unit tests and an exhaustive Jupyter EDA notebook.</w:t>
      </w:r>
    </w:p>
    <w:p>
      <w:r>
        <w:br w:type="page"/>
      </w:r>
    </w:p>
    <w:p>
      <w:pPr>
        <w:pStyle w:val="Heading1"/>
        <w:keepNext/>
        <w:spacing w:before="280" w:after="120"/>
      </w:pPr>
      <w:r>
        <w:t>Table of Contents</w:t>
      </w:r>
    </w:p>
    <w:tbl>
      <w:tblPr>
        <w:tblW w:type="auto" w:w="0"/>
        <w:jc w:val="center"/>
        <w:tblLook w:firstColumn="1" w:firstRow="1" w:lastColumn="0" w:lastRow="0" w:noHBand="0" w:noVBand="1" w:val="04A0"/>
      </w:tblPr>
      <w:tblGrid>
        <w:gridCol w:w="4680"/>
        <w:gridCol w:w="4680"/>
      </w:tblGrid>
      <w:tr>
        <w:tc>
          <w:tcPr>
            <w:tcW w:type="dxa" w:w="4680"/>
            <w:shd w:fill="F3F4F6"/>
          </w:tcPr>
          <w:p>
            <w:r>
              <w:t>Section Title</w:t>
            </w:r>
          </w:p>
        </w:tc>
        <w:tc>
          <w:tcPr>
            <w:tcW w:type="dxa" w:w="4680"/>
            <w:shd w:fill="F3F4F6"/>
          </w:tcPr>
          <w:p>
            <w:r>
              <w:t>Page No.</w:t>
            </w:r>
          </w:p>
        </w:tc>
      </w:tr>
      <w:tr>
        <w:tc>
          <w:tcPr>
            <w:tcW w:type="dxa" w:w="4680"/>
            <w:tcMar>
              <w:top w:w="50" w:type="dxa"/>
              <w:bottom w:w="50" w:type="dxa"/>
              <w:left w:w="100" w:type="dxa"/>
              <w:right w:w="100" w:type="dxa"/>
            </w:tcMar>
          </w:tcPr>
          <w:p>
            <w:r>
              <w:t>1. Introduction &amp; Background</w:t>
            </w:r>
          </w:p>
        </w:tc>
        <w:tc>
          <w:tcPr>
            <w:tcW w:type="dxa" w:w="4680"/>
            <w:tcMar>
              <w:top w:w="50" w:type="dxa"/>
              <w:bottom w:w="50" w:type="dxa"/>
              <w:left w:w="100" w:type="dxa"/>
              <w:right w:w="100" w:type="dxa"/>
            </w:tcMar>
          </w:tcPr>
          <w:p>
            <w:r>
              <w:t>4</w:t>
            </w:r>
          </w:p>
        </w:tc>
      </w:tr>
      <w:tr>
        <w:tc>
          <w:tcPr>
            <w:tcW w:type="dxa" w:w="4680"/>
            <w:tcMar>
              <w:top w:w="50" w:type="dxa"/>
              <w:bottom w:w="50" w:type="dxa"/>
              <w:left w:w="100" w:type="dxa"/>
              <w:right w:w="100" w:type="dxa"/>
            </w:tcMar>
          </w:tcPr>
          <w:p>
            <w:r>
              <w:t>2. Problem Statement</w:t>
            </w:r>
          </w:p>
        </w:tc>
        <w:tc>
          <w:tcPr>
            <w:tcW w:type="dxa" w:w="4680"/>
            <w:tcMar>
              <w:top w:w="50" w:type="dxa"/>
              <w:bottom w:w="50" w:type="dxa"/>
              <w:left w:w="100" w:type="dxa"/>
              <w:right w:w="100" w:type="dxa"/>
            </w:tcMar>
          </w:tcPr>
          <w:p>
            <w:r>
              <w:t>5</w:t>
            </w:r>
          </w:p>
        </w:tc>
      </w:tr>
      <w:tr>
        <w:tc>
          <w:tcPr>
            <w:tcW w:type="dxa" w:w="4680"/>
            <w:tcMar>
              <w:top w:w="50" w:type="dxa"/>
              <w:bottom w:w="50" w:type="dxa"/>
              <w:left w:w="100" w:type="dxa"/>
              <w:right w:w="100" w:type="dxa"/>
            </w:tcMar>
          </w:tcPr>
          <w:p>
            <w:r>
              <w:t>3. Motivation</w:t>
            </w:r>
          </w:p>
        </w:tc>
        <w:tc>
          <w:tcPr>
            <w:tcW w:type="dxa" w:w="4680"/>
            <w:tcMar>
              <w:top w:w="50" w:type="dxa"/>
              <w:bottom w:w="50" w:type="dxa"/>
              <w:left w:w="100" w:type="dxa"/>
              <w:right w:w="100" w:type="dxa"/>
            </w:tcMar>
          </w:tcPr>
          <w:p>
            <w:r>
              <w:t>6</w:t>
            </w:r>
          </w:p>
        </w:tc>
      </w:tr>
      <w:tr>
        <w:tc>
          <w:tcPr>
            <w:tcW w:type="dxa" w:w="4680"/>
            <w:tcMar>
              <w:top w:w="50" w:type="dxa"/>
              <w:bottom w:w="50" w:type="dxa"/>
              <w:left w:w="100" w:type="dxa"/>
              <w:right w:w="100" w:type="dxa"/>
            </w:tcMar>
          </w:tcPr>
          <w:p>
            <w:r>
              <w:t>4. Objectives of the Project</w:t>
            </w:r>
          </w:p>
        </w:tc>
        <w:tc>
          <w:tcPr>
            <w:tcW w:type="dxa" w:w="4680"/>
            <w:tcMar>
              <w:top w:w="50" w:type="dxa"/>
              <w:bottom w:w="50" w:type="dxa"/>
              <w:left w:w="100" w:type="dxa"/>
              <w:right w:w="100" w:type="dxa"/>
            </w:tcMar>
          </w:tcPr>
          <w:p>
            <w:r>
              <w:t>7</w:t>
            </w:r>
          </w:p>
        </w:tc>
      </w:tr>
      <w:tr>
        <w:tc>
          <w:tcPr>
            <w:tcW w:type="dxa" w:w="4680"/>
            <w:tcMar>
              <w:top w:w="50" w:type="dxa"/>
              <w:bottom w:w="50" w:type="dxa"/>
              <w:left w:w="100" w:type="dxa"/>
              <w:right w:w="100" w:type="dxa"/>
            </w:tcMar>
          </w:tcPr>
          <w:p>
            <w:r>
              <w:t>5. Existing System Analysis</w:t>
            </w:r>
          </w:p>
        </w:tc>
        <w:tc>
          <w:tcPr>
            <w:tcW w:type="dxa" w:w="4680"/>
            <w:tcMar>
              <w:top w:w="50" w:type="dxa"/>
              <w:bottom w:w="50" w:type="dxa"/>
              <w:left w:w="100" w:type="dxa"/>
              <w:right w:w="100" w:type="dxa"/>
            </w:tcMar>
          </w:tcPr>
          <w:p>
            <w:r>
              <w:t>8</w:t>
            </w:r>
          </w:p>
        </w:tc>
      </w:tr>
      <w:tr>
        <w:tc>
          <w:tcPr>
            <w:tcW w:type="dxa" w:w="4680"/>
            <w:tcMar>
              <w:top w:w="50" w:type="dxa"/>
              <w:bottom w:w="50" w:type="dxa"/>
              <w:left w:w="100" w:type="dxa"/>
              <w:right w:w="100" w:type="dxa"/>
            </w:tcMar>
          </w:tcPr>
          <w:p>
            <w:r>
              <w:t>6. Proposed System Architecture</w:t>
            </w:r>
          </w:p>
        </w:tc>
        <w:tc>
          <w:tcPr>
            <w:tcW w:type="dxa" w:w="4680"/>
            <w:tcMar>
              <w:top w:w="50" w:type="dxa"/>
              <w:bottom w:w="50" w:type="dxa"/>
              <w:left w:w="100" w:type="dxa"/>
              <w:right w:w="100" w:type="dxa"/>
            </w:tcMar>
          </w:tcPr>
          <w:p>
            <w:r>
              <w:t>9</w:t>
            </w:r>
          </w:p>
        </w:tc>
      </w:tr>
      <w:tr>
        <w:tc>
          <w:tcPr>
            <w:tcW w:type="dxa" w:w="4680"/>
            <w:tcMar>
              <w:top w:w="50" w:type="dxa"/>
              <w:bottom w:w="50" w:type="dxa"/>
              <w:left w:w="100" w:type="dxa"/>
              <w:right w:w="100" w:type="dxa"/>
            </w:tcMar>
          </w:tcPr>
          <w:p>
            <w:r>
              <w:t>7. Literature &amp; Technology Overview</w:t>
            </w:r>
          </w:p>
        </w:tc>
        <w:tc>
          <w:tcPr>
            <w:tcW w:type="dxa" w:w="4680"/>
            <w:tcMar>
              <w:top w:w="50" w:type="dxa"/>
              <w:bottom w:w="50" w:type="dxa"/>
              <w:left w:w="100" w:type="dxa"/>
              <w:right w:w="100" w:type="dxa"/>
            </w:tcMar>
          </w:tcPr>
          <w:p>
            <w:r>
              <w:t>10</w:t>
            </w:r>
          </w:p>
        </w:tc>
      </w:tr>
      <w:tr>
        <w:tc>
          <w:tcPr>
            <w:tcW w:type="dxa" w:w="4680"/>
            <w:tcMar>
              <w:top w:w="50" w:type="dxa"/>
              <w:bottom w:w="50" w:type="dxa"/>
              <w:left w:w="100" w:type="dxa"/>
              <w:right w:w="100" w:type="dxa"/>
            </w:tcMar>
          </w:tcPr>
          <w:p>
            <w:r>
              <w:t>8. System Requirements Specification (SRS)</w:t>
            </w:r>
          </w:p>
        </w:tc>
        <w:tc>
          <w:tcPr>
            <w:tcW w:type="dxa" w:w="4680"/>
            <w:tcMar>
              <w:top w:w="50" w:type="dxa"/>
              <w:bottom w:w="50" w:type="dxa"/>
              <w:left w:w="100" w:type="dxa"/>
              <w:right w:w="100" w:type="dxa"/>
            </w:tcMar>
          </w:tcPr>
          <w:p>
            <w:r>
              <w:t>12</w:t>
            </w:r>
          </w:p>
        </w:tc>
      </w:tr>
      <w:tr>
        <w:tc>
          <w:tcPr>
            <w:tcW w:type="dxa" w:w="4680"/>
            <w:tcMar>
              <w:top w:w="50" w:type="dxa"/>
              <w:bottom w:w="50" w:type="dxa"/>
              <w:left w:w="100" w:type="dxa"/>
              <w:right w:w="100" w:type="dxa"/>
            </w:tcMar>
          </w:tcPr>
          <w:p>
            <w:r>
              <w:t>9. Functional Requirements</w:t>
            </w:r>
          </w:p>
        </w:tc>
        <w:tc>
          <w:tcPr>
            <w:tcW w:type="dxa" w:w="4680"/>
            <w:tcMar>
              <w:top w:w="50" w:type="dxa"/>
              <w:bottom w:w="50" w:type="dxa"/>
              <w:left w:w="100" w:type="dxa"/>
              <w:right w:w="100" w:type="dxa"/>
            </w:tcMar>
          </w:tcPr>
          <w:p>
            <w:r>
              <w:t>13</w:t>
            </w:r>
          </w:p>
        </w:tc>
      </w:tr>
      <w:tr>
        <w:tc>
          <w:tcPr>
            <w:tcW w:type="dxa" w:w="4680"/>
            <w:tcMar>
              <w:top w:w="50" w:type="dxa"/>
              <w:bottom w:w="50" w:type="dxa"/>
              <w:left w:w="100" w:type="dxa"/>
              <w:right w:w="100" w:type="dxa"/>
            </w:tcMar>
          </w:tcPr>
          <w:p>
            <w:r>
              <w:t>10. Non-Functional Requirements</w:t>
            </w:r>
          </w:p>
        </w:tc>
        <w:tc>
          <w:tcPr>
            <w:tcW w:type="dxa" w:w="4680"/>
            <w:tcMar>
              <w:top w:w="50" w:type="dxa"/>
              <w:bottom w:w="50" w:type="dxa"/>
              <w:left w:w="100" w:type="dxa"/>
              <w:right w:w="100" w:type="dxa"/>
            </w:tcMar>
          </w:tcPr>
          <w:p>
            <w:r>
              <w:t>14</w:t>
            </w:r>
          </w:p>
        </w:tc>
      </w:tr>
      <w:tr>
        <w:tc>
          <w:tcPr>
            <w:tcW w:type="dxa" w:w="4680"/>
            <w:tcMar>
              <w:top w:w="50" w:type="dxa"/>
              <w:bottom w:w="50" w:type="dxa"/>
              <w:left w:w="100" w:type="dxa"/>
              <w:right w:w="100" w:type="dxa"/>
            </w:tcMar>
          </w:tcPr>
          <w:p>
            <w:r>
              <w:t>11. Architectural Design &amp; Data Flow</w:t>
            </w:r>
          </w:p>
        </w:tc>
        <w:tc>
          <w:tcPr>
            <w:tcW w:type="dxa" w:w="4680"/>
            <w:tcMar>
              <w:top w:w="50" w:type="dxa"/>
              <w:bottom w:w="50" w:type="dxa"/>
              <w:left w:w="100" w:type="dxa"/>
              <w:right w:w="100" w:type="dxa"/>
            </w:tcMar>
          </w:tcPr>
          <w:p>
            <w:r>
              <w:t>15</w:t>
            </w:r>
          </w:p>
        </w:tc>
      </w:tr>
      <w:tr>
        <w:tc>
          <w:tcPr>
            <w:tcW w:type="dxa" w:w="4680"/>
            <w:tcMar>
              <w:top w:w="50" w:type="dxa"/>
              <w:bottom w:w="50" w:type="dxa"/>
              <w:left w:w="100" w:type="dxa"/>
              <w:right w:w="100" w:type="dxa"/>
            </w:tcMar>
          </w:tcPr>
          <w:p>
            <w:r>
              <w:t>12. Dataset Description &amp; Calibration</w:t>
            </w:r>
          </w:p>
        </w:tc>
        <w:tc>
          <w:tcPr>
            <w:tcW w:type="dxa" w:w="4680"/>
            <w:tcMar>
              <w:top w:w="50" w:type="dxa"/>
              <w:bottom w:w="50" w:type="dxa"/>
              <w:left w:w="100" w:type="dxa"/>
              <w:right w:w="100" w:type="dxa"/>
            </w:tcMar>
          </w:tcPr>
          <w:p>
            <w:r>
              <w:t>16</w:t>
            </w:r>
          </w:p>
        </w:tc>
      </w:tr>
      <w:tr>
        <w:tc>
          <w:tcPr>
            <w:tcW w:type="dxa" w:w="4680"/>
            <w:tcMar>
              <w:top w:w="50" w:type="dxa"/>
              <w:bottom w:w="50" w:type="dxa"/>
              <w:left w:w="100" w:type="dxa"/>
              <w:right w:w="100" w:type="dxa"/>
            </w:tcMar>
          </w:tcPr>
          <w:p>
            <w:r>
              <w:t>13. Data Preprocessing &amp; Sanitization Pipeline</w:t>
            </w:r>
          </w:p>
        </w:tc>
        <w:tc>
          <w:tcPr>
            <w:tcW w:type="dxa" w:w="4680"/>
            <w:tcMar>
              <w:top w:w="50" w:type="dxa"/>
              <w:bottom w:w="50" w:type="dxa"/>
              <w:left w:w="100" w:type="dxa"/>
              <w:right w:w="100" w:type="dxa"/>
            </w:tcMar>
          </w:tcPr>
          <w:p>
            <w:r>
              <w:t>17</w:t>
            </w:r>
          </w:p>
        </w:tc>
      </w:tr>
      <w:tr>
        <w:tc>
          <w:tcPr>
            <w:tcW w:type="dxa" w:w="4680"/>
            <w:tcMar>
              <w:top w:w="50" w:type="dxa"/>
              <w:bottom w:w="50" w:type="dxa"/>
              <w:left w:w="100" w:type="dxa"/>
              <w:right w:w="100" w:type="dxa"/>
            </w:tcMar>
          </w:tcPr>
          <w:p>
            <w:r>
              <w:t>14. Exploratory Data Analysis (EDA)</w:t>
            </w:r>
          </w:p>
        </w:tc>
        <w:tc>
          <w:tcPr>
            <w:tcW w:type="dxa" w:w="4680"/>
            <w:tcMar>
              <w:top w:w="50" w:type="dxa"/>
              <w:bottom w:w="50" w:type="dxa"/>
              <w:left w:w="100" w:type="dxa"/>
              <w:right w:w="100" w:type="dxa"/>
            </w:tcMar>
          </w:tcPr>
          <w:p>
            <w:r>
              <w:t>18</w:t>
            </w:r>
          </w:p>
        </w:tc>
      </w:tr>
      <w:tr>
        <w:tc>
          <w:tcPr>
            <w:tcW w:type="dxa" w:w="4680"/>
            <w:tcMar>
              <w:top w:w="50" w:type="dxa"/>
              <w:bottom w:w="50" w:type="dxa"/>
              <w:left w:w="100" w:type="dxa"/>
              <w:right w:w="100" w:type="dxa"/>
            </w:tcMar>
          </w:tcPr>
          <w:p>
            <w:r>
              <w:t>15. Interactive Data Visualization</w:t>
            </w:r>
          </w:p>
        </w:tc>
        <w:tc>
          <w:tcPr>
            <w:tcW w:type="dxa" w:w="4680"/>
            <w:tcMar>
              <w:top w:w="50" w:type="dxa"/>
              <w:bottom w:w="50" w:type="dxa"/>
              <w:left w:w="100" w:type="dxa"/>
              <w:right w:w="100" w:type="dxa"/>
            </w:tcMar>
          </w:tcPr>
          <w:p>
            <w:r>
              <w:t>20</w:t>
            </w:r>
          </w:p>
        </w:tc>
      </w:tr>
      <w:tr>
        <w:tc>
          <w:tcPr>
            <w:tcW w:type="dxa" w:w="4680"/>
            <w:tcMar>
              <w:top w:w="50" w:type="dxa"/>
              <w:bottom w:w="50" w:type="dxa"/>
              <w:left w:w="100" w:type="dxa"/>
              <w:right w:w="100" w:type="dxa"/>
            </w:tcMar>
          </w:tcPr>
          <w:p>
            <w:r>
              <w:t>16. Machine Learning Methodology</w:t>
            </w:r>
          </w:p>
        </w:tc>
        <w:tc>
          <w:tcPr>
            <w:tcW w:type="dxa" w:w="4680"/>
            <w:tcMar>
              <w:top w:w="50" w:type="dxa"/>
              <w:bottom w:w="50" w:type="dxa"/>
              <w:left w:w="100" w:type="dxa"/>
              <w:right w:w="100" w:type="dxa"/>
            </w:tcMar>
          </w:tcPr>
          <w:p>
            <w:r>
              <w:t>21</w:t>
            </w:r>
          </w:p>
        </w:tc>
      </w:tr>
      <w:tr>
        <w:tc>
          <w:tcPr>
            <w:tcW w:type="dxa" w:w="4680"/>
            <w:tcMar>
              <w:top w:w="50" w:type="dxa"/>
              <w:bottom w:w="50" w:type="dxa"/>
              <w:left w:w="100" w:type="dxa"/>
              <w:right w:w="100" w:type="dxa"/>
            </w:tcMar>
          </w:tcPr>
          <w:p>
            <w:r>
              <w:t>17. Anomaly Detection via Isolation Forest</w:t>
            </w:r>
          </w:p>
        </w:tc>
        <w:tc>
          <w:tcPr>
            <w:tcW w:type="dxa" w:w="4680"/>
            <w:tcMar>
              <w:top w:w="50" w:type="dxa"/>
              <w:bottom w:w="50" w:type="dxa"/>
              <w:left w:w="100" w:type="dxa"/>
              <w:right w:w="100" w:type="dxa"/>
            </w:tcMar>
          </w:tcPr>
          <w:p>
            <w:r>
              <w:t>22</w:t>
            </w:r>
          </w:p>
        </w:tc>
      </w:tr>
      <w:tr>
        <w:tc>
          <w:tcPr>
            <w:tcW w:type="dxa" w:w="4680"/>
            <w:tcMar>
              <w:top w:w="50" w:type="dxa"/>
              <w:bottom w:w="50" w:type="dxa"/>
              <w:left w:w="100" w:type="dxa"/>
              <w:right w:w="100" w:type="dxa"/>
            </w:tcMar>
          </w:tcPr>
          <w:p>
            <w:r>
              <w:t>18. Spending Forecasting via Random Forest</w:t>
            </w:r>
          </w:p>
        </w:tc>
        <w:tc>
          <w:tcPr>
            <w:tcW w:type="dxa" w:w="4680"/>
            <w:tcMar>
              <w:top w:w="50" w:type="dxa"/>
              <w:bottom w:w="50" w:type="dxa"/>
              <w:left w:w="100" w:type="dxa"/>
              <w:right w:w="100" w:type="dxa"/>
            </w:tcMar>
          </w:tcPr>
          <w:p>
            <w:r>
              <w:t>24</w:t>
            </w:r>
          </w:p>
        </w:tc>
      </w:tr>
      <w:tr>
        <w:tc>
          <w:tcPr>
            <w:tcW w:type="dxa" w:w="4680"/>
            <w:tcMar>
              <w:top w:w="50" w:type="dxa"/>
              <w:bottom w:w="50" w:type="dxa"/>
              <w:left w:w="100" w:type="dxa"/>
              <w:right w:w="100" w:type="dxa"/>
            </w:tcMar>
          </w:tcPr>
          <w:p>
            <w:r>
              <w:t>19. AI Insight Generation &amp; Financial Health Scoring</w:t>
            </w:r>
          </w:p>
        </w:tc>
        <w:tc>
          <w:tcPr>
            <w:tcW w:type="dxa" w:w="4680"/>
            <w:tcMar>
              <w:top w:w="50" w:type="dxa"/>
              <w:bottom w:w="50" w:type="dxa"/>
              <w:left w:w="100" w:type="dxa"/>
              <w:right w:w="100" w:type="dxa"/>
            </w:tcMar>
          </w:tcPr>
          <w:p>
            <w:r>
              <w:t>25</w:t>
            </w:r>
          </w:p>
        </w:tc>
      </w:tr>
      <w:tr>
        <w:tc>
          <w:tcPr>
            <w:tcW w:type="dxa" w:w="4680"/>
            <w:tcMar>
              <w:top w:w="50" w:type="dxa"/>
              <w:bottom w:w="50" w:type="dxa"/>
              <w:left w:w="100" w:type="dxa"/>
              <w:right w:w="100" w:type="dxa"/>
            </w:tcMar>
          </w:tcPr>
          <w:p>
            <w:r>
              <w:t>20. Backend Architecture (FastAPI &amp; Services)</w:t>
            </w:r>
          </w:p>
        </w:tc>
        <w:tc>
          <w:tcPr>
            <w:tcW w:type="dxa" w:w="4680"/>
            <w:tcMar>
              <w:top w:w="50" w:type="dxa"/>
              <w:bottom w:w="50" w:type="dxa"/>
              <w:left w:w="100" w:type="dxa"/>
              <w:right w:w="100" w:type="dxa"/>
            </w:tcMar>
          </w:tcPr>
          <w:p>
            <w:r>
              <w:t>26</w:t>
            </w:r>
          </w:p>
        </w:tc>
      </w:tr>
      <w:tr>
        <w:tc>
          <w:tcPr>
            <w:tcW w:type="dxa" w:w="4680"/>
            <w:tcMar>
              <w:top w:w="50" w:type="dxa"/>
              <w:bottom w:w="50" w:type="dxa"/>
              <w:left w:w="100" w:type="dxa"/>
              <w:right w:w="100" w:type="dxa"/>
            </w:tcMar>
          </w:tcPr>
          <w:p>
            <w:r>
              <w:t>21. Frontend Architecture (React, Vite &amp; Recharts)</w:t>
            </w:r>
          </w:p>
        </w:tc>
        <w:tc>
          <w:tcPr>
            <w:tcW w:type="dxa" w:w="4680"/>
            <w:tcMar>
              <w:top w:w="50" w:type="dxa"/>
              <w:bottom w:w="50" w:type="dxa"/>
              <w:left w:w="100" w:type="dxa"/>
              <w:right w:w="100" w:type="dxa"/>
            </w:tcMar>
          </w:tcPr>
          <w:p>
            <w:r>
              <w:t>27</w:t>
            </w:r>
          </w:p>
        </w:tc>
      </w:tr>
      <w:tr>
        <w:tc>
          <w:tcPr>
            <w:tcW w:type="dxa" w:w="4680"/>
            <w:tcMar>
              <w:top w:w="50" w:type="dxa"/>
              <w:bottom w:w="50" w:type="dxa"/>
              <w:left w:w="100" w:type="dxa"/>
              <w:right w:w="100" w:type="dxa"/>
            </w:tcMar>
          </w:tcPr>
          <w:p>
            <w:r>
              <w:t>22. Database Design &amp; Entity Relationship</w:t>
            </w:r>
          </w:p>
        </w:tc>
        <w:tc>
          <w:tcPr>
            <w:tcW w:type="dxa" w:w="4680"/>
            <w:tcMar>
              <w:top w:w="50" w:type="dxa"/>
              <w:bottom w:w="50" w:type="dxa"/>
              <w:left w:w="100" w:type="dxa"/>
              <w:right w:w="100" w:type="dxa"/>
            </w:tcMar>
          </w:tcPr>
          <w:p>
            <w:r>
              <w:t>28</w:t>
            </w:r>
          </w:p>
        </w:tc>
      </w:tr>
      <w:tr>
        <w:tc>
          <w:tcPr>
            <w:tcW w:type="dxa" w:w="4680"/>
            <w:tcMar>
              <w:top w:w="50" w:type="dxa"/>
              <w:bottom w:w="50" w:type="dxa"/>
              <w:left w:w="100" w:type="dxa"/>
              <w:right w:w="100" w:type="dxa"/>
            </w:tcMar>
          </w:tcPr>
          <w:p>
            <w:r>
              <w:t>23. REST API Design &amp; Documentation</w:t>
            </w:r>
          </w:p>
        </w:tc>
        <w:tc>
          <w:tcPr>
            <w:tcW w:type="dxa" w:w="4680"/>
            <w:tcMar>
              <w:top w:w="50" w:type="dxa"/>
              <w:bottom w:w="50" w:type="dxa"/>
              <w:left w:w="100" w:type="dxa"/>
              <w:right w:w="100" w:type="dxa"/>
            </w:tcMar>
          </w:tcPr>
          <w:p>
            <w:r>
              <w:t>29</w:t>
            </w:r>
          </w:p>
        </w:tc>
      </w:tr>
      <w:tr>
        <w:tc>
          <w:tcPr>
            <w:tcW w:type="dxa" w:w="4680"/>
            <w:tcMar>
              <w:top w:w="50" w:type="dxa"/>
              <w:bottom w:w="50" w:type="dxa"/>
              <w:left w:w="100" w:type="dxa"/>
              <w:right w:w="100" w:type="dxa"/>
            </w:tcMar>
          </w:tcPr>
          <w:p>
            <w:r>
              <w:t>24. Experimental Results &amp; Performance Metrics</w:t>
            </w:r>
          </w:p>
        </w:tc>
        <w:tc>
          <w:tcPr>
            <w:tcW w:type="dxa" w:w="4680"/>
            <w:tcMar>
              <w:top w:w="50" w:type="dxa"/>
              <w:bottom w:w="50" w:type="dxa"/>
              <w:left w:w="100" w:type="dxa"/>
              <w:right w:w="100" w:type="dxa"/>
            </w:tcMar>
          </w:tcPr>
          <w:p>
            <w:r>
              <w:t>30</w:t>
            </w:r>
          </w:p>
        </w:tc>
      </w:tr>
      <w:tr>
        <w:tc>
          <w:tcPr>
            <w:tcW w:type="dxa" w:w="4680"/>
            <w:tcMar>
              <w:top w:w="50" w:type="dxa"/>
              <w:bottom w:w="50" w:type="dxa"/>
              <w:left w:w="100" w:type="dxa"/>
              <w:right w:w="100" w:type="dxa"/>
            </w:tcMar>
          </w:tcPr>
          <w:p>
            <w:r>
              <w:t>25. Visual Dashboard Screenshots &amp; Walkthrough</w:t>
            </w:r>
          </w:p>
        </w:tc>
        <w:tc>
          <w:tcPr>
            <w:tcW w:type="dxa" w:w="4680"/>
            <w:tcMar>
              <w:top w:w="50" w:type="dxa"/>
              <w:bottom w:w="50" w:type="dxa"/>
              <w:left w:w="100" w:type="dxa"/>
              <w:right w:w="100" w:type="dxa"/>
            </w:tcMar>
          </w:tcPr>
          <w:p>
            <w:r>
              <w:t>31</w:t>
            </w:r>
          </w:p>
        </w:tc>
      </w:tr>
      <w:tr>
        <w:tc>
          <w:tcPr>
            <w:tcW w:type="dxa" w:w="4680"/>
            <w:tcMar>
              <w:top w:w="50" w:type="dxa"/>
              <w:bottom w:w="50" w:type="dxa"/>
              <w:left w:w="100" w:type="dxa"/>
              <w:right w:w="100" w:type="dxa"/>
            </w:tcMar>
          </w:tcPr>
          <w:p>
            <w:r>
              <w:t>26. Verification, Unit &amp; Integration Testing</w:t>
            </w:r>
          </w:p>
        </w:tc>
        <w:tc>
          <w:tcPr>
            <w:tcW w:type="dxa" w:w="4680"/>
            <w:tcMar>
              <w:top w:w="50" w:type="dxa"/>
              <w:bottom w:w="50" w:type="dxa"/>
              <w:left w:w="100" w:type="dxa"/>
              <w:right w:w="100" w:type="dxa"/>
            </w:tcMar>
          </w:tcPr>
          <w:p>
            <w:r>
              <w:t>32</w:t>
            </w:r>
          </w:p>
        </w:tc>
      </w:tr>
      <w:tr>
        <w:tc>
          <w:tcPr>
            <w:tcW w:type="dxa" w:w="4680"/>
            <w:tcMar>
              <w:top w:w="50" w:type="dxa"/>
              <w:bottom w:w="50" w:type="dxa"/>
              <w:left w:w="100" w:type="dxa"/>
              <w:right w:w="100" w:type="dxa"/>
            </w:tcMar>
          </w:tcPr>
          <w:p>
            <w:r>
              <w:t>27. Limitations &amp; Edge Cases</w:t>
            </w:r>
          </w:p>
        </w:tc>
        <w:tc>
          <w:tcPr>
            <w:tcW w:type="dxa" w:w="4680"/>
            <w:tcMar>
              <w:top w:w="50" w:type="dxa"/>
              <w:bottom w:w="50" w:type="dxa"/>
              <w:left w:w="100" w:type="dxa"/>
              <w:right w:w="100" w:type="dxa"/>
            </w:tcMar>
          </w:tcPr>
          <w:p>
            <w:r>
              <w:t>33</w:t>
            </w:r>
          </w:p>
        </w:tc>
      </w:tr>
      <w:tr>
        <w:tc>
          <w:tcPr>
            <w:tcW w:type="dxa" w:w="4680"/>
            <w:tcMar>
              <w:top w:w="50" w:type="dxa"/>
              <w:bottom w:w="50" w:type="dxa"/>
              <w:left w:w="100" w:type="dxa"/>
              <w:right w:w="100" w:type="dxa"/>
            </w:tcMar>
          </w:tcPr>
          <w:p>
            <w:r>
              <w:t>28. Future Enhancements &amp; Scalability</w:t>
            </w:r>
          </w:p>
        </w:tc>
        <w:tc>
          <w:tcPr>
            <w:tcW w:type="dxa" w:w="4680"/>
            <w:tcMar>
              <w:top w:w="50" w:type="dxa"/>
              <w:bottom w:w="50" w:type="dxa"/>
              <w:left w:w="100" w:type="dxa"/>
              <w:right w:w="100" w:type="dxa"/>
            </w:tcMar>
          </w:tcPr>
          <w:p>
            <w:r>
              <w:t>34</w:t>
            </w:r>
          </w:p>
        </w:tc>
      </w:tr>
      <w:tr>
        <w:tc>
          <w:tcPr>
            <w:tcW w:type="dxa" w:w="4680"/>
            <w:tcMar>
              <w:top w:w="50" w:type="dxa"/>
              <w:bottom w:w="50" w:type="dxa"/>
              <w:left w:w="100" w:type="dxa"/>
              <w:right w:w="100" w:type="dxa"/>
            </w:tcMar>
          </w:tcPr>
          <w:p>
            <w:r>
              <w:t>29. Conclusion &amp; Internship Learnings</w:t>
            </w:r>
          </w:p>
        </w:tc>
        <w:tc>
          <w:tcPr>
            <w:tcW w:type="dxa" w:w="4680"/>
            <w:tcMar>
              <w:top w:w="50" w:type="dxa"/>
              <w:bottom w:w="50" w:type="dxa"/>
              <w:left w:w="100" w:type="dxa"/>
              <w:right w:w="100" w:type="dxa"/>
            </w:tcMar>
          </w:tcPr>
          <w:p>
            <w:r>
              <w:t>35</w:t>
            </w:r>
          </w:p>
        </w:tc>
      </w:tr>
      <w:tr>
        <w:tc>
          <w:tcPr>
            <w:tcW w:type="dxa" w:w="4680"/>
            <w:tcMar>
              <w:top w:w="50" w:type="dxa"/>
              <w:bottom w:w="50" w:type="dxa"/>
              <w:left w:w="100" w:type="dxa"/>
              <w:right w:w="100" w:type="dxa"/>
            </w:tcMar>
          </w:tcPr>
          <w:p>
            <w:r>
              <w:t>30. References &amp; Bibliography</w:t>
            </w:r>
          </w:p>
        </w:tc>
        <w:tc>
          <w:tcPr>
            <w:tcW w:type="dxa" w:w="4680"/>
            <w:tcMar>
              <w:top w:w="50" w:type="dxa"/>
              <w:bottom w:w="50" w:type="dxa"/>
              <w:left w:w="100" w:type="dxa"/>
              <w:right w:w="100" w:type="dxa"/>
            </w:tcMar>
          </w:tcPr>
          <w:p>
            <w:r>
              <w:t>36</w:t>
            </w:r>
          </w:p>
        </w:tc>
      </w:tr>
    </w:tbl>
    <w:p>
      <w:r>
        <w:br w:type="page"/>
      </w:r>
    </w:p>
    <w:p>
      <w:pPr>
        <w:pStyle w:val="Heading1"/>
        <w:keepNext/>
        <w:spacing w:before="280" w:after="120"/>
      </w:pPr>
      <w:r>
        <w:t>1. Introduction &amp; Background</w:t>
      </w:r>
    </w:p>
    <w:p>
      <w:pPr>
        <w:spacing w:line="276" w:lineRule="auto" w:after="120"/>
      </w:pPr>
      <w:r>
        <w:t>In the modern economic landscape, personal financial management has evolved rapidly with the exponential rise of cashless transactions, instant digital settlement interfaces (such as UPI in India, credit card tap-to-pay, and mobile wallets), and internet banking. While digital transactions provide unprecedented convenience, they also obscure discretionary spending visibility. Individuals frequently experience unmonitored liquidity leaks, impulsive micro-spending clusters, and unexpected budget deficits at the conclusion of each month.</w:t>
      </w:r>
    </w:p>
    <w:p>
      <w:pPr>
        <w:spacing w:line="276" w:lineRule="auto" w:after="120"/>
      </w:pPr>
      <w:r>
        <w:t>Existing personal finance applications suffer from two distinct extremes: they are either rudimentary record-keeping software requiring tedious manual entry, or proprietary black-box banking portals that lack explainable analytical summaries and predictive intelligence. Crucially, academic curricula in Computer Science &amp; Engineering (CSE) and Data Analytics emphasize moving beyond simple database CRUD (Create, Read, Update, Delete) systems into intelligent, data-driven platforms combining applied statistics, machine learning, and clean architectural design.</w:t>
      </w:r>
    </w:p>
    <w:p>
      <w:pPr>
        <w:spacing w:line="276" w:lineRule="auto" w:after="120"/>
      </w:pPr>
      <w:r>
        <w:t>SmartSpend AI was conceived and engineered for the IBM SkillsBuild Data Analytics with AI Academic Internship Program. The system bridges transaction data ingestion, automated sanitization, statistical exploration, unsupervised anomaly detection (Isolation Forest), time-series expenditure forecasting (Random Forest Regression), and automated financial recommendations in an accessible, production-ready local web application.</w:t>
      </w:r>
    </w:p>
    <w:p>
      <w:pPr>
        <w:pStyle w:val="Heading1"/>
        <w:keepNext/>
        <w:spacing w:before="280" w:after="120"/>
      </w:pPr>
      <w:r>
        <w:t>2. Problem Statement</w:t>
      </w:r>
    </w:p>
    <w:p>
      <w:pPr>
        <w:spacing w:line="276" w:lineRule="auto" w:after="120"/>
      </w:pPr>
      <w:r>
        <w:t>Contemporary personal expenditure datasets generated from bank statements and budgeting applications present notable data engineering and analytical challenges:</w:t>
      </w:r>
    </w:p>
    <w:p>
      <w:pPr>
        <w:spacing w:line="276" w:lineRule="auto" w:after="120"/>
      </w:pPr>
      <w:r>
        <w:t>1. Inconsistent Formats: Exported statements from varied institutions differ wildly in column conventions (e.g., 'Txn_Amount', 'Debit', 'Spent', 'Cost'), date formats ('YYYY-MM-DD', 'DD/MM/YYYY'), and text encodings.</w:t>
      </w:r>
    </w:p>
    <w:p>
      <w:pPr>
        <w:spacing w:line="276" w:lineRule="auto" w:after="120"/>
      </w:pPr>
      <w:r>
        <w:t>2. Data Quality Degradation: Real-world CSV exports contain duplicate transaction rows, missing category tags, zero or negative noise, and malformed numeric text containing currency symbols.</w:t>
      </w:r>
    </w:p>
    <w:p>
      <w:pPr>
        <w:spacing w:line="276" w:lineRule="auto" w:after="120"/>
      </w:pPr>
      <w:r>
        <w:t>3. Outlier Blindness: Traditional spreadsheets calculate overall arithmetic means that are heavily distorted by single large purchases (e.g., emergency healthcare or electronics), obscuring genuine daily baselines.</w:t>
      </w:r>
    </w:p>
    <w:p>
      <w:pPr>
        <w:spacing w:line="276" w:lineRule="auto" w:after="120"/>
      </w:pPr>
      <w:r>
        <w:t>4. Absence of Predictive Guidance: Existing tools record historical actions retrospectively without forecasting future monthly liquidity requirements.</w:t>
      </w:r>
    </w:p>
    <w:p>
      <w:pPr>
        <w:spacing w:line="276" w:lineRule="auto" w:after="120"/>
      </w:pPr>
      <w:r>
        <w:t>5. Paid API Dependency: Modern AI tools frequently bind their reasoning to expensive, external, proprietary LLM APIs that fail when offline or incur unpredictable operational costs.</w:t>
      </w:r>
    </w:p>
    <w:p>
      <w:pPr>
        <w:pStyle w:val="Heading1"/>
        <w:keepNext/>
        <w:spacing w:before="280" w:after="120"/>
      </w:pPr>
      <w:r>
        <w:t>3. Motivation</w:t>
      </w:r>
    </w:p>
    <w:p>
      <w:pPr>
        <w:spacing w:line="276" w:lineRule="auto" w:after="120"/>
      </w:pPr>
      <w:r>
        <w:t>The central motivation behind SmartSpend AI is to demonstrate how applied Machine Learning and Data Analytics can convert raw, messy, and disjointed personal transaction logs into structured, actionable, and explainable financial intelligence. Developing a complete, working software ecosystem provides essential learning outcomes:</w:t>
      </w:r>
    </w:p>
    <w:p>
      <w:pPr>
        <w:spacing w:line="276" w:lineRule="auto" w:after="120"/>
      </w:pPr>
      <w:r>
        <w:t>- Understanding data cleansing pipelines using Python (Pandas &amp; NumPy).</w:t>
      </w:r>
    </w:p>
    <w:p>
      <w:pPr>
        <w:spacing w:line="276" w:lineRule="auto" w:after="120"/>
      </w:pPr>
      <w:r>
        <w:t>- Deploying mathematical outlier detection using Scikit-Learn Isolation Forest and understanding why tree-based partitioning excels over simple parametric standard deviation on skewed distributions.</w:t>
      </w:r>
    </w:p>
    <w:p>
      <w:pPr>
        <w:spacing w:line="276" w:lineRule="auto" w:after="120"/>
      </w:pPr>
      <w:r>
        <w:t>- Engineering temporal lag features to train supervised Random Forest Regressors for multi-step expenditure forecasting.</w:t>
      </w:r>
    </w:p>
    <w:p>
      <w:pPr>
        <w:spacing w:line="276" w:lineRule="auto" w:after="120"/>
      </w:pPr>
      <w:r>
        <w:t>- Constructing a robust RESTful API using FastAPI with Pydantic schemas, SQLAlchemy relational mapping, and seamless local SQLite/PostgreSQL persistence.</w:t>
      </w:r>
    </w:p>
    <w:p>
      <w:pPr>
        <w:spacing w:line="276" w:lineRule="auto" w:after="120"/>
      </w:pPr>
      <w:r>
        <w:t>- Designing a modern, responsive React 19 frontend with Tailwind CSS and Recharts to deliver rich user experiences.</w:t>
      </w:r>
    </w:p>
    <w:p>
      <w:pPr>
        <w:pStyle w:val="Heading1"/>
        <w:keepNext/>
        <w:spacing w:before="280" w:after="120"/>
      </w:pPr>
      <w:r>
        <w:t>4. Objectives of the Project</w:t>
      </w:r>
    </w:p>
    <w:p>
      <w:pPr>
        <w:spacing w:line="276" w:lineRule="auto" w:after="120"/>
      </w:pPr>
      <w:r>
        <w:t>The key functional and technical objectives of SmartSpend AI are defined as follows:</w:t>
      </w:r>
    </w:p>
    <w:p>
      <w:pPr>
        <w:spacing w:line="276" w:lineRule="auto" w:after="120"/>
      </w:pPr>
      <w:r>
        <w:t>1. Ingestion &amp; Preprocessing: Build an automated service capable of parsing arbitrary CSV files, normalizing column aliases, filtering negative amounts, imputing missing values, and eliminating duplicates.</w:t>
      </w:r>
    </w:p>
    <w:p>
      <w:pPr>
        <w:spacing w:line="276" w:lineRule="auto" w:after="120"/>
      </w:pPr>
      <w:r>
        <w:t>2. Descriptive Analytics: Compute key statistical distributions including arithmetic mean, median, standard deviation, category-wise percentages, monthly spending curves, and payment channel habits.</w:t>
      </w:r>
    </w:p>
    <w:p>
      <w:pPr>
        <w:spacing w:line="276" w:lineRule="auto" w:after="120"/>
      </w:pPr>
      <w:r>
        <w:t>3. Machine Learning Anomaly Detection: Implement an Isolation Forest model to detect unusual expenditures, compute normalized anomaly severity scores, and generate transparent explainable reasons without accusing users of fraud.</w:t>
      </w:r>
    </w:p>
    <w:p>
      <w:pPr>
        <w:spacing w:line="276" w:lineRule="auto" w:after="120"/>
      </w:pPr>
      <w:r>
        <w:t>4. Predictive Expenditure Modeling: Formulate a supervised regression pipeline using Random Forest Regression on historical monthly lag series, reporting truthful non-fabricated evaluation metrics (MAE, RMSE, R²).</w:t>
      </w:r>
    </w:p>
    <w:p>
      <w:pPr>
        <w:spacing w:line="276" w:lineRule="auto" w:after="120"/>
      </w:pPr>
      <w:r>
        <w:t>5. Deterministic AI Insights: Construct an autonomous financial intelligence engine that synthesizes analytics into a Budget Health Score (0-100), key findings, and 50/30/20 recommendations without external paid API dependencies.</w:t>
      </w:r>
    </w:p>
    <w:p>
      <w:pPr>
        <w:spacing w:line="276" w:lineRule="auto" w:after="120"/>
      </w:pPr>
      <w:r>
        <w:t>6. Academic Deliverables: Deliver an exhaustive Jupyter EDA notebook (Ashwini_SmartSpendAI.ipynb), an end-to-end project report, and automated test suites.</w:t>
      </w:r>
    </w:p>
    <w:p>
      <w:r>
        <w:br w:type="page"/>
      </w:r>
    </w:p>
    <w:p>
      <w:pPr>
        <w:pStyle w:val="Heading1"/>
        <w:keepNext/>
        <w:spacing w:before="280" w:after="120"/>
      </w:pPr>
      <w:r>
        <w:t>5. Existing System vs. Proposed System</w:t>
      </w:r>
    </w:p>
    <w:p>
      <w:pPr>
        <w:spacing w:line="276" w:lineRule="auto" w:after="120"/>
      </w:pPr>
      <w:r>
        <w:t>To contextualize the contributions of SmartSpend AI, the comparative capabilities between existing traditional systems and the proposed architecture are summarized in Table 1 below:</w:t>
      </w:r>
    </w:p>
    <w:tbl>
      <w:tblPr>
        <w:tblW w:type="auto" w:w="0"/>
        <w:jc w:val="center"/>
        <w:tblLook w:firstColumn="1" w:firstRow="1" w:lastColumn="0" w:lastRow="0" w:noHBand="0" w:noVBand="1" w:val="04A0"/>
      </w:tblPr>
      <w:tblGrid>
        <w:gridCol w:w="3120"/>
        <w:gridCol w:w="3120"/>
        <w:gridCol w:w="3120"/>
      </w:tblGrid>
      <w:tr>
        <w:tc>
          <w:tcPr>
            <w:tcW w:type="dxa" w:w="3120"/>
            <w:shd w:fill="1E1B4B"/>
          </w:tcPr>
          <w:p>
            <w:r>
              <w:rPr>
                <w:b/>
                <w:color w:val="FFFFFF"/>
              </w:rPr>
              <w:t>Feature / Dimension</w:t>
            </w:r>
          </w:p>
        </w:tc>
        <w:tc>
          <w:tcPr>
            <w:tcW w:type="dxa" w:w="3120"/>
            <w:shd w:fill="1E1B4B"/>
          </w:tcPr>
          <w:p>
            <w:r>
              <w:rPr>
                <w:b/>
                <w:color w:val="FFFFFF"/>
              </w:rPr>
              <w:t>Existing Traditional Systems</w:t>
            </w:r>
          </w:p>
        </w:tc>
        <w:tc>
          <w:tcPr>
            <w:tcW w:type="dxa" w:w="3120"/>
            <w:shd w:fill="1E1B4B"/>
          </w:tcPr>
          <w:p>
            <w:r>
              <w:rPr>
                <w:b/>
                <w:color w:val="FFFFFF"/>
              </w:rPr>
              <w:t>Proposed SmartSpend AI System</w:t>
            </w:r>
          </w:p>
        </w:tc>
      </w:tr>
      <w:tr>
        <w:tc>
          <w:tcPr>
            <w:tcW w:type="dxa" w:w="3120"/>
            <w:tcMar>
              <w:top w:w="60" w:type="dxa"/>
              <w:bottom w:w="60" w:type="dxa"/>
              <w:left w:w="100" w:type="dxa"/>
              <w:right w:w="100" w:type="dxa"/>
            </w:tcMar>
          </w:tcPr>
          <w:p>
            <w:r>
              <w:t>Data Ingestion</w:t>
            </w:r>
          </w:p>
        </w:tc>
        <w:tc>
          <w:tcPr>
            <w:tcW w:type="dxa" w:w="3120"/>
            <w:tcMar>
              <w:top w:w="60" w:type="dxa"/>
              <w:bottom w:w="60" w:type="dxa"/>
              <w:left w:w="100" w:type="dxa"/>
              <w:right w:w="100" w:type="dxa"/>
            </w:tcMar>
          </w:tcPr>
          <w:p>
            <w:r>
              <w:t>Rigid column requirements; crashes on non-matching headers.</w:t>
            </w:r>
          </w:p>
        </w:tc>
        <w:tc>
          <w:tcPr>
            <w:tcW w:type="dxa" w:w="3120"/>
            <w:tcMar>
              <w:top w:w="60" w:type="dxa"/>
              <w:bottom w:w="60" w:type="dxa"/>
              <w:left w:w="100" w:type="dxa"/>
              <w:right w:w="100" w:type="dxa"/>
            </w:tcMar>
          </w:tcPr>
          <w:p>
            <w:r>
              <w:t>Intelligent column alias mapping (Amount, Spent, Cost, Tx_Date, etc.).</w:t>
            </w:r>
          </w:p>
        </w:tc>
      </w:tr>
      <w:tr>
        <w:tc>
          <w:tcPr>
            <w:tcW w:type="dxa" w:w="3120"/>
            <w:tcMar>
              <w:top w:w="60" w:type="dxa"/>
              <w:bottom w:w="60" w:type="dxa"/>
              <w:left w:w="100" w:type="dxa"/>
              <w:right w:w="100" w:type="dxa"/>
            </w:tcMar>
          </w:tcPr>
          <w:p>
            <w:r>
              <w:t>Data Quality Handling</w:t>
            </w:r>
          </w:p>
        </w:tc>
        <w:tc>
          <w:tcPr>
            <w:tcW w:type="dxa" w:w="3120"/>
            <w:tcMar>
              <w:top w:w="60" w:type="dxa"/>
              <w:bottom w:w="60" w:type="dxa"/>
              <w:left w:w="100" w:type="dxa"/>
              <w:right w:w="100" w:type="dxa"/>
            </w:tcMar>
          </w:tcPr>
          <w:p>
            <w:r>
              <w:t>Manual user correction required for duplicates and nulls.</w:t>
            </w:r>
          </w:p>
        </w:tc>
        <w:tc>
          <w:tcPr>
            <w:tcW w:type="dxa" w:w="3120"/>
            <w:tcMar>
              <w:top w:w="60" w:type="dxa"/>
              <w:bottom w:w="60" w:type="dxa"/>
              <w:left w:w="100" w:type="dxa"/>
              <w:right w:w="100" w:type="dxa"/>
            </w:tcMar>
          </w:tcPr>
          <w:p>
            <w:r>
              <w:t>Automated deduplication, format sanitization, and non-positive filtering.</w:t>
            </w:r>
          </w:p>
        </w:tc>
      </w:tr>
      <w:tr>
        <w:tc>
          <w:tcPr>
            <w:tcW w:type="dxa" w:w="3120"/>
            <w:tcMar>
              <w:top w:w="60" w:type="dxa"/>
              <w:bottom w:w="60" w:type="dxa"/>
              <w:left w:w="100" w:type="dxa"/>
              <w:right w:w="100" w:type="dxa"/>
            </w:tcMar>
          </w:tcPr>
          <w:p>
            <w:r>
              <w:t>Analytics Depth</w:t>
            </w:r>
          </w:p>
        </w:tc>
        <w:tc>
          <w:tcPr>
            <w:tcW w:type="dxa" w:w="3120"/>
            <w:tcMar>
              <w:top w:w="60" w:type="dxa"/>
              <w:bottom w:w="60" w:type="dxa"/>
              <w:left w:w="100" w:type="dxa"/>
              <w:right w:w="100" w:type="dxa"/>
            </w:tcMar>
          </w:tcPr>
          <w:p>
            <w:r>
              <w:t>Basic sum and static pie charts.</w:t>
            </w:r>
          </w:p>
        </w:tc>
        <w:tc>
          <w:tcPr>
            <w:tcW w:type="dxa" w:w="3120"/>
            <w:tcMar>
              <w:top w:w="60" w:type="dxa"/>
              <w:bottom w:w="60" w:type="dxa"/>
              <w:left w:w="100" w:type="dxa"/>
              <w:right w:w="100" w:type="dxa"/>
            </w:tcMar>
          </w:tcPr>
          <w:p>
            <w:r>
              <w:t>Multi-dimensional statistical metrics: Median, Std Dev, MoM variance, Daily velocity.</w:t>
            </w:r>
          </w:p>
        </w:tc>
      </w:tr>
      <w:tr>
        <w:tc>
          <w:tcPr>
            <w:tcW w:type="dxa" w:w="3120"/>
            <w:tcMar>
              <w:top w:w="60" w:type="dxa"/>
              <w:bottom w:w="60" w:type="dxa"/>
              <w:left w:w="100" w:type="dxa"/>
              <w:right w:w="100" w:type="dxa"/>
            </w:tcMar>
          </w:tcPr>
          <w:p>
            <w:r>
              <w:t>Outlier Detection</w:t>
            </w:r>
          </w:p>
        </w:tc>
        <w:tc>
          <w:tcPr>
            <w:tcW w:type="dxa" w:w="3120"/>
            <w:tcMar>
              <w:top w:w="60" w:type="dxa"/>
              <w:bottom w:w="60" w:type="dxa"/>
              <w:left w:w="100" w:type="dxa"/>
              <w:right w:w="100" w:type="dxa"/>
            </w:tcMar>
          </w:tcPr>
          <w:p>
            <w:r>
              <w:t>Rule-based thresholds (e.g., &gt; ₹10,000) or non-existent.</w:t>
            </w:r>
          </w:p>
        </w:tc>
        <w:tc>
          <w:tcPr>
            <w:tcW w:type="dxa" w:w="3120"/>
            <w:tcMar>
              <w:top w:w="60" w:type="dxa"/>
              <w:bottom w:w="60" w:type="dxa"/>
              <w:left w:w="100" w:type="dxa"/>
              <w:right w:w="100" w:type="dxa"/>
            </w:tcMar>
          </w:tcPr>
          <w:p>
            <w:r>
              <w:t>Scikit-Learn Isolation Forest with Category-Relative Z-Score Decomposition.</w:t>
            </w:r>
          </w:p>
        </w:tc>
      </w:tr>
      <w:tr>
        <w:tc>
          <w:tcPr>
            <w:tcW w:type="dxa" w:w="3120"/>
            <w:tcMar>
              <w:top w:w="60" w:type="dxa"/>
              <w:bottom w:w="60" w:type="dxa"/>
              <w:left w:w="100" w:type="dxa"/>
              <w:right w:w="100" w:type="dxa"/>
            </w:tcMar>
          </w:tcPr>
          <w:p>
            <w:r>
              <w:t>Predictive Capability</w:t>
            </w:r>
          </w:p>
        </w:tc>
        <w:tc>
          <w:tcPr>
            <w:tcW w:type="dxa" w:w="3120"/>
            <w:tcMar>
              <w:top w:w="60" w:type="dxa"/>
              <w:bottom w:w="60" w:type="dxa"/>
              <w:left w:w="100" w:type="dxa"/>
              <w:right w:w="100" w:type="dxa"/>
            </w:tcMar>
          </w:tcPr>
          <w:p>
            <w:r>
              <w:t>None; purely retrospective record store.</w:t>
            </w:r>
          </w:p>
        </w:tc>
        <w:tc>
          <w:tcPr>
            <w:tcW w:type="dxa" w:w="3120"/>
            <w:tcMar>
              <w:top w:w="60" w:type="dxa"/>
              <w:bottom w:w="60" w:type="dxa"/>
              <w:left w:w="100" w:type="dxa"/>
              <w:right w:w="100" w:type="dxa"/>
            </w:tcMar>
          </w:tcPr>
          <w:p>
            <w:r>
              <w:t>Supervised Random Forest Regressor forecasting next-month spending with MAE/R².</w:t>
            </w:r>
          </w:p>
        </w:tc>
      </w:tr>
      <w:tr>
        <w:tc>
          <w:tcPr>
            <w:tcW w:type="dxa" w:w="3120"/>
            <w:tcMar>
              <w:top w:w="60" w:type="dxa"/>
              <w:bottom w:w="60" w:type="dxa"/>
              <w:left w:w="100" w:type="dxa"/>
              <w:right w:w="100" w:type="dxa"/>
            </w:tcMar>
          </w:tcPr>
          <w:p>
            <w:r>
              <w:t>AI Insights Engine</w:t>
            </w:r>
          </w:p>
        </w:tc>
        <w:tc>
          <w:tcPr>
            <w:tcW w:type="dxa" w:w="3120"/>
            <w:tcMar>
              <w:top w:w="60" w:type="dxa"/>
              <w:bottom w:w="60" w:type="dxa"/>
              <w:left w:w="100" w:type="dxa"/>
              <w:right w:w="100" w:type="dxa"/>
            </w:tcMar>
          </w:tcPr>
          <w:p>
            <w:r>
              <w:t>Generic text or paid third-party API lock-in.</w:t>
            </w:r>
          </w:p>
        </w:tc>
        <w:tc>
          <w:tcPr>
            <w:tcW w:type="dxa" w:w="3120"/>
            <w:tcMar>
              <w:top w:w="60" w:type="dxa"/>
              <w:bottom w:w="60" w:type="dxa"/>
              <w:left w:w="100" w:type="dxa"/>
              <w:right w:w="100" w:type="dxa"/>
            </w:tcMar>
          </w:tcPr>
          <w:p>
            <w:r>
              <w:t>Autonomous deterministic financial reasoning engine with Budget Health Scoring.</w:t>
            </w:r>
          </w:p>
        </w:tc>
      </w:tr>
      <w:tr>
        <w:tc>
          <w:tcPr>
            <w:tcW w:type="dxa" w:w="3120"/>
            <w:tcMar>
              <w:top w:w="60" w:type="dxa"/>
              <w:bottom w:w="60" w:type="dxa"/>
              <w:left w:w="100" w:type="dxa"/>
              <w:right w:w="100" w:type="dxa"/>
            </w:tcMar>
          </w:tcPr>
          <w:p>
            <w:r>
              <w:t>Architecture</w:t>
            </w:r>
          </w:p>
        </w:tc>
        <w:tc>
          <w:tcPr>
            <w:tcW w:type="dxa" w:w="3120"/>
            <w:tcMar>
              <w:top w:w="60" w:type="dxa"/>
              <w:bottom w:w="60" w:type="dxa"/>
              <w:left w:w="100" w:type="dxa"/>
              <w:right w:w="100" w:type="dxa"/>
            </w:tcMar>
          </w:tcPr>
          <w:p>
            <w:r>
              <w:t>Tightly coupled monolithic desktop or black-box SaaS.</w:t>
            </w:r>
          </w:p>
        </w:tc>
        <w:tc>
          <w:tcPr>
            <w:tcW w:type="dxa" w:w="3120"/>
            <w:tcMar>
              <w:top w:w="60" w:type="dxa"/>
              <w:bottom w:w="60" w:type="dxa"/>
              <w:left w:w="100" w:type="dxa"/>
              <w:right w:w="100" w:type="dxa"/>
            </w:tcMar>
          </w:tcPr>
          <w:p>
            <w:r>
              <w:t>Decoupled FastAPI REST service + React 19 single-page application.</w:t>
            </w:r>
          </w:p>
        </w:tc>
      </w:tr>
      <w:tr>
        <w:tc>
          <w:tcPr>
            <w:tcW w:type="dxa" w:w="3120"/>
            <w:tcMar>
              <w:top w:w="60" w:type="dxa"/>
              <w:bottom w:w="60" w:type="dxa"/>
              <w:left w:w="100" w:type="dxa"/>
              <w:right w:w="100" w:type="dxa"/>
            </w:tcMar>
          </w:tcPr>
          <w:p>
            <w:r>
              <w:t>Verification &amp; Academic Rigor</w:t>
            </w:r>
          </w:p>
        </w:tc>
        <w:tc>
          <w:tcPr>
            <w:tcW w:type="dxa" w:w="3120"/>
            <w:tcMar>
              <w:top w:w="60" w:type="dxa"/>
              <w:bottom w:w="60" w:type="dxa"/>
              <w:left w:w="100" w:type="dxa"/>
              <w:right w:w="100" w:type="dxa"/>
            </w:tcMar>
          </w:tcPr>
          <w:p>
            <w:r>
              <w:t>Proprietary, non-testable closed code.</w:t>
            </w:r>
          </w:p>
        </w:tc>
        <w:tc>
          <w:tcPr>
            <w:tcW w:type="dxa" w:w="3120"/>
            <w:tcMar>
              <w:top w:w="60" w:type="dxa"/>
              <w:bottom w:w="60" w:type="dxa"/>
              <w:left w:w="100" w:type="dxa"/>
              <w:right w:w="100" w:type="dxa"/>
            </w:tcMar>
          </w:tcPr>
          <w:p>
            <w:r>
              <w:t>Complete open Jupyter EDA Notebook + Pytest automated backend test suite.</w:t>
            </w:r>
          </w:p>
        </w:tc>
      </w:tr>
    </w:tbl>
    <w:p>
      <w:pPr>
        <w:pStyle w:val="Heading1"/>
        <w:keepNext/>
        <w:spacing w:before="280" w:after="120"/>
      </w:pPr>
      <w:r>
        <w:t>6. Literature &amp; Technology Overview</w:t>
      </w:r>
    </w:p>
    <w:p>
      <w:pPr>
        <w:spacing w:line="276" w:lineRule="auto" w:after="120"/>
      </w:pPr>
      <w:r>
        <w:t>The technical foundations of SmartSpend AI draw from established methodologies in data mining, ensemble learning, and modern web application frameworks:</w:t>
      </w:r>
    </w:p>
    <w:p>
      <w:pPr>
        <w:spacing w:line="276" w:lineRule="auto" w:after="120"/>
      </w:pPr>
      <w:r>
        <w:t>• Isolation Forest (Liu, Ting, and Zhou, 2008): Unlike conventional anomaly detection techniques that construct a profile of normal data points (such as k-Means or Gaussian Mixture Models), Isolation Forest explicitly isolates anomalies by building random partitioning trees. Anomalies, being few and different, require fewer recursive partitions and thus reside closer to the root of the tree, producing significantly shorter average path lengths.</w:t>
      </w:r>
    </w:p>
    <w:p>
      <w:pPr>
        <w:spacing w:line="276" w:lineRule="auto" w:after="120"/>
      </w:pPr>
      <w:r>
        <w:t>• Random Forest Regression (Breiman, 2001): A supervised ensemble learning method that constructs a multitude of decorrelated decision trees during training and outputs the mean prediction of the individual trees. By aggregating across diverse trees, Random Forest limits overfitting on volatile time-series datasets and handles non-linear relationships effectively.</w:t>
      </w:r>
    </w:p>
    <w:p>
      <w:pPr>
        <w:spacing w:line="276" w:lineRule="auto" w:after="120"/>
      </w:pPr>
      <w:r>
        <w:t>• FastAPI &amp; Asynchronous Python: FastAPI is a modern, high-performance web framework for building APIs with Python based on standard Python type hints. Built upon Starlette and Pydantic, it provides automatic OpenAPI documentation, high serialization throughput, and native data validation.</w:t>
      </w:r>
    </w:p>
    <w:p>
      <w:pPr>
        <w:spacing w:line="276" w:lineRule="auto" w:after="120"/>
      </w:pPr>
      <w:r>
        <w:t>• React 19 &amp; Recharts: A component-driven JavaScript library designed for dynamic state management, paired with Recharts, a composable declarative charting framework built on SVG and React primitives.</w:t>
      </w:r>
    </w:p>
    <w:p>
      <w:r>
        <w:br w:type="page"/>
      </w:r>
    </w:p>
    <w:p>
      <w:pPr>
        <w:pStyle w:val="Heading1"/>
        <w:keepNext/>
        <w:spacing w:before="280" w:after="120"/>
      </w:pPr>
      <w:r>
        <w:t>7. System Requirements Specification (SRS)</w:t>
      </w:r>
    </w:p>
    <w:p>
      <w:pPr>
        <w:spacing w:line="276" w:lineRule="auto" w:after="120"/>
      </w:pPr>
      <w:r>
        <w:t>The hardware and software prerequisites required to deploy, execute, and evaluate SmartSpend AI locally are itemized below:</w:t>
      </w:r>
    </w:p>
    <w:p>
      <w:pPr>
        <w:pStyle w:val="Heading2"/>
        <w:keepNext/>
        <w:spacing w:before="280" w:after="120"/>
      </w:pPr>
      <w:r>
        <w:t>Hardware Requirements</w:t>
      </w:r>
    </w:p>
    <w:p>
      <w:pPr>
        <w:spacing w:line="276" w:lineRule="auto" w:after="120"/>
      </w:pPr>
      <w:r>
        <w:t>• Processor: Dual-Core 2.0 GHz or higher (Intel Core i3/i5/i7/i9 or AMD Ryzen).</w:t>
      </w:r>
    </w:p>
    <w:p>
      <w:pPr>
        <w:spacing w:line="276" w:lineRule="auto" w:after="120"/>
      </w:pPr>
      <w:r>
        <w:t>• RAM: Minimum 4 GB RAM (8 GB recommended for optimal machine learning training).</w:t>
      </w:r>
    </w:p>
    <w:p>
      <w:pPr>
        <w:spacing w:line="276" w:lineRule="auto" w:after="120"/>
      </w:pPr>
      <w:r>
        <w:t>• Storage: Minimum 500 MB free hard drive space for dependencies, models, and databases.</w:t>
      </w:r>
    </w:p>
    <w:p>
      <w:pPr>
        <w:spacing w:line="276" w:lineRule="auto" w:after="120"/>
      </w:pPr>
      <w:r>
        <w:t>• Display: 1280 x 720 minimum screen resolution (1920 x 1080 recommended for analytics dashboards).</w:t>
      </w:r>
    </w:p>
    <w:p>
      <w:pPr>
        <w:pStyle w:val="Heading2"/>
        <w:keepNext/>
        <w:spacing w:before="280" w:after="120"/>
      </w:pPr>
      <w:r>
        <w:t>Software Requirements</w:t>
      </w:r>
    </w:p>
    <w:p>
      <w:pPr>
        <w:spacing w:line="276" w:lineRule="auto" w:after="120"/>
      </w:pPr>
      <w:r>
        <w:t>• Operating System: Windows 10/11, Linux (Ubuntu 20.04+), or macOS.</w:t>
      </w:r>
    </w:p>
    <w:p>
      <w:pPr>
        <w:spacing w:line="276" w:lineRule="auto" w:after="120"/>
      </w:pPr>
      <w:r>
        <w:t>• Python Environment: Python 3.10 to 3.14 (Verified on Python 3.14.7).</w:t>
      </w:r>
    </w:p>
    <w:p>
      <w:pPr>
        <w:spacing w:line="276" w:lineRule="auto" w:after="120"/>
      </w:pPr>
      <w:r>
        <w:t>• Node.js Environment: Node.js v18+ and npm v9+ (Verified on Node.js v22.17.1 / npm 11.6.3).</w:t>
      </w:r>
    </w:p>
    <w:p>
      <w:pPr>
        <w:spacing w:line="276" w:lineRule="auto" w:after="120"/>
      </w:pPr>
      <w:r>
        <w:t>• Database: PostgreSQL 14+ (production) or SQLite 3.x (bundled local zero-config fallback).</w:t>
      </w:r>
    </w:p>
    <w:p>
      <w:pPr>
        <w:spacing w:line="276" w:lineRule="auto" w:after="120"/>
      </w:pPr>
      <w:r>
        <w:t>• Browser: Google Chrome, Mozilla Firefox, Microsoft Edge, or Safari with JavaScript enabled.</w:t>
      </w:r>
    </w:p>
    <w:p>
      <w:pPr>
        <w:pStyle w:val="Heading1"/>
        <w:keepNext/>
        <w:spacing w:before="280" w:after="120"/>
      </w:pPr>
      <w:r>
        <w:t>8. Functional &amp; Non-Functional Requirements</w:t>
      </w:r>
    </w:p>
    <w:p>
      <w:pPr>
        <w:pStyle w:val="Heading2"/>
        <w:keepNext/>
        <w:spacing w:before="280" w:after="120"/>
      </w:pPr>
      <w:r>
        <w:t>Functional Requirements</w:t>
      </w:r>
    </w:p>
    <w:p>
      <w:pPr>
        <w:spacing w:line="276" w:lineRule="auto" w:after="120"/>
      </w:pPr>
      <w:r>
        <w:t>FR-1: File Ingestion — The system shall accept CSV file uploads up to 5 MB through a drag-and-drop or file picker interface.</w:t>
      </w:r>
    </w:p>
    <w:p>
      <w:pPr>
        <w:spacing w:line="276" w:lineRule="auto" w:after="120"/>
      </w:pPr>
      <w:r>
        <w:t>FR-2: Preprocessing &amp; Cleaning — The system shall validate column mappings, strip currency symbols, parse dates into YYYY-MM-DD, filter non-positive values, and remove exact duplicates.</w:t>
      </w:r>
    </w:p>
    <w:p>
      <w:pPr>
        <w:spacing w:line="276" w:lineRule="auto" w:after="120"/>
      </w:pPr>
      <w:r>
        <w:t>FR-3: Descriptive Statistics — The system shall calculate arithmetic mean, median, standard deviation, min, max, total spending, and unique counts.</w:t>
      </w:r>
    </w:p>
    <w:p>
      <w:pPr>
        <w:spacing w:line="276" w:lineRule="auto" w:after="120"/>
      </w:pPr>
      <w:r>
        <w:t>FR-4: Categorical &amp; Temporal Analytics — The system shall compute category percentages, monthly spending trends, month-over-month variances, payment mode distributions, and daily velocities.</w:t>
      </w:r>
    </w:p>
    <w:p>
      <w:pPr>
        <w:spacing w:line="276" w:lineRule="auto" w:after="120"/>
      </w:pPr>
      <w:r>
        <w:t>FR-5: Anomaly Detection — The system shall utilize Scikit-Learn Isolation Forest to identify statistically unusual transactions with explainable reasoning.</w:t>
      </w:r>
    </w:p>
    <w:p>
      <w:pPr>
        <w:spacing w:line="276" w:lineRule="auto" w:after="120"/>
      </w:pPr>
      <w:r>
        <w:t>FR-6: Expenditure Forecasting — The system shall forecast next-month spending using Random Forest Regression on historical lag series with truthful MAE, RMSE, and R² scores.</w:t>
      </w:r>
    </w:p>
    <w:p>
      <w:pPr>
        <w:spacing w:line="276" w:lineRule="auto" w:after="120"/>
      </w:pPr>
      <w:r>
        <w:t>FR-7: Financial Insights Engine — The system shall generate deterministic narrative summaries, a Budget Health Score (0-100), risk alerts, and 50/30/20 recommendations.</w:t>
      </w:r>
    </w:p>
    <w:p>
      <w:pPr>
        <w:pStyle w:val="Heading2"/>
        <w:keepNext/>
        <w:spacing w:before="280" w:after="120"/>
      </w:pPr>
      <w:r>
        <w:t>Non-Functional Requirements</w:t>
      </w:r>
    </w:p>
    <w:p>
      <w:pPr>
        <w:spacing w:line="276" w:lineRule="auto" w:after="120"/>
      </w:pPr>
      <w:r>
        <w:t>NFR-1: Performance &amp; Latency — Preprocessing and model inference for datasets up to 1,000 transactions shall execute in under 1.5 seconds.</w:t>
      </w:r>
    </w:p>
    <w:p>
      <w:pPr>
        <w:spacing w:line="276" w:lineRule="auto" w:after="120"/>
      </w:pPr>
      <w:r>
        <w:t>NFR-2: Usability &amp; Responsiveness — The frontend shall adapt fluidly across mobile, tablet, and desktop viewports with accessible color contrasts.</w:t>
      </w:r>
    </w:p>
    <w:p>
      <w:pPr>
        <w:spacing w:line="276" w:lineRule="auto" w:after="120"/>
      </w:pPr>
      <w:r>
        <w:t>NFR-3: Reliability &amp; Zero-Config Fallback — The backend shall automatically fall back to local SQLite if PostgreSQL is unavailable, ensuring uninterrupted evaluation.</w:t>
      </w:r>
    </w:p>
    <w:p>
      <w:pPr>
        <w:spacing w:line="276" w:lineRule="auto" w:after="120"/>
      </w:pPr>
      <w:r>
        <w:t>NFR-4: Security &amp; Privacy — Secrets and database credentials shall reside strictly in environment variables (.env); transaction data remains on the user's local instance.</w:t>
      </w:r>
    </w:p>
    <w:p>
      <w:r>
        <w:br w:type="page"/>
      </w:r>
    </w:p>
    <w:p>
      <w:pPr>
        <w:pStyle w:val="Heading1"/>
        <w:keepNext/>
        <w:spacing w:before="280" w:after="120"/>
      </w:pPr>
      <w:r>
        <w:t>9. System Architecture &amp; Data Flow</w:t>
      </w:r>
    </w:p>
    <w:p>
      <w:pPr>
        <w:spacing w:line="276" w:lineRule="auto" w:after="120"/>
      </w:pPr>
      <w:r>
        <w:t>SmartSpend AI adheres to a modular, three-tier client-server architecture separating presentation, business logic &amp; analytics, and persistence:</w:t>
      </w:r>
    </w:p>
    <w:p>
      <w:pPr>
        <w:spacing w:line="276" w:lineRule="auto" w:after="120"/>
      </w:pPr>
      <w:r>
        <w:t>1. Client Presentation Tier: Built with React 19, Tailwind CSS, and Recharts. Communicates with the backend exclusively via asynchronous HTTP REST calls through Axios.</w:t>
      </w:r>
    </w:p>
    <w:p>
      <w:pPr>
        <w:spacing w:line="276" w:lineRule="auto" w:after="120"/>
      </w:pPr>
      <w:r>
        <w:t>2. API &amp; Computational Tier: Powered by FastAPI, featuring dedicated route handlers (/api/upload, /api/analytics, /api/anomalies, /api/prediction, /api/insights, /api/health). Preprocessing and model computation are decoupled into dedicated service modules (preprocessing.py, analytics_service.py, anomaly_service.py, prediction_service.py, insight_service.py).</w:t>
      </w:r>
    </w:p>
    <w:p>
      <w:pPr>
        <w:spacing w:line="276" w:lineRule="auto" w:after="120"/>
      </w:pPr>
      <w:r>
        <w:t>3. Persistence &amp; Storage Tier: Managed by SQLAlchemy ORM with support for PostgreSQL in enterprise settings and automatic SQLite fallback for simple zero-config student evaluations.</w:t>
      </w:r>
    </w:p>
    <w:p>
      <w:pPr>
        <w:pStyle w:val="Heading2"/>
        <w:keepNext/>
        <w:spacing w:before="280" w:after="120"/>
      </w:pPr>
      <w:r>
        <w:t>Data Flow Pipeline</w:t>
      </w:r>
    </w:p>
    <w:p>
      <w:pPr>
        <w:spacing w:line="276" w:lineRule="auto" w:after="120"/>
      </w:pPr>
      <w:r>
        <w:t>The sequence of operations during a dataset lifecycle proceeds as follows:</w:t>
      </w:r>
    </w:p>
    <w:p>
      <w:pPr>
        <w:spacing w:line="276" w:lineRule="auto" w:after="120"/>
      </w:pPr>
      <w:r>
        <w:t>Step 1: User uploads an expense CSV through the drag-and-drop interface.</w:t>
      </w:r>
    </w:p>
    <w:p>
      <w:pPr>
        <w:spacing w:line="276" w:lineRule="auto" w:after="120"/>
      </w:pPr>
      <w:r>
        <w:t>Step 2: FastAPI validators check file size, extension, and MIME type.</w:t>
      </w:r>
    </w:p>
    <w:p>
      <w:pPr>
        <w:spacing w:line="276" w:lineRule="auto" w:after="120"/>
      </w:pPr>
      <w:r>
        <w:t>Step 3: The Preprocessing Service standardizes column names, drops invalid/zero amounts, normalizes categories and payment channels, eliminates duplicate records, and calculates preprocessing metadata.</w:t>
      </w:r>
    </w:p>
    <w:p>
      <w:pPr>
        <w:spacing w:line="276" w:lineRule="auto" w:after="120"/>
      </w:pPr>
      <w:r>
        <w:t>Step 4: Transactions and pre-calculated Isolation Forest anomalies are written to the database.</w:t>
      </w:r>
    </w:p>
    <w:p>
      <w:pPr>
        <w:spacing w:line="276" w:lineRule="auto" w:after="120"/>
      </w:pPr>
      <w:r>
        <w:t>Step 5: Analytics and Prediction endpoints compute statistics and machine learning forecasts on demand, returning structured JSON payloads.</w:t>
      </w:r>
    </w:p>
    <w:p>
      <w:pPr>
        <w:spacing w:line="276" w:lineRule="auto" w:after="120"/>
      </w:pPr>
      <w:r>
        <w:t>Step 6: The React dashboard renders interactive Recharts (bar charts, area charts, donut charts) and displays AI budgeting guidance.</w:t>
      </w:r>
    </w:p>
    <w:p>
      <w:pPr>
        <w:pStyle w:val="Heading1"/>
        <w:keepNext/>
        <w:spacing w:before="280" w:after="120"/>
      </w:pPr>
      <w:r>
        <w:t>10. Dataset Description &amp; Calibration</w:t>
      </w:r>
    </w:p>
    <w:p>
      <w:pPr>
        <w:spacing w:line="276" w:lineRule="auto" w:after="120"/>
      </w:pPr>
      <w:r>
        <w:t>The project incorporates a realistic, calibrated synthetic transaction dataset located at data/sample_transactions.csv, generated for rigorous academic demonstration without fabricated real-world claims.</w:t>
      </w:r>
    </w:p>
    <w:p>
      <w:pPr>
        <w:spacing w:line="276" w:lineRule="auto" w:after="120"/>
      </w:pPr>
      <w:r>
        <w:t>• Dataset Volume: 370 transaction records spanning 12 continuous calendar months (January 1, 2025 to December 31, 2025).</w:t>
      </w:r>
    </w:p>
    <w:p>
      <w:pPr>
        <w:spacing w:line="276" w:lineRule="auto" w:after="120"/>
      </w:pPr>
      <w:r>
        <w:t>• Feature Columns: Date, Category, Amount, Payment_Mode, Description.</w:t>
      </w:r>
    </w:p>
    <w:p>
      <w:pPr>
        <w:spacing w:line="276" w:lineRule="auto" w:after="120"/>
      </w:pPr>
      <w:r>
        <w:t>• Category Coverage: Food &amp; Dining, Groceries, Transportation, Bills &amp; Utilities, Shopping, Entertainment, Healthcare, Education.</w:t>
      </w:r>
    </w:p>
    <w:p>
      <w:pPr>
        <w:spacing w:line="276" w:lineRule="auto" w:after="120"/>
      </w:pPr>
      <w:r>
        <w:t>• Payment Channel Coverage: UPI, Credit Card, Debit Card, Net Banking, Cash.</w:t>
      </w:r>
    </w:p>
    <w:p>
      <w:pPr>
        <w:spacing w:line="276" w:lineRule="auto" w:after="120"/>
      </w:pPr>
      <w:r>
        <w:t>• Calibrated Outliers: Contains 5 intentionally injected high-value unusual transactions (flagship electronics purchase at ₹48,500, emergency dental surgery at ₹34,500, music festival VIP passes at ₹26,800, television purchase at ₹41,200, and a banquet party at ₹18,900) to rigorously validate Isolation Forest detection efficacy.</w:t>
      </w:r>
    </w:p>
    <w:p>
      <w:r>
        <w:br w:type="page"/>
      </w:r>
    </w:p>
    <w:p>
      <w:pPr>
        <w:pStyle w:val="Heading1"/>
        <w:keepNext/>
        <w:spacing w:before="280" w:after="120"/>
      </w:pPr>
      <w:r>
        <w:t>11. Data Preprocessing &amp; Sanitization Pipeline</w:t>
      </w:r>
    </w:p>
    <w:p>
      <w:pPr>
        <w:spacing w:line="276" w:lineRule="auto" w:after="120"/>
      </w:pPr>
      <w:r>
        <w:t>Data cleaning is the cornerstone of reliable analytics and machine learning. The preprocessing module (backend/services/preprocessing.py) executes six sequential transformations:</w:t>
      </w:r>
    </w:p>
    <w:p>
      <w:pPr>
        <w:spacing w:line="276" w:lineRule="auto" w:after="120"/>
      </w:pPr>
      <w:r>
        <w:t>1. Encoding Resilience: Iteratively attempts UTF-8, Latin-1, ISO-8859-1, and CP1252 encodings to ensure cross-platform compatibility.</w:t>
      </w:r>
    </w:p>
    <w:p>
      <w:pPr>
        <w:spacing w:line="276" w:lineRule="auto" w:after="120"/>
      </w:pPr>
      <w:r>
        <w:t>2. Flexible Column Alias Resolution: Dynamically matches arbitrary header permutations against canonical keys:</w:t>
      </w:r>
    </w:p>
    <w:p>
      <w:pPr>
        <w:spacing w:line="276" w:lineRule="auto" w:after="120"/>
      </w:pPr>
      <w:r>
        <w:t xml:space="preserve">   - Amount: [amount, transaction_amount, amt, spent, value, cost, debit, price]</w:t>
      </w:r>
    </w:p>
    <w:p>
      <w:pPr>
        <w:spacing w:line="276" w:lineRule="auto" w:after="120"/>
      </w:pPr>
      <w:r>
        <w:t xml:space="preserve">   - Date: [date, transaction_date, tx_date, datetime, timestamp, posting_date]</w:t>
      </w:r>
    </w:p>
    <w:p>
      <w:pPr>
        <w:spacing w:line="276" w:lineRule="auto" w:after="120"/>
      </w:pPr>
      <w:r>
        <w:t xml:space="preserve">   - Category: [category, expense_category, cat, type, expense_type, tag]</w:t>
      </w:r>
    </w:p>
    <w:p>
      <w:pPr>
        <w:spacing w:line="276" w:lineRule="auto" w:after="120"/>
      </w:pPr>
      <w:r>
        <w:t xml:space="preserve">   - Payment Mode: [payment_mode, payment_method, mode, payment, channel, method]</w:t>
      </w:r>
    </w:p>
    <w:p>
      <w:pPr>
        <w:spacing w:line="276" w:lineRule="auto" w:after="120"/>
      </w:pPr>
      <w:r>
        <w:t xml:space="preserve">   - Description: [description, desc, notes, remark, narration, merchant, details]</w:t>
      </w:r>
    </w:p>
    <w:p>
      <w:pPr>
        <w:spacing w:line="276" w:lineRule="auto" w:after="120"/>
      </w:pPr>
      <w:r>
        <w:t>3. Numeric Sanitization: Extracts clean floats using regular expressions (re.sub(r'[^\d.-]', '', val)), converting strings like '₹2,500.00' into 2500.0.</w:t>
      </w:r>
    </w:p>
    <w:p>
      <w:pPr>
        <w:spacing w:line="276" w:lineRule="auto" w:after="120"/>
      </w:pPr>
      <w:r>
        <w:t>4. Non-Positive Filtering: Drops amounts less than or equal to zero, ensuring physical real-world expenditure validity.</w:t>
      </w:r>
    </w:p>
    <w:p>
      <w:pPr>
        <w:spacing w:line="276" w:lineRule="auto" w:after="120"/>
      </w:pPr>
      <w:r>
        <w:t>5. Date Parsing: Enforces uniform ISO-8601 formatting (YYYY-MM-DD).</w:t>
      </w:r>
    </w:p>
    <w:p>
      <w:pPr>
        <w:spacing w:line="276" w:lineRule="auto" w:after="120"/>
      </w:pPr>
      <w:r>
        <w:t>6. Duplicate Elimination: Detects and purges exact duplicate transaction records across all feature fields.</w:t>
      </w:r>
    </w:p>
    <w:p>
      <w:pPr>
        <w:pStyle w:val="Heading1"/>
        <w:keepNext/>
        <w:spacing w:before="280" w:after="120"/>
      </w:pPr>
      <w:r>
        <w:t>12. Exploratory Data Analysis (EDA)</w:t>
      </w:r>
    </w:p>
    <w:p>
      <w:pPr>
        <w:spacing w:line="276" w:lineRule="auto" w:after="120"/>
      </w:pPr>
      <w:r>
        <w:t>Exploratory analysis was conducted using Pandas and Matplotlib/Seaborn within the project notebook (Ashwini_SmartSpendAI.ipynb). Key statistical findings from the calibrated 370-transaction dataset:</w:t>
      </w:r>
    </w:p>
    <w:p>
      <w:pPr>
        <w:spacing w:line="276" w:lineRule="auto" w:after="120"/>
      </w:pPr>
      <w:r>
        <w:t>• Total Spending: ₹678,250.00 across 370 validated transactions.</w:t>
      </w:r>
    </w:p>
    <w:p>
      <w:pPr>
        <w:spacing w:line="276" w:lineRule="auto" w:after="120"/>
      </w:pPr>
      <w:r>
        <w:t>• Central Tendency: Arithmetic Mean = ₹1,833.11; Median = ₹930.00. The substantial gap between the mean and median highlights severe positive (right) skewness caused by high-value outlier expenditures.</w:t>
      </w:r>
    </w:p>
    <w:p>
      <w:pPr>
        <w:spacing w:line="276" w:lineRule="auto" w:after="120"/>
      </w:pPr>
      <w:r>
        <w:t>• Dispersion: Standard Deviation = ₹4,215.80; Minimum Transaction = ₹45.00; Maximum Transaction = ₹48,500.00.</w:t>
      </w:r>
    </w:p>
    <w:p>
      <w:pPr>
        <w:spacing w:line="276" w:lineRule="auto" w:after="120"/>
      </w:pPr>
      <w:r>
        <w:t>• Category Hierarchy: Shopping accounted for the largest total spend (₹172,300, 25.4%), followed by Food &amp; Dining (₹142,800, 21.1%) and Groceries (₹128,450, 18.9%).</w:t>
      </w:r>
    </w:p>
    <w:p>
      <w:pPr>
        <w:spacing w:line="276" w:lineRule="auto" w:after="120"/>
      </w:pPr>
      <w:r>
        <w:t>• Payment Channel Habits: UPI processed the highest transaction frequency (182 transactions, 49.2%), while Credit Card processed the highest total value (₹284,500, 41.9%) due to high-ticket electronics purchases.</w:t>
      </w:r>
    </w:p>
    <w:p>
      <w:pPr>
        <w:pStyle w:val="Heading1"/>
        <w:keepNext/>
        <w:spacing w:before="280" w:after="120"/>
      </w:pPr>
      <w:r>
        <w:t>13. Machine Learning Methodology</w:t>
      </w:r>
    </w:p>
    <w:p>
      <w:pPr>
        <w:spacing w:line="276" w:lineRule="auto" w:after="120"/>
      </w:pPr>
      <w:r>
        <w:t>SmartSpend AI integrates two complementary machine learning models to extract predictive and structural intelligence from expense data:</w:t>
      </w:r>
    </w:p>
    <w:p>
      <w:pPr>
        <w:pStyle w:val="Heading2"/>
        <w:keepNext/>
        <w:spacing w:before="280" w:after="120"/>
      </w:pPr>
      <w:r>
        <w:t>13.1 Anomaly Detection with Isolation Forest</w:t>
      </w:r>
    </w:p>
    <w:p>
      <w:pPr>
        <w:spacing w:line="276" w:lineRule="auto" w:after="120"/>
      </w:pPr>
      <w:r>
        <w:t>Why Isolation Forest? Traditional parametric methods (e.g., empirical rule ± 3σ) assume a Gaussian normal distribution. Financial expense data, however, is heavily right-skewed with multimodal category distributions. The Isolation Forest algorithm isolates observations by randomly selecting a feature and randomly selecting a split value between the maximum and minimum values of that feature.</w:t>
      </w:r>
    </w:p>
    <w:p>
      <w:pPr>
        <w:spacing w:line="276" w:lineRule="auto" w:after="120"/>
      </w:pPr>
      <w:r>
        <w:t>Feature Vector Formulation: To avoid penalizing normal high-cost categories (e.g., Bills or Rent) while missing unusual spikes in low-cost categories (e.g., Food), we engineer a domain-aware feature vector:</w:t>
      </w:r>
    </w:p>
    <w:p>
      <w:pPr>
        <w:spacing w:line="276" w:lineRule="auto" w:after="120"/>
      </w:pPr>
      <w:r>
        <w:t>x_i = [ Amount_i,  ln(1 + Amount_i),  Z_{cat, i},  DayOfWeek_i ]</w:t>
      </w:r>
    </w:p>
    <w:p>
      <w:pPr>
        <w:spacing w:line="276" w:lineRule="auto" w:after="120"/>
      </w:pPr>
      <w:r>
        <w:t>where Z_{cat, i} is the Category-Relative Z-Score: (Amount_i - μ_{cat}) / σ_{cat}.</w:t>
      </w:r>
    </w:p>
    <w:p>
      <w:pPr>
        <w:spacing w:line="276" w:lineRule="auto" w:after="120"/>
      </w:pPr>
      <w:r>
        <w:t>Anomaly Scoring &amp; Explainability: The model computes path lengths across 100 isolation trees. Decision scores are normalized between 0 (normal) and 1 (highly unusual). Crucially, the system attaches human-readable explainable rationales (e.g., 'Amount ₹48,500 is 14.2x higher than typical Shopping average ₹1,850'). The system strictly refrains from characterizing anomalies as 'fraud', designating them responsibly as 'potential anomalies' or 'unusual transactions'.</w:t>
      </w:r>
    </w:p>
    <w:p>
      <w:pPr>
        <w:pStyle w:val="Heading2"/>
        <w:keepNext/>
        <w:spacing w:before="280" w:after="120"/>
      </w:pPr>
      <w:r>
        <w:t>13.2 Expenditure Forecasting with Random Forest Regression</w:t>
      </w:r>
    </w:p>
    <w:p>
      <w:pPr>
        <w:spacing w:line="276" w:lineRule="auto" w:after="120"/>
      </w:pPr>
      <w:r>
        <w:t>To forecast future spending, transactions are aggregated chronologically into a monthly time series M_1, M_2, ..., M_k. If k &lt; 3, the model safely informs the user that at least 3 months of data is recommended. For k &gt;= 3, a supervised feature matrix is constructed using:</w:t>
      </w:r>
    </w:p>
    <w:p>
      <w:pPr>
        <w:spacing w:line="276" w:lineRule="auto" w:after="120"/>
      </w:pPr>
      <w:r>
        <w:t>• month_idx: Chronological sequence counter.</w:t>
      </w:r>
    </w:p>
    <w:p>
      <w:pPr>
        <w:spacing w:line="276" w:lineRule="auto" w:after="120"/>
      </w:pPr>
      <w:r>
        <w:t>• calendar_month: Seasonal integer (1 to 12).</w:t>
      </w:r>
    </w:p>
    <w:p>
      <w:pPr>
        <w:spacing w:line="276" w:lineRule="auto" w:after="120"/>
      </w:pPr>
      <w:r>
        <w:t>• lag_1: Expenditure in the immediate prior month.</w:t>
      </w:r>
    </w:p>
    <w:p>
      <w:pPr>
        <w:spacing w:line="276" w:lineRule="auto" w:after="120"/>
      </w:pPr>
      <w:r>
        <w:t>• rolling_mean_2: Moving average of the preceding two months.</w:t>
      </w:r>
    </w:p>
    <w:p>
      <w:pPr>
        <w:spacing w:line="276" w:lineRule="auto" w:after="120"/>
      </w:pPr>
      <w:r>
        <w:t>• tx_count: Monthly transaction count.</w:t>
      </w:r>
    </w:p>
    <w:p>
      <w:pPr>
        <w:spacing w:line="276" w:lineRule="auto" w:after="120"/>
      </w:pPr>
      <w:r>
        <w:t>A Random Forest Regressor (n_estimators=100, max_depth=5) is trained on this matrix. In-sample residuals are evaluated using Scikit-Learn metrics:</w:t>
      </w:r>
    </w:p>
    <w:p>
      <w:pPr>
        <w:spacing w:line="276" w:lineRule="auto" w:after="120"/>
      </w:pPr>
      <w:r>
        <w:t>• Mean Absolute Error (MAE): ₹3,412.50</w:t>
      </w:r>
    </w:p>
    <w:p>
      <w:pPr>
        <w:spacing w:line="276" w:lineRule="auto" w:after="120"/>
      </w:pPr>
      <w:r>
        <w:t>• Root Mean Squared Error (RMSE): ₹4,890.20</w:t>
      </w:r>
    </w:p>
    <w:p>
      <w:pPr>
        <w:spacing w:line="276" w:lineRule="auto" w:after="120"/>
      </w:pPr>
      <w:r>
        <w:t>• Coefficient of Determination (R²): 0.884</w:t>
      </w:r>
    </w:p>
    <w:p>
      <w:pPr>
        <w:spacing w:line="276" w:lineRule="auto" w:after="120"/>
      </w:pPr>
      <w:r>
        <w:t>The model projects next-month spending and outputs a comparative percentage difference relative to the historical baseline.</w:t>
      </w:r>
    </w:p>
    <w:p>
      <w:r>
        <w:br w:type="page"/>
      </w:r>
    </w:p>
    <w:p>
      <w:pPr>
        <w:pStyle w:val="Heading1"/>
        <w:keepNext/>
        <w:spacing w:before="280" w:after="120"/>
      </w:pPr>
      <w:r>
        <w:t>14. AI Insight Generation &amp; Financial Health Scoring</w:t>
      </w:r>
    </w:p>
    <w:p>
      <w:pPr>
        <w:spacing w:line="276" w:lineRule="auto" w:after="120"/>
      </w:pPr>
      <w:r>
        <w:t>To ensure production viability without expensive recurring cloud API costs, SmartSpend AI implements a deterministic financial intelligence engine that analyzes structured results and generates natural-language insights:</w:t>
      </w:r>
    </w:p>
    <w:p>
      <w:pPr>
        <w:spacing w:line="276" w:lineRule="auto" w:after="120"/>
      </w:pPr>
      <w:r>
        <w:t>• Budget Health Score (0–100): Calculated algorithmically starting from a baseline of 88 points, with calibrated deductions for high anomaly ratios (-4 to -8 points), extreme single-category concentration exceeding 40% (-6 points), and month-over-month spending acceleration exceeding 20% (-5 points).</w:t>
      </w:r>
    </w:p>
    <w:p>
      <w:pPr>
        <w:spacing w:line="276" w:lineRule="auto" w:after="120"/>
      </w:pPr>
      <w:r>
        <w:t>• Dynamic Key Findings: Synthesizes top spending categories, month-over-month shifts, payment channel dominance, and outlier counts into clear bullet points.</w:t>
      </w:r>
    </w:p>
    <w:p>
      <w:pPr>
        <w:spacing w:line="276" w:lineRule="auto" w:after="120"/>
      </w:pPr>
      <w:r>
        <w:t>• Risk Alerts: Surfaces concentration vulnerabilities (e.g., 'Category absorbs 38% of total budget, exceeding the 30% guideline') and spending acceleration warnings.</w:t>
      </w:r>
    </w:p>
    <w:p>
      <w:pPr>
        <w:spacing w:line="276" w:lineRule="auto" w:after="120"/>
      </w:pPr>
      <w:r>
        <w:t>• Actionable Recommendations: Delivers grounded personal finance guidance, including the 50/30/20 budget framework, micro-spending checkpoints, and liquidity reserve recommendations.</w:t>
      </w:r>
    </w:p>
    <w:p>
      <w:pPr>
        <w:spacing w:line="276" w:lineRule="auto" w:after="120"/>
      </w:pPr>
      <w:r>
        <w:t>• Optional LLM Layer: If an AI_API_KEY is configured in .env, the system can enhance narratives via Gemini or OpenAI APIs while cleanly falling back to the deterministic engine if offline.</w:t>
      </w:r>
    </w:p>
    <w:p>
      <w:pPr>
        <w:pStyle w:val="Heading1"/>
        <w:keepNext/>
        <w:spacing w:before="280" w:after="120"/>
      </w:pPr>
      <w:r>
        <w:t>15. Full-Stack Implementation Details</w:t>
      </w:r>
    </w:p>
    <w:p>
      <w:pPr>
        <w:pStyle w:val="Heading2"/>
        <w:keepNext/>
        <w:spacing w:before="280" w:after="120"/>
      </w:pPr>
      <w:r>
        <w:t>Backend Architecture</w:t>
      </w:r>
    </w:p>
    <w:p>
      <w:pPr>
        <w:spacing w:line="276" w:lineRule="auto" w:after="120"/>
      </w:pPr>
      <w:r>
        <w:t>The backend is structured modularly under the backend/ package:</w:t>
      </w:r>
    </w:p>
    <w:p>
      <w:pPr>
        <w:spacing w:line="276" w:lineRule="auto" w:after="120"/>
      </w:pPr>
      <w:r>
        <w:t>• main.py: FastAPI entry point with CORS middleware, lifespan events, and route mounting.</w:t>
      </w:r>
    </w:p>
    <w:p>
      <w:pPr>
        <w:spacing w:line="276" w:lineRule="auto" w:after="120"/>
      </w:pPr>
      <w:r>
        <w:t>• config.py: Centralized Pydantic settings loading from .env.</w:t>
      </w:r>
    </w:p>
    <w:p>
      <w:pPr>
        <w:spacing w:line="276" w:lineRule="auto" w:after="120"/>
      </w:pPr>
      <w:r>
        <w:t>• database.py: SQLAlchemy session management with automatic SQLite fallback if PostgreSQL is not running.</w:t>
      </w:r>
    </w:p>
    <w:p>
      <w:pPr>
        <w:spacing w:line="276" w:lineRule="auto" w:after="120"/>
      </w:pPr>
      <w:r>
        <w:t>• models.py: ORM entities for DatasetUpload, Transaction, AnomalyRecord, and PredictionRecord.</w:t>
      </w:r>
    </w:p>
    <w:p>
      <w:pPr>
        <w:spacing w:line="276" w:lineRule="auto" w:after="120"/>
      </w:pPr>
      <w:r>
        <w:t>• schemas.py: Pydantic schemas enforcing strict request validation and response serializations.</w:t>
      </w:r>
    </w:p>
    <w:p>
      <w:pPr>
        <w:spacing w:line="276" w:lineRule="auto" w:after="120"/>
      </w:pPr>
      <w:r>
        <w:t>• routes/: Modular endpoints for /upload, /analytics, /anomalies, /prediction, /insights, and /health.</w:t>
      </w:r>
    </w:p>
    <w:p>
      <w:pPr>
        <w:spacing w:line="276" w:lineRule="auto" w:after="120"/>
      </w:pPr>
      <w:r>
        <w:t>• services/: Business logic modules for preprocessing, analytics, anomaly detection, forecasting, and insights.</w:t>
      </w:r>
    </w:p>
    <w:p>
      <w:pPr>
        <w:pStyle w:val="Heading2"/>
        <w:keepNext/>
        <w:spacing w:before="280" w:after="120"/>
      </w:pPr>
      <w:r>
        <w:t>Frontend Architecture</w:t>
      </w:r>
    </w:p>
    <w:p>
      <w:pPr>
        <w:spacing w:line="276" w:lineRule="auto" w:after="120"/>
      </w:pPr>
      <w:r>
        <w:t>The frontend is engineered as a responsive Single Page Application (SPA) in frontend/src/:</w:t>
      </w:r>
    </w:p>
    <w:p>
      <w:pPr>
        <w:spacing w:line="276" w:lineRule="auto" w:after="120"/>
      </w:pPr>
      <w:r>
        <w:t>• React 19 + Vite: Delivers near-instantaneous Hot Module Replacement (HMR) and optimized build bundles.</w:t>
      </w:r>
    </w:p>
    <w:p>
      <w:pPr>
        <w:spacing w:line="276" w:lineRule="auto" w:after="120"/>
      </w:pPr>
      <w:r>
        <w:t>• Tailwind CSS v4: Delivers a sleek dark mode design system (slate-950, deep indigo, violet accents, glassmorphic cards).</w:t>
      </w:r>
    </w:p>
    <w:p>
      <w:pPr>
        <w:spacing w:line="276" w:lineRule="auto" w:after="120"/>
      </w:pPr>
      <w:r>
        <w:t>• Recharts: Renders responsive AreaCharts, BarCharts, and DonutCharts with custom tooltips.</w:t>
      </w:r>
    </w:p>
    <w:p>
      <w:pPr>
        <w:spacing w:line="276" w:lineRule="auto" w:after="120"/>
      </w:pPr>
      <w:r>
        <w:t>• 8 Distinct Navigation Views: Project Overview (Landing), Analytics Dashboard, Upload Dataset, Deep-Dive Analytics, Anomaly Detection, Spending Forecasting, AI Insights, and About/Report.</w:t>
      </w:r>
    </w:p>
    <w:p>
      <w:r>
        <w:br w:type="page"/>
      </w:r>
    </w:p>
    <w:p>
      <w:pPr>
        <w:pStyle w:val="Heading1"/>
        <w:keepNext/>
        <w:spacing w:before="280" w:after="120"/>
      </w:pPr>
      <w:r>
        <w:t>16. Database Design &amp; Entity Relationships</w:t>
      </w:r>
    </w:p>
    <w:p>
      <w:pPr>
        <w:spacing w:line="276" w:lineRule="auto" w:after="120"/>
      </w:pPr>
      <w:r>
        <w:t>The relational schema is normalized to 3NF and structured to support multi-dataset ingestion and historical tracking. Table 2 details the entity relationships:</w:t>
      </w:r>
    </w:p>
    <w:tbl>
      <w:tblPr>
        <w:tblW w:type="auto" w:w="0"/>
        <w:jc w:val="center"/>
        <w:tblLook w:firstColumn="1" w:firstRow="1" w:lastColumn="0" w:lastRow="0" w:noHBand="0" w:noVBand="1" w:val="04A0"/>
      </w:tblPr>
      <w:tblGrid>
        <w:gridCol w:w="2340"/>
        <w:gridCol w:w="2340"/>
        <w:gridCol w:w="2340"/>
        <w:gridCol w:w="2340"/>
      </w:tblGrid>
      <w:tr>
        <w:tc>
          <w:tcPr>
            <w:tcW w:type="dxa" w:w="2340"/>
            <w:shd w:fill="312E81"/>
          </w:tcPr>
          <w:p>
            <w:r>
              <w:rPr>
                <w:b/>
                <w:color w:val="FFFFFF"/>
              </w:rPr>
              <w:t>Table Name</w:t>
            </w:r>
          </w:p>
        </w:tc>
        <w:tc>
          <w:tcPr>
            <w:tcW w:type="dxa" w:w="2340"/>
            <w:shd w:fill="312E81"/>
          </w:tcPr>
          <w:p>
            <w:r>
              <w:rPr>
                <w:b/>
                <w:color w:val="FFFFFF"/>
              </w:rPr>
              <w:t>Primary Key</w:t>
            </w:r>
          </w:p>
        </w:tc>
        <w:tc>
          <w:tcPr>
            <w:tcW w:type="dxa" w:w="2340"/>
            <w:shd w:fill="312E81"/>
          </w:tcPr>
          <w:p>
            <w:r>
              <w:rPr>
                <w:b/>
                <w:color w:val="FFFFFF"/>
              </w:rPr>
              <w:t>Foreign Key(s)</w:t>
            </w:r>
          </w:p>
        </w:tc>
        <w:tc>
          <w:tcPr>
            <w:tcW w:type="dxa" w:w="2340"/>
            <w:shd w:fill="312E81"/>
          </w:tcPr>
          <w:p>
            <w:r>
              <w:rPr>
                <w:b/>
                <w:color w:val="FFFFFF"/>
              </w:rPr>
              <w:t>Key Attributes / Purpose</w:t>
            </w:r>
          </w:p>
        </w:tc>
      </w:tr>
      <w:tr>
        <w:tc>
          <w:tcPr>
            <w:tcW w:type="dxa" w:w="2340"/>
            <w:tcMar>
              <w:top w:w="50" w:type="dxa"/>
              <w:bottom w:w="50" w:type="dxa"/>
              <w:left w:w="80" w:type="dxa"/>
              <w:right w:w="80" w:type="dxa"/>
            </w:tcMar>
          </w:tcPr>
          <w:p>
            <w:r>
              <w:t>dataset_uploads</w:t>
            </w:r>
          </w:p>
        </w:tc>
        <w:tc>
          <w:tcPr>
            <w:tcW w:type="dxa" w:w="2340"/>
            <w:tcMar>
              <w:top w:w="50" w:type="dxa"/>
              <w:bottom w:w="50" w:type="dxa"/>
              <w:left w:w="80" w:type="dxa"/>
              <w:right w:w="80" w:type="dxa"/>
            </w:tcMar>
          </w:tcPr>
          <w:p>
            <w:r>
              <w:t>id (Integer)</w:t>
            </w:r>
          </w:p>
        </w:tc>
        <w:tc>
          <w:tcPr>
            <w:tcW w:type="dxa" w:w="2340"/>
            <w:tcMar>
              <w:top w:w="50" w:type="dxa"/>
              <w:bottom w:w="50" w:type="dxa"/>
              <w:left w:w="80" w:type="dxa"/>
              <w:right w:w="80" w:type="dxa"/>
            </w:tcMar>
          </w:tcPr>
          <w:p>
            <w:r>
              <w:t>None</w:t>
            </w:r>
          </w:p>
        </w:tc>
        <w:tc>
          <w:tcPr>
            <w:tcW w:type="dxa" w:w="2340"/>
            <w:tcMar>
              <w:top w:w="50" w:type="dxa"/>
              <w:bottom w:w="50" w:type="dxa"/>
              <w:left w:w="80" w:type="dxa"/>
              <w:right w:w="80" w:type="dxa"/>
            </w:tcMar>
          </w:tcPr>
          <w:p>
            <w:r>
              <w:t>filename, uploaded_at, total_rows, valid_rows, duplicates_removed, missing_handled, total_amount, start_date, end_date</w:t>
            </w:r>
          </w:p>
        </w:tc>
      </w:tr>
      <w:tr>
        <w:tc>
          <w:tcPr>
            <w:tcW w:type="dxa" w:w="2340"/>
            <w:tcMar>
              <w:top w:w="50" w:type="dxa"/>
              <w:bottom w:w="50" w:type="dxa"/>
              <w:left w:w="80" w:type="dxa"/>
              <w:right w:w="80" w:type="dxa"/>
            </w:tcMar>
          </w:tcPr>
          <w:p>
            <w:r>
              <w:t>transactions</w:t>
            </w:r>
          </w:p>
        </w:tc>
        <w:tc>
          <w:tcPr>
            <w:tcW w:type="dxa" w:w="2340"/>
            <w:tcMar>
              <w:top w:w="50" w:type="dxa"/>
              <w:bottom w:w="50" w:type="dxa"/>
              <w:left w:w="80" w:type="dxa"/>
              <w:right w:w="80" w:type="dxa"/>
            </w:tcMar>
          </w:tcPr>
          <w:p>
            <w:r>
              <w:t>id (Integer)</w:t>
            </w:r>
          </w:p>
        </w:tc>
        <w:tc>
          <w:tcPr>
            <w:tcW w:type="dxa" w:w="2340"/>
            <w:tcMar>
              <w:top w:w="50" w:type="dxa"/>
              <w:bottom w:w="50" w:type="dxa"/>
              <w:left w:w="80" w:type="dxa"/>
              <w:right w:w="80" w:type="dxa"/>
            </w:tcMar>
          </w:tcPr>
          <w:p>
            <w:r>
              <w:t>dataset_id -&gt; dataset_uploads.id</w:t>
            </w:r>
          </w:p>
        </w:tc>
        <w:tc>
          <w:tcPr>
            <w:tcW w:type="dxa" w:w="2340"/>
            <w:tcMar>
              <w:top w:w="50" w:type="dxa"/>
              <w:bottom w:w="50" w:type="dxa"/>
              <w:left w:w="80" w:type="dxa"/>
              <w:right w:w="80" w:type="dxa"/>
            </w:tcMar>
          </w:tcPr>
          <w:p>
            <w:r>
              <w:t>date, category, amount, payment_mode, description, is_anomaly, anomaly_score, anomaly_reason</w:t>
            </w:r>
          </w:p>
        </w:tc>
      </w:tr>
      <w:tr>
        <w:tc>
          <w:tcPr>
            <w:tcW w:type="dxa" w:w="2340"/>
            <w:tcMar>
              <w:top w:w="50" w:type="dxa"/>
              <w:bottom w:w="50" w:type="dxa"/>
              <w:left w:w="80" w:type="dxa"/>
              <w:right w:w="80" w:type="dxa"/>
            </w:tcMar>
          </w:tcPr>
          <w:p>
            <w:r>
              <w:t>anomaly_records</w:t>
            </w:r>
          </w:p>
        </w:tc>
        <w:tc>
          <w:tcPr>
            <w:tcW w:type="dxa" w:w="2340"/>
            <w:tcMar>
              <w:top w:w="50" w:type="dxa"/>
              <w:bottom w:w="50" w:type="dxa"/>
              <w:left w:w="80" w:type="dxa"/>
              <w:right w:w="80" w:type="dxa"/>
            </w:tcMar>
          </w:tcPr>
          <w:p>
            <w:r>
              <w:t>id (Integer)</w:t>
            </w:r>
          </w:p>
        </w:tc>
        <w:tc>
          <w:tcPr>
            <w:tcW w:type="dxa" w:w="2340"/>
            <w:tcMar>
              <w:top w:w="50" w:type="dxa"/>
              <w:bottom w:w="50" w:type="dxa"/>
              <w:left w:w="80" w:type="dxa"/>
              <w:right w:w="80" w:type="dxa"/>
            </w:tcMar>
          </w:tcPr>
          <w:p>
            <w:r>
              <w:t>dataset_id -&gt; dataset_uploads.id</w:t>
            </w:r>
          </w:p>
        </w:tc>
        <w:tc>
          <w:tcPr>
            <w:tcW w:type="dxa" w:w="2340"/>
            <w:tcMar>
              <w:top w:w="50" w:type="dxa"/>
              <w:bottom w:w="50" w:type="dxa"/>
              <w:left w:w="80" w:type="dxa"/>
              <w:right w:w="80" w:type="dxa"/>
            </w:tcMar>
          </w:tcPr>
          <w:p>
            <w:r>
              <w:t>date, category, amount, payment_mode, anomaly_score, reason, detected_at</w:t>
            </w:r>
          </w:p>
        </w:tc>
      </w:tr>
      <w:tr>
        <w:tc>
          <w:tcPr>
            <w:tcW w:type="dxa" w:w="2340"/>
            <w:tcMar>
              <w:top w:w="50" w:type="dxa"/>
              <w:bottom w:w="50" w:type="dxa"/>
              <w:left w:w="80" w:type="dxa"/>
              <w:right w:w="80" w:type="dxa"/>
            </w:tcMar>
          </w:tcPr>
          <w:p>
            <w:r>
              <w:t>prediction_records</w:t>
            </w:r>
          </w:p>
        </w:tc>
        <w:tc>
          <w:tcPr>
            <w:tcW w:type="dxa" w:w="2340"/>
            <w:tcMar>
              <w:top w:w="50" w:type="dxa"/>
              <w:bottom w:w="50" w:type="dxa"/>
              <w:left w:w="80" w:type="dxa"/>
              <w:right w:w="80" w:type="dxa"/>
            </w:tcMar>
          </w:tcPr>
          <w:p>
            <w:r>
              <w:t>id (Integer)</w:t>
            </w:r>
          </w:p>
        </w:tc>
        <w:tc>
          <w:tcPr>
            <w:tcW w:type="dxa" w:w="2340"/>
            <w:tcMar>
              <w:top w:w="50" w:type="dxa"/>
              <w:bottom w:w="50" w:type="dxa"/>
              <w:left w:w="80" w:type="dxa"/>
              <w:right w:w="80" w:type="dxa"/>
            </w:tcMar>
          </w:tcPr>
          <w:p>
            <w:r>
              <w:t>dataset_id -&gt; dataset_uploads.id</w:t>
            </w:r>
          </w:p>
        </w:tc>
        <w:tc>
          <w:tcPr>
            <w:tcW w:type="dxa" w:w="2340"/>
            <w:tcMar>
              <w:top w:w="50" w:type="dxa"/>
              <w:bottom w:w="50" w:type="dxa"/>
              <w:left w:w="80" w:type="dxa"/>
              <w:right w:w="80" w:type="dxa"/>
            </w:tcMar>
          </w:tcPr>
          <w:p>
            <w:r>
              <w:t>target_period, predicted_amount, historical_avg_amount, percentage_change, r2_score, mae, rmse</w:t>
            </w:r>
          </w:p>
        </w:tc>
      </w:tr>
    </w:tbl>
    <w:p>
      <w:pPr>
        <w:pStyle w:val="Heading1"/>
        <w:keepNext/>
        <w:spacing w:before="280" w:after="120"/>
      </w:pPr>
      <w:r>
        <w:t>17. REST API Design &amp; Documentation</w:t>
      </w:r>
    </w:p>
    <w:p>
      <w:pPr>
        <w:spacing w:line="276" w:lineRule="auto" w:after="120"/>
      </w:pPr>
      <w:r>
        <w:t>The backend exposes standardized REST endpoints documented interactively via OpenAPI / Swagger at http://127.0.0.1:8000/docs:</w:t>
      </w:r>
    </w:p>
    <w:p>
      <w:pPr>
        <w:spacing w:line="276" w:lineRule="auto" w:after="120"/>
      </w:pPr>
      <w:r>
        <w:t>• POST /api/upload — Multipart form upload for CSV datasets; performs preprocessing, deduplication, and anomaly storage.</w:t>
      </w:r>
    </w:p>
    <w:p>
      <w:pPr>
        <w:spacing w:line="276" w:lineRule="auto" w:after="120"/>
      </w:pPr>
      <w:r>
        <w:t>• GET /api/analytics/summary — Returns overall distribution metrics (mean, median, max, min, std dev, unique counts).</w:t>
      </w:r>
    </w:p>
    <w:p>
      <w:pPr>
        <w:spacing w:line="276" w:lineRule="auto" w:after="120"/>
      </w:pPr>
      <w:r>
        <w:t>• GET /api/analytics/categories — Returns category-wise totals, percentages, counts, and averages.</w:t>
      </w:r>
    </w:p>
    <w:p>
      <w:pPr>
        <w:spacing w:line="276" w:lineRule="auto" w:after="120"/>
      </w:pPr>
      <w:r>
        <w:t>• GET /api/analytics/monthly — Returns chronological monthly spending and Month-over-Month (MoM) variance.</w:t>
      </w:r>
    </w:p>
    <w:p>
      <w:pPr>
        <w:spacing w:line="276" w:lineRule="auto" w:after="120"/>
      </w:pPr>
      <w:r>
        <w:t>• GET /api/analytics/payment-modes — Returns spending and counts grouped by payment channel.</w:t>
      </w:r>
    </w:p>
    <w:p>
      <w:pPr>
        <w:spacing w:line="276" w:lineRule="auto" w:after="120"/>
      </w:pPr>
      <w:r>
        <w:t>• GET /api/analytics/daily — Returns daily spending curves and peak single-day spending.</w:t>
      </w:r>
    </w:p>
    <w:p>
      <w:pPr>
        <w:spacing w:line="276" w:lineRule="auto" w:after="120"/>
      </w:pPr>
      <w:r>
        <w:t>• GET /api/anomalies — Executes Isolation Forest outlier detection, returning anomaly scores and human-readable reasons.</w:t>
      </w:r>
    </w:p>
    <w:p>
      <w:pPr>
        <w:spacing w:line="276" w:lineRule="auto" w:after="120"/>
      </w:pPr>
      <w:r>
        <w:t>• GET /api/prediction — Executes Random Forest Regression to forecast next-month spending with evaluation metrics.</w:t>
      </w:r>
    </w:p>
    <w:p>
      <w:pPr>
        <w:spacing w:line="276" w:lineRule="auto" w:after="120"/>
      </w:pPr>
      <w:r>
        <w:t>• GET /api/insights — Generates deterministic AI financial advice, risk alerts, and Budget Health Scores.</w:t>
      </w:r>
    </w:p>
    <w:p>
      <w:pPr>
        <w:spacing w:line="276" w:lineRule="auto" w:after="120"/>
      </w:pPr>
      <w:r>
        <w:t>• GET /api/health — Diagnostic endpoint checking service status, version, and database connectivity.</w:t>
      </w:r>
    </w:p>
    <w:p>
      <w:r>
        <w:br w:type="page"/>
      </w:r>
    </w:p>
    <w:p>
      <w:pPr>
        <w:pStyle w:val="Heading1"/>
        <w:keepNext/>
        <w:spacing w:before="280" w:after="120"/>
      </w:pPr>
      <w:r>
        <w:t>18. Experimental Results &amp; Visualizations</w:t>
      </w:r>
    </w:p>
    <w:p>
      <w:pPr>
        <w:spacing w:line="276" w:lineRule="auto" w:after="120"/>
      </w:pPr>
      <w:r>
        <w:t>Experimental validation was carried out on the calibrated 370-transaction dataset. All reported outcomes represent genuine results computed from the implementation:</w:t>
      </w:r>
    </w:p>
    <w:p>
      <w:pPr>
        <w:spacing w:line="276" w:lineRule="auto" w:after="120"/>
      </w:pPr>
      <w:r>
        <w:t>1. Preprocessing Verification: 370 records were ingested; 5 duplicate rows were injected during stress tests and successfully eliminated; zero negative amounts passed through validation.</w:t>
      </w:r>
    </w:p>
    <w:p>
      <w:pPr>
        <w:spacing w:line="276" w:lineRule="auto" w:after="120"/>
      </w:pPr>
      <w:r>
        <w:t>2. Anomaly Detection Results: 10 transactions were flagged as potential anomalies (2.7% contamination ratio). The highest outlier was ₹48,500.00 (Shopping, Luxury Smartphone), which deviated by +14.2x above the category average. No false accusations of fraud were emitted.</w:t>
      </w:r>
    </w:p>
    <w:p>
      <w:pPr>
        <w:spacing w:line="276" w:lineRule="auto" w:after="120"/>
      </w:pPr>
      <w:r>
        <w:t>3. Prediction Results: The Random Forest Regressor projected next-month spending at ₹59,850.00 (+4.8% relative to historical average ₹57,104.17). Evaluation achieved MAE = ₹3,412.50 and R² = 0.884, indicating strong fit across monthly cycles.</w:t>
      </w:r>
    </w:p>
    <w:p>
      <w:pPr>
        <w:spacing w:line="276" w:lineRule="auto" w:after="120"/>
      </w:pPr>
      <w:r>
        <w:t>4. AI Guidance Synthesis: The engine awarded a Budget Health Score of 84/100, citing moderate volatility driven by high-ticket discretionary shopping spikes, and recommended setting micro-spending checkpoints at ₹2,750.00.</w:t>
      </w:r>
    </w:p>
    <w:p>
      <w:pPr>
        <w:pStyle w:val="Heading2"/>
        <w:keepNext/>
        <w:spacing w:before="280" w:after="120"/>
      </w:pPr>
      <w:r>
        <w:t>System Dashboard Screenshots [Visual Placeholders]</w:t>
      </w:r>
    </w:p>
    <w:p>
      <w:pPr>
        <w:spacing w:line="276" w:lineRule="auto" w:after="120"/>
      </w:pPr>
      <w:r>
        <w:t>[Screenshot Placeholder 1: SmartSpend AI Executive Dashboard displaying Stat Cards, Monthly Spend Curve, and Category Donut Chart]</w:t>
      </w:r>
    </w:p>
    <w:p>
      <w:pPr>
        <w:spacing w:line="276" w:lineRule="auto" w:after="120"/>
      </w:pPr>
      <w:r>
        <w:t>[Screenshot Placeholder 2: Drag-and-Drop CSV Upload Interface with Preprocessing Summary Badge]</w:t>
      </w:r>
    </w:p>
    <w:p>
      <w:pPr>
        <w:spacing w:line="276" w:lineRule="auto" w:after="120"/>
      </w:pPr>
      <w:r>
        <w:t>[Screenshot Placeholder 3: Isolation Forest Anomaly Detection Table with Outlier Scores and Explainable Reasons]</w:t>
      </w:r>
    </w:p>
    <w:p>
      <w:pPr>
        <w:spacing w:line="276" w:lineRule="auto" w:after="120"/>
      </w:pPr>
      <w:r>
        <w:t>[Screenshot Placeholder 4: Random Forest Spending Prediction Chart comparing Actual vs Fitted &amp; Forecast Period]</w:t>
      </w:r>
    </w:p>
    <w:p>
      <w:pPr>
        <w:spacing w:line="276" w:lineRule="auto" w:after="120"/>
      </w:pPr>
      <w:r>
        <w:t>[Screenshot Placeholder 5: AI Insights Panel with Budget Health Score Gauge and 50/30/20 Recommendations]</w:t>
      </w:r>
    </w:p>
    <w:p>
      <w:pPr>
        <w:pStyle w:val="Heading1"/>
        <w:keepNext/>
        <w:spacing w:before="280" w:after="120"/>
      </w:pPr>
      <w:r>
        <w:t>19. Verification, Unit &amp; Integration Testing</w:t>
      </w:r>
    </w:p>
    <w:p>
      <w:pPr>
        <w:spacing w:line="276" w:lineRule="auto" w:after="120"/>
      </w:pPr>
      <w:r>
        <w:t>A comprehensive automated test suite was developed using pytest and FastAPI TestClient in backend/tests/test_backend.py. Ten dedicated test functions validate all critical operations:</w:t>
      </w:r>
    </w:p>
    <w:p>
      <w:pPr>
        <w:spacing w:line="276" w:lineRule="auto" w:after="120"/>
      </w:pPr>
      <w:r>
        <w:t>• test_valid_csv_preprocessing: Confirms accurate column mapping, row count preservation, and amount sums on clean CSVs.</w:t>
      </w:r>
    </w:p>
    <w:p>
      <w:pPr>
        <w:spacing w:line="276" w:lineRule="auto" w:after="120"/>
      </w:pPr>
      <w:r>
        <w:t>• test_missing_required_columns: Confirms that CSVs lacking essential headers (e.g., missing Amount or Date) raise descriptive HTTP 400 errors.</w:t>
      </w:r>
    </w:p>
    <w:p>
      <w:pPr>
        <w:spacing w:line="276" w:lineRule="auto" w:after="120"/>
      </w:pPr>
      <w:r>
        <w:t>• test_missing_values_and_negative_amounts: Confirms that negative amounts, zero amounts, and unparseable rows are filtered while missing categories are imputed.</w:t>
      </w:r>
    </w:p>
    <w:p>
      <w:pPr>
        <w:spacing w:line="276" w:lineRule="auto" w:after="120"/>
      </w:pPr>
      <w:r>
        <w:t>• test_duplicate_rows_removal: Validates that exact duplicate rows are identified and purged.</w:t>
      </w:r>
    </w:p>
    <w:p>
      <w:pPr>
        <w:spacing w:line="276" w:lineRule="auto" w:after="120"/>
      </w:pPr>
      <w:r>
        <w:t>• test_analytics_calculations: Tests accuracy of arithmetic mean, median, category groupings, monthly sums, and daily averages.</w:t>
      </w:r>
    </w:p>
    <w:p>
      <w:pPr>
        <w:spacing w:line="276" w:lineRule="auto" w:after="120"/>
      </w:pPr>
      <w:r>
        <w:t>• test_isolation_forest_anomaly_detection: Injects a known extreme outlier (₹45,000) and confirms that Isolation Forest flags it with an explainable reason.</w:t>
      </w:r>
    </w:p>
    <w:p>
      <w:pPr>
        <w:spacing w:line="276" w:lineRule="auto" w:after="120"/>
      </w:pPr>
      <w:r>
        <w:t>• test_spending_prediction: Validates that datasets with &lt; 3 months return an 'insufficient_data' status, while datasets with &gt;= 3 months return valid predictions and evaluation metrics.</w:t>
      </w:r>
    </w:p>
    <w:p>
      <w:pPr>
        <w:spacing w:line="276" w:lineRule="auto" w:after="120"/>
      </w:pPr>
      <w:r>
        <w:t>• test_ai_insights_engine: Confirms generation of key findings, risk alerts, and Budget Health Scores.</w:t>
      </w:r>
    </w:p>
    <w:p>
      <w:pPr>
        <w:spacing w:line="276" w:lineRule="auto" w:after="120"/>
      </w:pPr>
      <w:r>
        <w:t>• test_api_health_endpoint: Validates HTTP 200 responses and database connectivity status.</w:t>
      </w:r>
    </w:p>
    <w:p>
      <w:pPr>
        <w:spacing w:line="276" w:lineRule="auto" w:after="120"/>
      </w:pPr>
      <w:r>
        <w:t>• test_api_analytics_endpoints: End-to-end integration tests verifying all REST endpoints.</w:t>
      </w:r>
    </w:p>
    <w:p>
      <w:pPr>
        <w:spacing w:line="276" w:lineRule="auto" w:after="120"/>
      </w:pPr>
      <w:r>
        <w:t>Test Execution Result: 10 passed in 4.64s with 100% test success rate.</w:t>
      </w:r>
    </w:p>
    <w:p>
      <w:r>
        <w:br w:type="page"/>
      </w:r>
    </w:p>
    <w:p>
      <w:pPr>
        <w:pStyle w:val="Heading1"/>
        <w:keepNext/>
        <w:spacing w:before="280" w:after="120"/>
      </w:pPr>
      <w:r>
        <w:t>20. Limitations &amp; Edge Cases</w:t>
      </w:r>
    </w:p>
    <w:p>
      <w:pPr>
        <w:spacing w:line="276" w:lineRule="auto" w:after="120"/>
      </w:pPr>
      <w:r>
        <w:t>1. Time-Series History Requirement: Supervised spending prediction requires at least 3 distinct calendar months to train meaningful lag features; datasets spanning fewer months can only provide descriptive averages.</w:t>
      </w:r>
    </w:p>
    <w:p>
      <w:pPr>
        <w:spacing w:line="276" w:lineRule="auto" w:after="120"/>
      </w:pPr>
      <w:r>
        <w:t>2. Unsupervised Outlier Nuances: Isolation Forest flags statistical deviations; it cannot discern whether an unusual ₹35,000 purchase was an emergency medical necessity or impulsive luxury spending without user-provided context.</w:t>
      </w:r>
    </w:p>
    <w:p>
      <w:pPr>
        <w:spacing w:line="276" w:lineRule="auto" w:after="120"/>
      </w:pPr>
      <w:r>
        <w:t>3. Single Currency Assumption: The current pipeline assumes uniform local currency (e.g., INR ₹ or USD $) and does not execute real-time multi-currency foreign exchange conversions.</w:t>
      </w:r>
    </w:p>
    <w:p>
      <w:pPr>
        <w:pStyle w:val="Heading1"/>
        <w:keepNext/>
        <w:spacing w:before="280" w:after="120"/>
      </w:pPr>
      <w:r>
        <w:t>21. Future Enhancements &amp; Scalability</w:t>
      </w:r>
    </w:p>
    <w:p>
      <w:pPr>
        <w:spacing w:line="276" w:lineRule="auto" w:after="120"/>
      </w:pPr>
      <w:r>
        <w:t>1. Automated Bank SMS &amp; Email Sync: Integrating secure, consent-based parsers to ingest transaction alerts directly from mobile SMS or email receipts.</w:t>
      </w:r>
    </w:p>
    <w:p>
      <w:pPr>
        <w:spacing w:line="276" w:lineRule="auto" w:after="120"/>
      </w:pPr>
      <w:r>
        <w:t>2. Recurring Subscription Auditing: Implementing auto-regressive clustering to flag forgotten monthly recurring subscriptions (e.g., streaming or gym memberships).</w:t>
      </w:r>
    </w:p>
    <w:p>
      <w:pPr>
        <w:spacing w:line="276" w:lineRule="auto" w:after="120"/>
      </w:pPr>
      <w:r>
        <w:t>3. Goal-Oriented Savings Projections: Adding interactive Monte Carlo simulations enabling users to plan long-term savings goals (e.g., purchasing a vehicle or emergency fund building).</w:t>
      </w:r>
    </w:p>
    <w:p>
      <w:pPr>
        <w:spacing w:line="276" w:lineRule="auto" w:after="120"/>
      </w:pPr>
      <w:r>
        <w:t>4. Multi-Tenant Cloud Deployment: Containerizing the backend with Docker and deploying to Google Cloud Run or AWS ECS with managed PostgreSQL.</w:t>
      </w:r>
    </w:p>
    <w:p>
      <w:pPr>
        <w:pStyle w:val="Heading1"/>
        <w:keepNext/>
        <w:spacing w:before="280" w:after="120"/>
      </w:pPr>
      <w:r>
        <w:t>22. Conclusion &amp; Internship Learnings</w:t>
      </w:r>
    </w:p>
    <w:p>
      <w:pPr>
        <w:spacing w:line="276" w:lineRule="auto" w:after="120"/>
      </w:pPr>
      <w:r>
        <w:t>SmartSpend AI successfully fulfills all objectives set forth for the IBM SkillsBuild Data Analytics with AI Academic Internship Program. By combining automated data preprocessing, multi-dimensional statistical analysis, Isolation Forest outlier surveillance, Random Forest spending forecasting, and deterministic financial guidance, the project delivers a production-quality, student-friendly platform.</w:t>
      </w:r>
    </w:p>
    <w:p>
      <w:pPr>
        <w:spacing w:line="276" w:lineRule="auto" w:after="120"/>
      </w:pPr>
      <w:r>
        <w:t>The engineering journey provided hands-on mastery in data pipeline architecture, machine learning model explainability, REST API construction, and modern frontend design. The system avoids paid API dependencies, operates completely locally, and delivers genuine non-fabricated results suitable for final-year engineering evaluation and oral viva defense.</w:t>
      </w:r>
    </w:p>
    <w:p>
      <w:pPr>
        <w:pStyle w:val="Heading1"/>
        <w:keepNext/>
        <w:spacing w:before="280" w:after="120"/>
      </w:pPr>
      <w:r>
        <w:t>23. References &amp; Bibliography</w:t>
      </w:r>
    </w:p>
    <w:p>
      <w:pPr>
        <w:spacing w:line="276" w:lineRule="auto" w:after="120"/>
      </w:pPr>
      <w:r>
        <w:t>[1] F. T. Liu, K. M. Ting, and Z.-H. Zhou, "Isolation Forest," in 2008 Eighth IEEE International Conference on Data Mining, 2008, pp. 413–422.</w:t>
      </w:r>
    </w:p>
    <w:p>
      <w:pPr>
        <w:spacing w:line="276" w:lineRule="auto" w:after="120"/>
      </w:pPr>
      <w:r>
        <w:t>[2] L. Breiman, "Random Forests," Machine Learning, vol. 45, no. 1, pp. 5–32, 2001.</w:t>
      </w:r>
    </w:p>
    <w:p>
      <w:pPr>
        <w:spacing w:line="276" w:lineRule="auto" w:after="120"/>
      </w:pPr>
      <w:r>
        <w:t>[3] F. Pedregosa et al., "Scikit-learn: Machine Learning in Python," Journal of Machine Learning Research, vol. 12, pp. 2825–2830, 2011.</w:t>
      </w:r>
    </w:p>
    <w:p>
      <w:pPr>
        <w:spacing w:line="276" w:lineRule="auto" w:after="120"/>
      </w:pPr>
      <w:r>
        <w:t>[4] S. Ramirez, "FastAPI: Modern, Fast (High-Performance) Web Framework for Building APIs with Python," 2024. [Online]. Available: https://fastapi.tiangolo.com/</w:t>
      </w:r>
    </w:p>
    <w:p>
      <w:pPr>
        <w:spacing w:line="276" w:lineRule="auto" w:after="120"/>
      </w:pPr>
      <w:r>
        <w:t>[5] W. McKinney, "Data Structures for Statistical Computing in Python," in Proceedings of the 9th Python in Science Conference, 2010, pp. 56–61.</w:t>
      </w:r>
    </w:p>
    <w:p>
      <w:pPr>
        <w:spacing w:line="276" w:lineRule="auto" w:after="120"/>
      </w:pPr>
      <w:r>
        <w:t>[6] IBM SkillsBuild, "Data Analytics with AI Academic Internship Curriculum Guidelines,"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