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  <w:p/>
    <w:p/>
    <w:p/>
    <w:p/>
    <w:p/>
    <w:p>
      <w:pPr>
        <w:jc w:val="center"/>
      </w:pPr>
      <w:r>
        <w:rPr>
          <w:b w:val="on"/>
          <w:sz w:val="44"/>
          <w:rFonts w:ascii="SimHei" w:hAnsi="SimHei" w:cs="SimHei" w:eastAsia="SimHei"/>
          <w:color w:val="00897B"/>
        </w:rPr>
        <w:t>企业 2024年度能源审计报告</w:t>
      </w:r>
    </w:p>
    <w:p/>
    <w:p/>
    <w:p>
      <w:pPr>
        <w:jc w:val="center"/>
      </w:pPr>
      <w:r>
        <w:rPr>
          <w:sz w:val="28"/>
          <w:rFonts w:ascii="SimSun" w:hAnsi="SimSun" w:cs="SimSun" w:eastAsia="SimSun"/>
        </w:rPr>
        <w:t>审计期间：2024年1月 — 2024年12月</w:t>
      </w:r>
    </w:p>
    <w:p/>
    <w:p/>
    <w:p/>
    <w:p/>
    <w:p>
      <w:pPr>
        <w:jc w:val="center"/>
      </w:pPr>
      <w:r>
        <w:rPr>
          <w:sz w:val="28"/>
          <w:rFonts w:ascii="SimSun" w:hAnsi="SimSun" w:cs="SimSun" w:eastAsia="SimSun"/>
        </w:rPr>
        <w:t>被审计企业：企业</w:t>
      </w:r>
    </w:p>
    <w:p>
      <w:pPr>
        <w:jc w:val="center"/>
      </w:pPr>
      <w:r>
        <w:rPr>
          <w:sz w:val="24"/>
          <w:rFonts w:ascii="SimSun" w:hAnsi="SimSun" w:cs="SimSun" w:eastAsia="SimSun"/>
        </w:rPr>
        <w:t>报告生成日期：2026-04-05</w:t>
      </w:r>
    </w:p>
    <w:p>
      <w:r>
        <w:br w:type="page"/>
      </w:r>
    </w:p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目 录</w:t>
      </w:r>
    </w:p>
    <w:p>
      <w:pPr>
        <w:ind w:left="720"/>
      </w:pPr>
      <w:r>
        <w:rPr>
          <w:sz w:val="24"/>
          <w:rFonts w:ascii="SimSun" w:hAnsi="SimSun" w:cs="SimSun" w:eastAsia="SimSun"/>
        </w:rPr>
        <w:t>一、企业基本情况</w:t>
      </w:r>
    </w:p>
    <w:p>
      <w:pPr>
        <w:ind w:left="720"/>
      </w:pPr>
      <w:r>
        <w:rPr>
          <w:sz w:val="24"/>
          <w:rFonts w:ascii="SimSun" w:hAnsi="SimSun" w:cs="SimSun" w:eastAsia="SimSun"/>
        </w:rPr>
        <w:t>二、主要技术经济指标</w:t>
      </w:r>
    </w:p>
    <w:p>
      <w:pPr>
        <w:ind w:left="720"/>
      </w:pPr>
      <w:r>
        <w:rPr>
          <w:sz w:val="24"/>
          <w:rFonts w:ascii="SimSun" w:hAnsi="SimSun" w:cs="SimSun" w:eastAsia="SimSun"/>
        </w:rPr>
        <w:t>三、能源消费结构分析</w:t>
      </w:r>
    </w:p>
    <w:p>
      <w:pPr>
        <w:ind w:left="720"/>
      </w:pPr>
      <w:r>
        <w:rPr>
          <w:sz w:val="24"/>
          <w:rFonts w:ascii="SimSun" w:hAnsi="SimSun" w:cs="SimSun" w:eastAsia="SimSun"/>
        </w:rPr>
        <w:t>四、产品单位能耗分析</w:t>
      </w:r>
    </w:p>
    <w:p>
      <w:pPr>
        <w:ind w:left="720"/>
      </w:pPr>
      <w:r>
        <w:rPr>
          <w:sz w:val="24"/>
          <w:rFonts w:ascii="SimSun" w:hAnsi="SimSun" w:cs="SimSun" w:eastAsia="SimSun"/>
        </w:rPr>
        <w:t>五、温室气体排放分析</w:t>
      </w:r>
    </w:p>
    <w:p>
      <w:pPr>
        <w:ind w:left="720"/>
      </w:pPr>
      <w:r>
        <w:rPr>
          <w:sz w:val="24"/>
          <w:rFonts w:ascii="SimSun" w:hAnsi="SimSun" w:cs="SimSun" w:eastAsia="SimSun"/>
        </w:rPr>
        <w:t>六、能源流向分析</w:t>
      </w:r>
    </w:p>
    <w:p>
      <w:pPr>
        <w:ind w:left="720"/>
      </w:pPr>
      <w:r>
        <w:rPr>
          <w:sz w:val="24"/>
          <w:rFonts w:ascii="SimSun" w:hAnsi="SimSun" w:cs="SimSun" w:eastAsia="SimSun"/>
        </w:rPr>
        <w:t>七、节能建议与措施</w:t>
      </w:r>
    </w:p>
    <w:p>
      <w:r>
        <w:br w:type="page"/>
      </w:r>
    </w:p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一、企业基本情况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dxa" w:w="9000"/>
      </w:tblP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企业名称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统一社会信用代码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法定代表人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企业地址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所属行业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/>
            </w:r>
          </w:p>
        </w:tc>
      </w:tr>
    </w:tbl>
    <w:p/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二、主要技术经济指标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以下为企业近年主要技术经济指标对比：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dxa" w:w="9000"/>
      </w:tblP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年度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综合能耗当量(tce)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综合能耗等价(tce)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工业总产值(万元)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单位产值能耗(tce/万元)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2022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21500.0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23800.0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79000.0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0.3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2023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20800.0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23100.0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82000.0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0.3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2024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19970.4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22150.0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85000.0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0.2</w:t>
            </w:r>
          </w:p>
        </w:tc>
      </w:tr>
    </w:tbl>
    <w:p/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三、能源消费结构分析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企业能源消费结构如下表所示：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dxa" w:w="9000"/>
      </w:tblP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能源品种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能源类别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消费量(折标煤tce)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原煤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一次能源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6786.0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二次能源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5904.0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蒸汽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二次能源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4843.0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天然气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一次能源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2367.3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柴油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一次能源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70.1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合计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/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19970.4</w:t>
            </w:r>
          </w:p>
        </w:tc>
      </w:tr>
    </w:tbl>
    <w:p/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四、产品单位能耗分析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主要产品单位能耗对比分析：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dxa" w:w="9000"/>
      </w:tblP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产品名称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年度类型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产量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能耗(tce)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单耗(tce/t)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产品A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上年度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11500.0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8800.0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0.8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产品A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审计年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12000.0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8500.0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0.7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产品B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上年度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7500.0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5100.0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0.7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产品B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审计年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8000.0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5200.0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0.7</w:t>
            </w:r>
          </w:p>
        </w:tc>
      </w:tr>
    </w:tbl>
    <w:p/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五、温室气体排放分析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温室气体排放清单如下：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dxa" w:w="9000"/>
      </w:tblP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排放类型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能源品种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主要设备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年排放量(tCO₂)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直接排放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原煤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锅炉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18240.0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直接排放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天然气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锅炉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4380.0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直接排放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柴油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运输车辆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151.0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间接排放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全厂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27360.0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间接排放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蒸汽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全厂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1207.0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合计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/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/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51338.0</w:t>
            </w:r>
          </w:p>
        </w:tc>
      </w:tr>
    </w:tbl>
    <w:p/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六、能源流向分析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企业能源流向明细如下：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dxa" w:w="9000"/>
      </w:tblP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流向阶段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序号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源单元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目标单元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能源品种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实物量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折标量(tce)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conversion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4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锅炉房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蒸汽管网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蒸汽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15000.0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5357.0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distribution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5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变电站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生产车间A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30000.0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3687.0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distribution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6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变电站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办公区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1229.0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distribution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7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蒸汽管网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生产车间A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蒸汽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3571.0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purchased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电力公司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变电站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50000.0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6145.0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purchased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天然气公司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锅炉房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天然气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2428.0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purchased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3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煤炭供应商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锅炉房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原煤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7143.0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terminal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8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生产车间A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产品A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综合能源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7258.0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terminal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9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办公区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照明暖通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1229.0</w:t>
            </w:r>
          </w:p>
        </w:tc>
      </w:tr>
    </w:tbl>
    <w:p/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七、节能建议与措施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根据上述能源审计分析，提出以下节能建议：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1. 优化能源结构，逐步提高清洁能源使用比例，减少煤炭等高碳能源消费。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2. 加强用能设备管理，推广高效节能设备，淘汰高耗能落后设备。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3. 完善能源计量体系，实现重点用能设备和关键工序的能源计量全覆盖。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4. 建立能源管理体系，持续改进能源绩效，降低单位产值综合能耗。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5. 加强余热余压回收利用，提高能源综合利用效率。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6. 制定碳减排目标和路径，推进企业低碳绿色转型发展。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2026-04-05T06:11:39Z</dcterms:created>
  <dc:creator>Apache POI</dc:creator>
</cp:coreProperties>
</file>