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Project Proposal: Real-Time Action Recognition via 3D CNN and Optical Flow Fusion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Course: CS 5330 – Pattern Recognition and Computer Vision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1. Introduction and Motivation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Human action recognition in video is a fundamental problem in computer vision with applications in surveillance, human-computer interaction, and sports analytics. Unlike static image classification, video understanding requires capturing both spatial appearance and temporal dynamics across frames. Despite progress in offline pipelines, real-time action recognition remains challenging due to the high computational cost of processing dense video streams. This project aims to build a real-time action recognition system by combining 3D CNNs for spatiotemporal feature learning with Optical Flow-based CNNs for explicit motion representation, and evaluate the speed-accuracy tradeoff under real-time constraints.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2. Proposed Method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 propose a two-branch fusion architecture. The first branch uses a 3D CNN (C3D or a lightweight SlowFast variant) to extract spatiotemporal features directly from RGB video clips. The second branch computes dense optical flow via the Farneback algorithm and passes the resulting flow maps through a 2D CNN (ResNet-18) to capture explicit motion cues. Feature vectors from both branches are concatenated and fed into fully connected layers for final classification. To achieve real-time performance (≥15 FPS), we apply clip subsampling and reduced input resolution during inference.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3. Dataset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We will use UCF-101, a standard benchmark containing 13,320 video clips across 101 action categories. Its diversity and manageable size make it well-suited for a course project. We follow the standard three-fold cross-validation split provided with the dataset.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4. Evaluation Metrics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Top-1 and Top-5 Accuracy on the UCF-101 test split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Inference speed (FPS) measured on GPU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Ablation study comparing: 3D CNN only vs. Optical Flow + CNN only vs. Fusion model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