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110" w:type="dxa"/>
        <w:tblInd w:w="10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8110"/>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13449" w:hRule="atLeast"/>
        </w:trPr>
        <w:tc>
          <w:tcPr>
            <w:tcW w:w="811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18" w:space="0"/>
              <w:insideV w:val="single" w:sz="8" w:space="0"/>
            </w:tcBorders>
          </w:tcPr>
          <w:p>
            <w:pPr>
              <w:spacing w:before="0" w:line="360" w:lineRule="auto"/>
              <w:jc w:val="both"/>
              <w:rPr>
                <w:rFonts w:eastAsia="PMingLiU" w:asciiTheme="minorHAnsi" w:hAnsiTheme="minorHAnsi" w:cstheme="majorBidi"/>
                <w:b w:val="0"/>
                <w:bCs w:val="0"/>
                <w:sz w:val="32"/>
                <w:szCs w:val="32"/>
                <w:lang w:eastAsia="zh-TW"/>
              </w:rPr>
            </w:pPr>
          </w:p>
          <w:p>
            <w:pPr>
              <w:spacing w:before="0" w:line="360" w:lineRule="auto"/>
              <w:jc w:val="center"/>
              <w:rPr>
                <w:rFonts w:eastAsia="PMingLiU" w:asciiTheme="minorHAnsi" w:hAnsiTheme="minorHAnsi" w:cstheme="majorBidi"/>
                <w:b w:val="0"/>
                <w:bCs w:val="0"/>
                <w:sz w:val="32"/>
                <w:szCs w:val="32"/>
                <w:lang w:eastAsia="zh-TW"/>
              </w:rPr>
            </w:pPr>
            <w:r>
              <w:rPr>
                <w:rFonts w:eastAsia="PMingLiU" w:asciiTheme="minorHAnsi" w:hAnsiTheme="minorHAnsi" w:cstheme="majorBidi"/>
                <w:b/>
                <w:bCs/>
                <w:sz w:val="32"/>
                <w:szCs w:val="32"/>
                <w:lang w:eastAsia="zh-TW"/>
              </w:rPr>
              <w:t>Course Code: CLE030</w:t>
            </w:r>
          </w:p>
          <w:p>
            <w:pPr>
              <w:spacing w:before="0" w:line="360" w:lineRule="auto"/>
              <w:jc w:val="center"/>
              <w:rPr>
                <w:rFonts w:eastAsia="PMingLiU" w:asciiTheme="minorHAnsi" w:hAnsiTheme="minorHAnsi" w:cstheme="majorBidi"/>
                <w:b w:val="0"/>
                <w:bCs w:val="0"/>
                <w:sz w:val="32"/>
                <w:szCs w:val="32"/>
                <w:lang w:eastAsia="zh-TW"/>
              </w:rPr>
            </w:pPr>
            <w:r>
              <w:rPr>
                <w:rFonts w:eastAsia="PMingLiU" w:asciiTheme="minorHAnsi" w:hAnsiTheme="minorHAnsi" w:cstheme="majorBidi"/>
                <w:b/>
                <w:bCs/>
                <w:sz w:val="32"/>
                <w:szCs w:val="32"/>
                <w:lang w:eastAsia="zh-TW"/>
              </w:rPr>
              <w:t xml:space="preserve">English for Academic Purposes </w:t>
            </w:r>
          </w:p>
          <w:p>
            <w:pPr>
              <w:spacing w:before="0" w:line="360" w:lineRule="auto"/>
              <w:jc w:val="center"/>
              <w:rPr>
                <w:rFonts w:eastAsia="PMingLiU" w:asciiTheme="minorHAnsi" w:hAnsiTheme="minorHAnsi" w:cstheme="majorBidi"/>
                <w:b/>
                <w:bCs/>
                <w:sz w:val="32"/>
                <w:szCs w:val="32"/>
                <w:lang w:eastAsia="zh-TW"/>
              </w:rPr>
            </w:pPr>
            <w:r>
              <w:rPr>
                <w:rFonts w:eastAsia="PMingLiU" w:asciiTheme="minorHAnsi" w:hAnsiTheme="minorHAnsi" w:cstheme="majorBidi"/>
                <w:b/>
                <w:bCs/>
                <w:sz w:val="32"/>
                <w:szCs w:val="32"/>
                <w:lang w:eastAsia="zh-TW"/>
              </w:rPr>
              <w:t>(Fall 202</w:t>
            </w:r>
            <w:r>
              <w:rPr>
                <w:rFonts w:hint="default" w:eastAsia="PMingLiU" w:cstheme="majorBidi"/>
                <w:b/>
                <w:bCs/>
                <w:sz w:val="32"/>
                <w:szCs w:val="32"/>
                <w:lang w:val="en-US" w:eastAsia="zh-TW"/>
              </w:rPr>
              <w:t>3</w:t>
            </w:r>
            <w:r>
              <w:rPr>
                <w:rFonts w:eastAsia="PMingLiU" w:asciiTheme="minorHAnsi" w:hAnsiTheme="minorHAnsi" w:cstheme="majorBidi"/>
                <w:b/>
                <w:bCs/>
                <w:sz w:val="32"/>
                <w:szCs w:val="32"/>
                <w:lang w:eastAsia="zh-TW"/>
              </w:rPr>
              <w:t>)</w:t>
            </w:r>
          </w:p>
          <w:p>
            <w:pPr>
              <w:spacing w:before="0" w:line="360" w:lineRule="auto"/>
              <w:jc w:val="center"/>
              <w:rPr>
                <w:rFonts w:eastAsia="PMingLiU" w:asciiTheme="minorHAnsi" w:hAnsiTheme="minorHAnsi" w:cstheme="majorBidi"/>
                <w:b/>
                <w:bCs/>
                <w:sz w:val="32"/>
                <w:szCs w:val="32"/>
                <w:lang w:eastAsia="zh-TW"/>
              </w:rPr>
            </w:pPr>
          </w:p>
          <w:p>
            <w:pPr>
              <w:spacing w:before="0" w:line="360" w:lineRule="auto"/>
              <w:jc w:val="center"/>
              <w:rPr>
                <w:rFonts w:eastAsia="PMingLiU" w:asciiTheme="minorHAnsi" w:hAnsiTheme="minorHAnsi" w:cstheme="majorBidi"/>
                <w:b w:val="0"/>
                <w:bCs w:val="0"/>
                <w:sz w:val="36"/>
                <w:szCs w:val="36"/>
                <w:lang w:eastAsia="zh-TW"/>
              </w:rPr>
            </w:pPr>
            <w:r>
              <w:rPr>
                <w:rFonts w:eastAsia="PMingLiU" w:asciiTheme="minorHAnsi" w:hAnsiTheme="minorHAnsi" w:cstheme="majorBidi"/>
                <w:b/>
                <w:bCs/>
                <w:sz w:val="36"/>
                <w:szCs w:val="36"/>
                <w:lang w:eastAsia="zh-TW"/>
              </w:rPr>
              <w:t>Argumentative Research Paper</w:t>
            </w:r>
          </w:p>
          <w:p>
            <w:pPr>
              <w:spacing w:before="0" w:line="360" w:lineRule="auto"/>
              <w:jc w:val="center"/>
              <w:rPr>
                <w:rFonts w:eastAsia="PMingLiU" w:asciiTheme="minorHAnsi" w:hAnsiTheme="minorHAnsi" w:cstheme="majorBidi"/>
                <w:b w:val="0"/>
                <w:bCs w:val="0"/>
                <w:sz w:val="32"/>
                <w:szCs w:val="32"/>
                <w:lang w:eastAsia="zh-TW"/>
              </w:rPr>
            </w:pPr>
            <w:r>
              <w:rPr>
                <w:rFonts w:eastAsia="PMingLiU" w:asciiTheme="minorHAnsi" w:hAnsiTheme="minorHAnsi" w:cstheme="majorBidi"/>
                <w:b/>
                <w:bCs/>
                <w:sz w:val="36"/>
                <w:szCs w:val="36"/>
                <w:lang w:eastAsia="zh-TW"/>
              </w:rPr>
              <w:t>(Final paper)</w:t>
            </w:r>
          </w:p>
          <w:p>
            <w:pPr>
              <w:spacing w:before="0" w:line="360" w:lineRule="auto"/>
              <w:rPr>
                <w:rFonts w:eastAsia="PMingLiU" w:asciiTheme="minorHAnsi" w:hAnsiTheme="minorHAnsi" w:cstheme="majorBidi"/>
                <w:b w:val="0"/>
                <w:bCs w:val="0"/>
                <w:sz w:val="32"/>
                <w:szCs w:val="32"/>
                <w:lang w:eastAsia="zh-TW"/>
              </w:rPr>
            </w:pPr>
            <w:r>
              <w:rPr>
                <w:rFonts w:eastAsia="PMingLiU" w:asciiTheme="minorHAnsi" w:hAnsiTheme="minorHAnsi" w:cstheme="majorBidi"/>
                <w:b/>
                <w:bCs/>
                <w:sz w:val="32"/>
                <w:szCs w:val="32"/>
                <w:lang w:eastAsia="zh-TW"/>
              </w:rPr>
              <w:t xml:space="preserve">           Paper topic:</w:t>
            </w:r>
          </w:p>
          <w:p>
            <w:pPr>
              <w:spacing w:line="360" w:lineRule="auto"/>
              <w:ind w:firstLine="480" w:firstLineChars="200"/>
              <w:rPr>
                <w:rFonts w:hint="default" w:ascii="Times New Roman" w:hAnsi="Times New Roman" w:eastAsia="Segoe UI" w:cs="Times New Roman"/>
                <w:i w:val="0"/>
                <w:iCs w:val="0"/>
                <w:caps w:val="0"/>
                <w:color w:val="374151"/>
                <w:spacing w:val="0"/>
                <w:sz w:val="24"/>
                <w:szCs w:val="24"/>
                <w:lang w:val="en-US" w:eastAsia="zh-CN"/>
              </w:rPr>
            </w:pPr>
            <w:r>
              <w:rPr>
                <w:rFonts w:hint="default" w:ascii="Times New Roman" w:hAnsi="Times New Roman" w:eastAsia="Segoe UI" w:cs="Times New Roman"/>
                <w:b/>
                <w:bCs/>
                <w:i w:val="0"/>
                <w:iCs w:val="0"/>
                <w:caps w:val="0"/>
                <w:color w:val="374151"/>
                <w:spacing w:val="0"/>
                <w:sz w:val="24"/>
                <w:szCs w:val="24"/>
                <w:lang w:eastAsia="zh-CN"/>
              </w:rPr>
              <w:t>Can Electric Cars Truly Supplant Fuel Cars in the Green Revolution</w:t>
            </w:r>
            <w:r>
              <w:rPr>
                <w:rFonts w:hint="eastAsia" w:ascii="Times New Roman" w:hAnsi="Times New Roman" w:eastAsia="Segoe UI" w:cs="Times New Roman"/>
                <w:b/>
                <w:bCs/>
                <w:i w:val="0"/>
                <w:iCs w:val="0"/>
                <w:caps w:val="0"/>
                <w:color w:val="374151"/>
                <w:spacing w:val="0"/>
                <w:sz w:val="24"/>
                <w:szCs w:val="24"/>
                <w:lang w:val="en-US" w:eastAsia="zh-CN"/>
              </w:rPr>
              <w:t>.</w:t>
            </w:r>
          </w:p>
          <w:p>
            <w:pPr>
              <w:tabs>
                <w:tab w:val="left" w:pos="2524"/>
              </w:tabs>
              <w:spacing w:before="0" w:line="360" w:lineRule="auto"/>
              <w:rPr>
                <w:rFonts w:eastAsia="PMingLiU" w:asciiTheme="minorHAnsi" w:hAnsiTheme="minorHAnsi" w:cstheme="majorBidi"/>
                <w:b w:val="0"/>
                <w:bCs w:val="0"/>
                <w:sz w:val="24"/>
                <w:szCs w:val="24"/>
                <w:lang w:eastAsia="zh-TW"/>
              </w:rPr>
            </w:pPr>
          </w:p>
          <w:p>
            <w:pPr>
              <w:spacing w:before="0" w:line="360" w:lineRule="auto"/>
              <w:ind w:firstLine="1401" w:firstLineChars="500"/>
              <w:jc w:val="left"/>
              <w:rPr>
                <w:rFonts w:eastAsia="PMingLiU" w:asciiTheme="minorHAnsi" w:hAnsiTheme="minorHAnsi" w:cstheme="majorBidi"/>
                <w:b/>
                <w:bCs/>
                <w:sz w:val="28"/>
                <w:szCs w:val="28"/>
                <w:lang w:eastAsia="zh-TW"/>
              </w:rPr>
            </w:pPr>
          </w:p>
          <w:p>
            <w:pPr>
              <w:spacing w:before="0" w:line="360" w:lineRule="auto"/>
              <w:ind w:firstLine="1401" w:firstLineChars="500"/>
              <w:jc w:val="left"/>
              <w:rPr>
                <w:rFonts w:hint="eastAsia" w:eastAsia="PMingLiU" w:asciiTheme="minorHAnsi" w:hAnsiTheme="minorHAnsi" w:cstheme="majorBidi"/>
                <w:b w:val="0"/>
                <w:bCs w:val="0"/>
                <w:sz w:val="28"/>
                <w:szCs w:val="28"/>
                <w:lang w:val="en-US" w:eastAsia="zh-CN"/>
              </w:rPr>
            </w:pPr>
            <w:r>
              <w:rPr>
                <w:rFonts w:eastAsia="PMingLiU" w:asciiTheme="minorHAnsi" w:hAnsiTheme="minorHAnsi" w:cstheme="majorBidi"/>
                <w:b/>
                <w:bCs/>
                <w:sz w:val="28"/>
                <w:szCs w:val="28"/>
                <w:lang w:eastAsia="zh-TW"/>
              </w:rPr>
              <w:t>Name:</w:t>
            </w:r>
            <w:r>
              <w:rPr>
                <w:rFonts w:hint="eastAsia" w:eastAsia="PMingLiU" w:cstheme="majorBidi"/>
                <w:b/>
                <w:bCs/>
                <w:sz w:val="28"/>
                <w:szCs w:val="28"/>
                <w:lang w:val="en-US" w:eastAsia="zh-CN"/>
              </w:rPr>
              <w:t>神远洋</w:t>
            </w:r>
          </w:p>
          <w:p>
            <w:pPr>
              <w:spacing w:before="0" w:line="360" w:lineRule="auto"/>
              <w:ind w:firstLine="1401" w:firstLineChars="500"/>
              <w:jc w:val="left"/>
              <w:rPr>
                <w:rFonts w:hint="default" w:eastAsia="PMingLiU" w:asciiTheme="minorHAnsi" w:hAnsiTheme="minorHAnsi" w:cstheme="majorBidi"/>
                <w:b w:val="0"/>
                <w:bCs w:val="0"/>
                <w:sz w:val="28"/>
                <w:szCs w:val="28"/>
                <w:lang w:val="en-US" w:eastAsia="zh-CN"/>
              </w:rPr>
            </w:pPr>
            <w:r>
              <w:rPr>
                <w:rFonts w:eastAsia="PMingLiU" w:asciiTheme="minorHAnsi" w:hAnsiTheme="minorHAnsi" w:cstheme="majorBidi"/>
                <w:b/>
                <w:bCs/>
                <w:sz w:val="28"/>
                <w:szCs w:val="28"/>
                <w:lang w:eastAsia="zh-TW"/>
              </w:rPr>
              <w:t>SID:</w:t>
            </w:r>
            <w:r>
              <w:rPr>
                <w:rFonts w:hint="eastAsia" w:eastAsia="PMingLiU" w:cstheme="majorBidi"/>
                <w:b/>
                <w:bCs/>
                <w:sz w:val="28"/>
                <w:szCs w:val="28"/>
                <w:lang w:val="en-US" w:eastAsia="zh-CN"/>
              </w:rPr>
              <w:t>12112217</w:t>
            </w:r>
          </w:p>
          <w:p>
            <w:pPr>
              <w:spacing w:before="0" w:line="360" w:lineRule="auto"/>
              <w:ind w:firstLine="1401" w:firstLineChars="500"/>
              <w:jc w:val="left"/>
              <w:rPr>
                <w:rFonts w:hint="default" w:eastAsia="PMingLiU" w:asciiTheme="minorHAnsi" w:hAnsiTheme="minorHAnsi" w:cstheme="majorBidi"/>
                <w:b/>
                <w:bCs/>
                <w:sz w:val="28"/>
                <w:szCs w:val="28"/>
                <w:lang w:val="en-US" w:eastAsia="zh-CN"/>
              </w:rPr>
            </w:pPr>
            <w:r>
              <w:rPr>
                <w:rFonts w:eastAsia="PMingLiU" w:asciiTheme="minorHAnsi" w:hAnsiTheme="minorHAnsi" w:cstheme="majorBidi"/>
                <w:b/>
                <w:bCs/>
                <w:sz w:val="28"/>
                <w:szCs w:val="28"/>
                <w:lang w:eastAsia="zh-TW"/>
              </w:rPr>
              <w:t xml:space="preserve">Class: </w:t>
            </w:r>
            <w:r>
              <w:rPr>
                <w:rFonts w:hint="eastAsia" w:eastAsia="PMingLiU" w:cstheme="majorBidi"/>
                <w:b/>
                <w:bCs/>
                <w:sz w:val="28"/>
                <w:szCs w:val="28"/>
                <w:lang w:val="en-US" w:eastAsia="zh-CN"/>
              </w:rPr>
              <w:t>EAP-23</w:t>
            </w:r>
          </w:p>
          <w:p>
            <w:pPr>
              <w:spacing w:before="0" w:line="360" w:lineRule="auto"/>
              <w:ind w:firstLine="1401" w:firstLineChars="500"/>
              <w:jc w:val="left"/>
              <w:rPr>
                <w:rFonts w:hint="default" w:eastAsia="PMingLiU" w:asciiTheme="minorHAnsi" w:hAnsiTheme="minorHAnsi" w:cstheme="majorBidi"/>
                <w:b/>
                <w:bCs/>
                <w:sz w:val="28"/>
                <w:szCs w:val="28"/>
                <w:lang w:val="en-US" w:eastAsia="zh-CN"/>
              </w:rPr>
            </w:pPr>
            <w:r>
              <w:rPr>
                <w:rFonts w:hint="default" w:eastAsia="PMingLiU" w:cstheme="majorBidi"/>
                <w:b/>
                <w:bCs/>
                <w:sz w:val="28"/>
                <w:szCs w:val="28"/>
                <w:lang w:val="en-US" w:eastAsia="zh-TW"/>
              </w:rPr>
              <w:t xml:space="preserve">Instructor: </w:t>
            </w:r>
            <w:r>
              <w:rPr>
                <w:rFonts w:hint="eastAsia" w:eastAsia="PMingLiU" w:cstheme="majorBidi"/>
                <w:b/>
                <w:bCs/>
                <w:sz w:val="28"/>
                <w:szCs w:val="28"/>
                <w:lang w:val="en-US" w:eastAsia="zh-CN"/>
              </w:rPr>
              <w:t>CHU Yu</w:t>
            </w:r>
          </w:p>
          <w:p>
            <w:pPr>
              <w:spacing w:before="0" w:line="360" w:lineRule="auto"/>
              <w:ind w:firstLine="1401" w:firstLineChars="500"/>
              <w:jc w:val="left"/>
              <w:rPr>
                <w:rFonts w:hint="default" w:eastAsia="PMingLiU" w:asciiTheme="minorHAnsi" w:hAnsiTheme="minorHAnsi" w:cstheme="majorBidi"/>
                <w:b w:val="0"/>
                <w:bCs w:val="0"/>
                <w:sz w:val="24"/>
                <w:szCs w:val="24"/>
                <w:lang w:val="en-US" w:eastAsia="zh-CN"/>
              </w:rPr>
            </w:pPr>
            <w:r>
              <w:rPr>
                <w:rFonts w:hint="default" w:eastAsia="PMingLiU" w:asciiTheme="minorHAnsi" w:hAnsiTheme="minorHAnsi" w:cstheme="majorBidi"/>
                <w:b/>
                <w:bCs/>
                <w:sz w:val="28"/>
                <w:szCs w:val="28"/>
                <w:lang w:val="en-US" w:eastAsia="zh-TW"/>
              </w:rPr>
              <w:t>Due date:</w:t>
            </w:r>
            <w:r>
              <w:rPr>
                <w:rFonts w:hint="eastAsia" w:eastAsia="PMingLiU" w:cstheme="majorBidi"/>
                <w:b/>
                <w:bCs/>
                <w:sz w:val="28"/>
                <w:szCs w:val="28"/>
                <w:lang w:val="en-US" w:eastAsia="zh-CN"/>
              </w:rPr>
              <w:t xml:space="preserve"> </w:t>
            </w:r>
            <w:r>
              <w:rPr>
                <w:rFonts w:hint="default" w:eastAsia="PMingLiU" w:cstheme="majorBidi"/>
                <w:b/>
                <w:bCs/>
                <w:sz w:val="28"/>
                <w:szCs w:val="28"/>
                <w:lang w:val="en-US" w:eastAsia="zh-CN"/>
              </w:rPr>
              <w:t>January 7, 2024</w:t>
            </w:r>
          </w:p>
        </w:tc>
      </w:tr>
    </w:tbl>
    <w:p/>
    <w:p>
      <w:pPr>
        <w:spacing w:line="480" w:lineRule="auto"/>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Can Electric Cars Truly Supplant Fuel Cars in the Green Revolution</w:t>
      </w:r>
      <w:r>
        <w:rPr>
          <w:rFonts w:hint="eastAsia" w:ascii="Times New Roman" w:hAnsi="Times New Roman" w:eastAsia="Segoe UI" w:cs="Times New Roman"/>
          <w:i w:val="0"/>
          <w:iCs w:val="0"/>
          <w:caps w:val="0"/>
          <w:color w:val="374151"/>
          <w:spacing w:val="0"/>
          <w:sz w:val="24"/>
          <w:szCs w:val="24"/>
          <w:lang w:val="en-US" w:eastAsia="zh-CN"/>
        </w:rPr>
        <w:t>.</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In a world marked by escalating environmental concerns and an urgent call for sustainable solutions, the automotive industry stands at the forefront of a transformative revolution. The rise of electric cars has captivated the collective imagination, promising a cleaner, greener future for transportation. However, as we navigate this juncture of innovation and transition, it becomes imperative to critically assess the overarching narrative that envisions electric cars as the indisputable champions of the green movement, poised to completely supplant their fuel counterparts. This research paper endeavors to dissect the multifaceted discourse surrounding the electric revolution, shedding light on the challenges and limitations that often lurk beneath the surface of its environmental promise. Delving into the complexities of electric car technology, infrastructure requirements, and the evolving landscape of automotive preferences, this paper will present a nuanced argument. Despite acknowledging the challenges, the ultim</w:t>
      </w:r>
      <w:bookmarkStart w:id="0" w:name="_GoBack"/>
      <w:bookmarkEnd w:id="0"/>
      <w:r>
        <w:rPr>
          <w:rFonts w:hint="default" w:ascii="Times New Roman" w:hAnsi="Times New Roman" w:eastAsia="Segoe UI" w:cs="Times New Roman"/>
          <w:i w:val="0"/>
          <w:iCs w:val="0"/>
          <w:caps w:val="0"/>
          <w:color w:val="374151"/>
          <w:spacing w:val="0"/>
          <w:sz w:val="24"/>
          <w:szCs w:val="24"/>
          <w:lang w:eastAsia="zh-CN"/>
        </w:rPr>
        <w:t>ate thesis of this paper posits that electric cars are well-positioned to assert dominance over fuel cars in the ongoing pursuit of a sustainable, eco-friendly future. From these key aspects: the advancements in electric car technology, the essential infrastructure requirements, and the shifting consumer preferences, can demonstrate the feasibility and potential dominance of electric vehicles in our journey toward a sustainable, eco-friendly automotive future.</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Advancements in electric car technology propel these vehicles to the forefront of sustainable transportation, challenging the longstanding dominance of traditional fuel cars. The swift progress in electric car technology not only questions the sustainability of fossil fuel-powered vehicles but also signifies a pivotal shift toward a cleaner, greener future in transportation. Noteworthy improvements in battery efficiency, coupled with extended range capabilities and the ongoing development of cutting-edge electric propulsion systems, exemplify the industry's commitment to overcoming obstacles associated with electric cars. These technological strides address critical concerns among consumers, alleviating issues such as range anxiety and contributing to an overall enhanced driving experience. As batteries continue to evolve with increased energy density, the practicality and efficiency of electric cars are reaching new heights. This trajectory suggests that electric cars are not merely catching up but, in fact, have the potential to surpass the performance and convenience offered by traditional fuel cars. In essence, the relentless pursuit of technological innovation positions electric cars as the driving force behind a transformative shift in the automotive landscape, solidifying their role as the future of sustainable transportation.</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Additionally, the development of essential infrastructure for electric cars, particularly the expansion of charging networks, underscores a strategic advantage that extends beyond resolving operational challenges. This infrastructure evolution is not just a logistical requirement but positions electric vehicles at the forefront of a paradigm shift in transportation. Unlike traditional fuel cars reliant on extensive gas station networks, electric cars leverage a decentralized and versatile charging infrastructure. Residential, workplace, and public charging points create a distributed network aligning seamlessly with daily routines. This decentralized structure not only addresses accessibility concerns but also fosters a fundamental change in consumer behavior, offering flexibility for owners to charge conveniently at home or work. Furthermore, ongoing investments in charging infrastructure signify a societal shift towards embracing electric mobility. Governments globally recognize the imperative to reduce fossil fuel reliance, prompting strategic investments in charging networks. Electric corridors and high-speed charging stations along major routes enhance the practicality of long-distance electric travel, solidifying the advantages of electric cars. In essence, the charging infrastructure's evolution is not a reactive response but a proactive strategy reshaping the narrative around electric vehicles. This strategic advantage positions electric cars not as mere alternatives but as transformative forces gradually redefining the mobility landscape.</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 xml:space="preserve">What’s more, the advantages of electric cars are further underscored by the shifting landscape of consumer preferences. As sustainability takes center stage in consumer decision-making, electric vehicles (EVs) are gaining increased traction. This shift signifies a broader societal desire for eco-conscious choices, with consumers increasingly inclined to opt for products and services that align with their commitment to reducing carbon footprints. Electric cars, being inherently cleaner and producing lower emissions than their fuel counterparts, perfectly align with this cultural shift towards environmental responsibility. As awareness of climate change intensifies, consumers view electric cars not just as a technological innovation but as a tangible manifestation of their eco-conscious sentiments. Beyond environmental considerations, the appeal of electric cars extends to their integration with modern lifestyles and continual design improvements. The sleek and technologically advanced features of electric vehicles resonate with consumers seeking both sustainable options and cutting-edge innovations in their transportation choices. Government incentives and initiatives further accelerate the shift in consumer preferences. Subsidies, tax credits, and other benefits aimed at promoting electric car adoption make them economically attractive. As governments worldwide intensify efforts to reduce reliance on fossil fuels, consumers find additional motivation to choose electric cars. </w:t>
      </w:r>
      <w:r>
        <w:rPr>
          <w:rFonts w:hint="eastAsia" w:ascii="Times New Roman" w:hAnsi="Times New Roman" w:eastAsia="Segoe UI" w:cs="Times New Roman"/>
          <w:i w:val="0"/>
          <w:iCs w:val="0"/>
          <w:caps w:val="0"/>
          <w:color w:val="374151"/>
          <w:spacing w:val="0"/>
          <w:sz w:val="24"/>
          <w:szCs w:val="24"/>
          <w:lang w:val="en-US" w:eastAsia="zh-CN"/>
        </w:rPr>
        <w:t xml:space="preserve">  </w:t>
      </w:r>
      <w:r>
        <w:rPr>
          <w:rFonts w:hint="default" w:ascii="Times New Roman" w:hAnsi="Times New Roman" w:eastAsia="Segoe UI" w:cs="Times New Roman"/>
          <w:i w:val="0"/>
          <w:iCs w:val="0"/>
          <w:caps w:val="0"/>
          <w:color w:val="374151"/>
          <w:spacing w:val="0"/>
          <w:sz w:val="24"/>
          <w:szCs w:val="24"/>
          <w:lang w:eastAsia="zh-CN"/>
        </w:rPr>
        <w:t>In conclusion, the advantages of electric cars are not limited to operational efficiency or environmental impact alone; they align with a broader societal shift in consumer values. The growing preference for sustainability, coupled with governmental support, positions electric cars as not only environmentally responsible but also economically attractive choices for the contemporary consumer. This transformative shift in consumer preferences solidifies the momentum of electric cars, establishing them as the forefront runners in the ongoing evolution of the automotive industry.</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val="en-US" w:eastAsia="zh-CN"/>
        </w:rPr>
      </w:pPr>
      <w:r>
        <w:rPr>
          <w:rFonts w:hint="default" w:ascii="Times New Roman" w:hAnsi="Times New Roman" w:eastAsia="Segoe UI" w:cs="Times New Roman"/>
          <w:i w:val="0"/>
          <w:iCs w:val="0"/>
          <w:caps w:val="0"/>
          <w:color w:val="374151"/>
          <w:spacing w:val="0"/>
          <w:sz w:val="24"/>
          <w:szCs w:val="24"/>
          <w:lang w:eastAsia="zh-CN"/>
        </w:rPr>
        <w:t>While electric vehicles have made strides, critics point to challenges like inadequate charging infrastructure and lengthier charging times. They argue that rural areas suffer from a lack of charging stations, leading to inconvenience during long journeys. Nevertheless, ongoing global investments are actively expanding charging networks, and technological advancements, including quick-charging solutions like Tesla's Supercharger stations, are addressing these concerns. The commitment to improving infrastructure suggests a future where electric vehicles become more convenient, gradually alleviating the basis for criticism</w:t>
      </w:r>
      <w:r>
        <w:rPr>
          <w:rFonts w:hint="eastAsia" w:ascii="Times New Roman" w:hAnsi="Times New Roman" w:eastAsia="Segoe UI" w:cs="Times New Roman"/>
          <w:i w:val="0"/>
          <w:iCs w:val="0"/>
          <w:caps w:val="0"/>
          <w:color w:val="374151"/>
          <w:spacing w:val="0"/>
          <w:sz w:val="24"/>
          <w:szCs w:val="24"/>
          <w:lang w:val="en-US" w:eastAsia="zh-CN"/>
        </w:rPr>
        <w:t>.</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In conclusion, the trajectory of electric cars in the green revolution is shaped by their advancements in technology, the evolution of essential infrastructure, and the changing preferences of consumers. As technological innovations continue to propel electric vehicles toward operational excellence, addressing concerns such as range anxiety and enhancing the overall driving experience, they stand on the brink of surpassing traditional fuel cars in performance and convenience. The strategic development of a decentralized charging infrastructure further positions electric cars as transformative forces, reshaping the narrative around their accessibility and integration into daily life. Finally, the shifting consumer preferences towards sustainability, bolstered by governmental support, solidify electric cars not just as eco-conscious alternatives but as economically attractive choices for the contemporary consumer. In essence, the confluence of technological advancements, infrastructure evolution, and changing consumer values positions electric cars as the frontrunners in the ongoing evolution toward a sustainable, eco-friendly future in transportation.</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p>
    <w:p/>
    <w:p/>
    <w:p/>
    <w:p/>
    <w:p/>
    <w:p/>
    <w:p/>
    <w:p/>
    <w:p/>
    <w:p/>
    <w:p/>
    <w:p/>
    <w:p/>
    <w:p/>
    <w:p/>
    <w:p/>
    <w:p/>
    <w:p/>
    <w:p/>
    <w:p/>
    <w:p/>
    <w:p/>
    <w:p/>
    <w:p/>
    <w:p/>
    <w:p/>
    <w:p/>
    <w:p/>
    <w:p/>
    <w:p/>
    <w:p/>
    <w:p/>
    <w:p/>
    <w:p/>
    <w:p/>
    <w:p/>
    <w:p/>
    <w:p/>
    <w:p/>
    <w:p/>
    <w:p/>
    <w:p/>
    <w:p/>
    <w:p/>
    <w:p/>
    <w:p/>
    <w:p/>
    <w:p>
      <w:pPr>
        <w:spacing w:line="240" w:lineRule="auto"/>
        <w:jc w:val="both"/>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References:</w:t>
      </w:r>
    </w:p>
    <w:p>
      <w:pPr>
        <w:spacing w:line="240" w:lineRule="auto"/>
        <w:jc w:val="both"/>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The Dilemma of Motorized Vehicles: Electric Cars Scarcely the Environmental Solution</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Published online by Cambridge University Press:  24 August 2009</w:t>
      </w:r>
      <w:r>
        <w:rPr>
          <w:rFonts w:hint="default" w:ascii="Times New Roman" w:hAnsi="Times New Roman" w:eastAsia="宋体" w:cs="Times New Roman"/>
          <w:sz w:val="24"/>
          <w:szCs w:val="24"/>
          <w:lang w:val="en-US" w:eastAsia="zh-CN"/>
        </w:rPr>
        <w:t>.</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Fire risk of electric vehicles and fuel-driven vehicles in open car parks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First published: 15 November 2021</w:t>
      </w:r>
      <w:r>
        <w:rPr>
          <w:rFonts w:hint="default" w:ascii="Times New Roman" w:hAnsi="Times New Roman" w:eastAsia="宋体" w:cs="Times New Roman"/>
          <w:sz w:val="24"/>
          <w:szCs w:val="24"/>
          <w:lang w:val="en-US" w:eastAsia="zh-CN"/>
        </w:rPr>
        <w:t xml:space="preserve"> from</w:t>
      </w:r>
      <w:r>
        <w:rPr>
          <w:rFonts w:hint="default" w:ascii="Times New Roman" w:hAnsi="Times New Roman" w:cs="Times New Roman"/>
          <w:sz w:val="24"/>
          <w:szCs w:val="24"/>
        </w:rPr>
        <w:t xml:space="preserve"> https://doi.org/10.1002/stco.202170404  </w:t>
      </w:r>
      <w:r>
        <w:rPr>
          <w:rFonts w:hint="default" w:ascii="Times New Roman" w:hAnsi="Times New Roman" w:eastAsia="宋体" w:cs="Times New Roman"/>
          <w:sz w:val="24"/>
          <w:szCs w:val="24"/>
          <w:lang w:val="en-US" w:eastAsia="zh-CN"/>
        </w:rPr>
        <w:t>).</w:t>
      </w:r>
    </w:p>
    <w:p>
      <w:pPr>
        <w:spacing w:line="240" w:lineRule="auto"/>
        <w:rPr>
          <w:rFonts w:hint="default" w:ascii="Times New Roman" w:hAnsi="Times New Roman" w:eastAsia="宋体" w:cs="Times New Roman"/>
          <w:sz w:val="24"/>
          <w:szCs w:val="24"/>
          <w:lang w:val="en-US" w:eastAsia="zh-CN"/>
        </w:rPr>
      </w:pP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coming electric vehicle transformation: A future electric transportation market will depend on battery innovation GEORGE CRABTREEAuthors Info &amp; Affiliations.</w:t>
      </w:r>
    </w:p>
    <w:p>
      <w:pPr>
        <w:spacing w:line="240" w:lineRule="auto"/>
        <w:rPr>
          <w:rFonts w:hint="default" w:ascii="Times New Roman" w:hAnsi="Times New Roman" w:eastAsia="宋体" w:cs="Times New Roman"/>
          <w:sz w:val="24"/>
          <w:szCs w:val="24"/>
          <w:lang w:val="en-US" w:eastAsia="zh-CN"/>
        </w:rPr>
      </w:pPr>
    </w:p>
    <w:p>
      <w:pPr>
        <w:pStyle w:val="2"/>
        <w:keepNext w:val="0"/>
        <w:keepLines w:val="0"/>
        <w:widowControl/>
        <w:suppressLineNumbers w:val="0"/>
        <w:spacing w:before="0" w:beforeAutospacing="0" w:after="160" w:afterAutospacing="0" w:line="240" w:lineRule="auto"/>
        <w:ind w:right="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International Energy Agency. (2021). Trends and developments in electric vehicle markets. </w:t>
      </w:r>
    </w:p>
    <w:p>
      <w:pPr>
        <w:pStyle w:val="2"/>
        <w:keepNext w:val="0"/>
        <w:keepLines w:val="0"/>
        <w:widowControl/>
        <w:suppressLineNumbers w:val="0"/>
        <w:spacing w:before="0" w:beforeAutospacing="0" w:after="160" w:afterAutospacing="0" w:line="240" w:lineRule="auto"/>
        <w:ind w:right="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fldChar w:fldCharType="begin"/>
      </w:r>
      <w:r>
        <w:rPr>
          <w:rFonts w:hint="default" w:ascii="Times New Roman" w:hAnsi="Times New Roman" w:eastAsia="Segoe UI" w:cs="Times New Roman"/>
          <w:i w:val="0"/>
          <w:iCs w:val="0"/>
          <w:caps w:val="0"/>
          <w:color w:val="111111"/>
          <w:spacing w:val="0"/>
          <w:sz w:val="24"/>
          <w:szCs w:val="24"/>
        </w:rPr>
        <w:instrText xml:space="preserve"> HYPERLINK "https://www.iea.org/reports/global-ev-outlook-2021/trends-and-developments-in-electric-vehicle-markets" </w:instrText>
      </w:r>
      <w:r>
        <w:rPr>
          <w:rFonts w:hint="default" w:ascii="Times New Roman" w:hAnsi="Times New Roman" w:eastAsia="Segoe UI" w:cs="Times New Roman"/>
          <w:i w:val="0"/>
          <w:iCs w:val="0"/>
          <w:caps w:val="0"/>
          <w:color w:val="111111"/>
          <w:spacing w:val="0"/>
          <w:sz w:val="24"/>
          <w:szCs w:val="24"/>
        </w:rPr>
        <w:fldChar w:fldCharType="separate"/>
      </w:r>
      <w:r>
        <w:rPr>
          <w:rFonts w:hint="default" w:ascii="Times New Roman" w:hAnsi="Times New Roman" w:eastAsia="Segoe UI" w:cs="Times New Roman"/>
          <w:i w:val="0"/>
          <w:iCs w:val="0"/>
          <w:caps w:val="0"/>
          <w:color w:val="111111"/>
          <w:spacing w:val="0"/>
          <w:sz w:val="24"/>
          <w:szCs w:val="24"/>
        </w:rPr>
        <w:t>https://www.iea.org/reports/global-ev-outlook-2021/trends-and-developments-in-electric-vehicle-markets</w:t>
      </w:r>
      <w:r>
        <w:rPr>
          <w:rFonts w:hint="default" w:ascii="Times New Roman" w:hAnsi="Times New Roman" w:eastAsia="Segoe UI" w:cs="Times New Roman"/>
          <w:i w:val="0"/>
          <w:iCs w:val="0"/>
          <w:caps w:val="0"/>
          <w:color w:val="111111"/>
          <w:spacing w:val="0"/>
          <w:sz w:val="24"/>
          <w:szCs w:val="24"/>
        </w:rPr>
        <w:fldChar w:fldCharType="end"/>
      </w:r>
    </w:p>
    <w:p>
      <w:pPr>
        <w:pStyle w:val="2"/>
        <w:keepNext w:val="0"/>
        <w:keepLines w:val="0"/>
        <w:widowControl/>
        <w:suppressLineNumbers w:val="0"/>
        <w:spacing w:before="0" w:beforeAutospacing="0" w:after="160" w:afterAutospacing="0" w:line="240" w:lineRule="auto"/>
        <w:ind w:right="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Hosseinpour, S., Chen, H., &amp; Tang, H. (2015, August). Barriers to the wide adoption of electric vehicles: A literature review based discussion. In 2015 Portland international conference on management of engineering and technology (PICMET) (pp. 2329-2336). IEEE.</w:t>
      </w:r>
    </w:p>
    <w:p>
      <w:pPr>
        <w:spacing w:line="360" w:lineRule="auto"/>
        <w:rPr>
          <w:rFonts w:hint="default" w:eastAsia="宋体"/>
          <w:lang w:val="en-US" w:eastAsia="zh-CN"/>
        </w:rPr>
      </w:pPr>
    </w:p>
    <w:p>
      <w:pPr>
        <w:spacing w:line="360" w:lineRule="auto"/>
        <w:rPr>
          <w:rFonts w:hint="eastAsia" w:eastAsia="宋体"/>
          <w:lang w:val="en-US" w:eastAsia="zh-CN"/>
        </w:rPr>
      </w:pPr>
    </w:p>
    <w:p>
      <w:pPr>
        <w:spacing w:line="360" w:lineRule="auto"/>
        <w:rPr>
          <w:rFonts w:hint="eastAsia"/>
        </w:rPr>
      </w:pPr>
    </w:p>
    <w:sectPr>
      <w:pgSz w:w="11900" w:h="16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PMingLiU">
    <w:altName w:val="Malgun Gothic Semilight"/>
    <w:panose1 w:val="02020500000000000000"/>
    <w:charset w:val="88"/>
    <w:family w:val="roman"/>
    <w:pitch w:val="default"/>
    <w:sig w:usb0="00000000" w:usb1="00000000" w:usb2="00000000" w:usb3="00000000" w:csb0="00160000" w:csb1="00000000"/>
  </w:font>
  <w:font w:name="Segoe UI">
    <w:panose1 w:val="020B0502040204020203"/>
    <w:charset w:val="00"/>
    <w:family w:val="auto"/>
    <w:pitch w:val="default"/>
    <w:sig w:usb0="E4002EFF" w:usb1="C000E47F"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微软雅黑">
    <w:panose1 w:val="020B0503020204020204"/>
    <w:charset w:val="86"/>
    <w:family w:val="roman"/>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mMGZjMTgxMTY1YTEyZjAyYjRhY2QzMTllNmFiMGYifQ=="/>
  </w:docVars>
  <w:rsids>
    <w:rsidRoot w:val="006A05AF"/>
    <w:rsid w:val="0006168B"/>
    <w:rsid w:val="001B0910"/>
    <w:rsid w:val="00415729"/>
    <w:rsid w:val="006A05AF"/>
    <w:rsid w:val="00C82414"/>
    <w:rsid w:val="01942A3F"/>
    <w:rsid w:val="57F75489"/>
    <w:rsid w:val="59F6DA90"/>
    <w:rsid w:val="61253B1F"/>
    <w:rsid w:val="70E17789"/>
    <w:rsid w:val="B3F7B7F6"/>
    <w:rsid w:val="D5EF158C"/>
    <w:rsid w:val="F6FFB081"/>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customStyle="1" w:styleId="5">
    <w:name w:val="浅色网格1"/>
    <w:basedOn w:val="3"/>
    <w:autoRedefine/>
    <w:qFormat/>
    <w:uiPriority w:val="62"/>
    <w:pPr>
      <w:spacing w:after="160" w:line="259" w:lineRule="auto"/>
    </w:pPr>
    <w:rPr>
      <w:rFonts w:ascii="Times New Roman" w:hAnsi="Times New Roman" w:eastAsia="宋体" w:cs="Times New Roman"/>
      <w:sz w:val="20"/>
      <w:szCs w:val="20"/>
      <w:lang w:eastAsia="zh-CN"/>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25</Words>
  <Characters>148</Characters>
  <Lines>1</Lines>
  <Paragraphs>1</Paragraphs>
  <TotalTime>1</TotalTime>
  <ScaleCrop>false</ScaleCrop>
  <LinksUpToDate>false</LinksUpToDate>
  <CharactersWithSpaces>172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2020-12-25T16:04:00Z</dcterms:created>
  <dc:creator>Uta</dc:creator>
  <cp:lastModifiedBy>人间烟火</cp:lastModifiedBy>
  <dcterms:modified xsi:type="dcterms:W3CDTF">2024-01-04T02:41:03Z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3D5876E3D06B4248B7D7B5D9D290920F_12</vt:lpwstr>
  </property>
</Properties>
</file>